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D1F81" w14:textId="48F1DE09" w:rsidR="00572100" w:rsidRDefault="00572100" w:rsidP="00572100">
      <w:pPr>
        <w:pStyle w:val="Default"/>
        <w:rPr>
          <w:b/>
          <w:sz w:val="28"/>
          <w:szCs w:val="28"/>
        </w:rPr>
      </w:pPr>
    </w:p>
    <w:p w14:paraId="5AB4A446" w14:textId="77777777" w:rsidR="00572100" w:rsidRDefault="00572100" w:rsidP="00572100">
      <w:pPr>
        <w:pStyle w:val="Default"/>
        <w:rPr>
          <w:b/>
          <w:sz w:val="28"/>
          <w:szCs w:val="28"/>
        </w:rPr>
      </w:pPr>
    </w:p>
    <w:p w14:paraId="24816555" w14:textId="2D105D41" w:rsidR="00572100" w:rsidRDefault="00572100" w:rsidP="00572100">
      <w:pPr>
        <w:pStyle w:val="Default"/>
        <w:rPr>
          <w:b/>
          <w:sz w:val="28"/>
          <w:szCs w:val="28"/>
        </w:rPr>
      </w:pPr>
    </w:p>
    <w:p w14:paraId="67D64C12" w14:textId="233136FE" w:rsidR="00F179F0" w:rsidRDefault="00F179F0" w:rsidP="00572100">
      <w:pPr>
        <w:pStyle w:val="Default"/>
        <w:rPr>
          <w:b/>
          <w:sz w:val="28"/>
          <w:szCs w:val="28"/>
        </w:rPr>
      </w:pPr>
    </w:p>
    <w:p w14:paraId="321769B1" w14:textId="6E3F5FBB" w:rsidR="00F179F0" w:rsidRDefault="00F179F0" w:rsidP="00572100">
      <w:pPr>
        <w:pStyle w:val="Default"/>
        <w:rPr>
          <w:b/>
          <w:sz w:val="28"/>
          <w:szCs w:val="28"/>
        </w:rPr>
      </w:pPr>
    </w:p>
    <w:p w14:paraId="10486938" w14:textId="44F94C8E" w:rsidR="00F179F0" w:rsidRDefault="00F179F0" w:rsidP="00572100">
      <w:pPr>
        <w:pStyle w:val="Default"/>
        <w:rPr>
          <w:b/>
          <w:sz w:val="28"/>
          <w:szCs w:val="28"/>
        </w:rPr>
      </w:pPr>
    </w:p>
    <w:p w14:paraId="2AFABACE" w14:textId="77777777" w:rsidR="00F179F0" w:rsidRDefault="00F179F0" w:rsidP="00572100">
      <w:pPr>
        <w:pStyle w:val="Default"/>
        <w:rPr>
          <w:b/>
          <w:sz w:val="28"/>
          <w:szCs w:val="28"/>
        </w:rPr>
      </w:pPr>
    </w:p>
    <w:p w14:paraId="44C2E509" w14:textId="03D959D9" w:rsidR="00F179F0" w:rsidRDefault="00F179F0" w:rsidP="00572100">
      <w:pPr>
        <w:pStyle w:val="Default"/>
        <w:rPr>
          <w:b/>
          <w:sz w:val="28"/>
          <w:szCs w:val="28"/>
        </w:rPr>
      </w:pPr>
    </w:p>
    <w:p w14:paraId="44588990" w14:textId="6FE4B9E0" w:rsidR="00F179F0" w:rsidRDefault="00F179F0" w:rsidP="00572100">
      <w:pPr>
        <w:pStyle w:val="Default"/>
        <w:rPr>
          <w:b/>
          <w:sz w:val="28"/>
          <w:szCs w:val="28"/>
        </w:rPr>
      </w:pPr>
    </w:p>
    <w:p w14:paraId="34BBAB4E" w14:textId="1ECC0355" w:rsidR="00D971C4" w:rsidRDefault="00D971C4" w:rsidP="00572100">
      <w:pPr>
        <w:pStyle w:val="Default"/>
        <w:rPr>
          <w:b/>
          <w:sz w:val="28"/>
          <w:szCs w:val="28"/>
        </w:rPr>
      </w:pPr>
    </w:p>
    <w:p w14:paraId="13A88A34" w14:textId="77777777" w:rsidR="00FF4BB5" w:rsidRDefault="00FF4BB5" w:rsidP="00572100">
      <w:pPr>
        <w:pStyle w:val="Default"/>
        <w:rPr>
          <w:b/>
          <w:sz w:val="28"/>
          <w:szCs w:val="28"/>
        </w:rPr>
      </w:pPr>
    </w:p>
    <w:p w14:paraId="49E46668" w14:textId="77777777" w:rsidR="00572100" w:rsidRDefault="00572100" w:rsidP="00572100">
      <w:pPr>
        <w:pStyle w:val="Default"/>
        <w:rPr>
          <w:b/>
          <w:sz w:val="28"/>
          <w:szCs w:val="28"/>
        </w:rPr>
      </w:pPr>
    </w:p>
    <w:p w14:paraId="6A97EE4D" w14:textId="77777777" w:rsidR="00572100" w:rsidRDefault="00572100" w:rsidP="00572100">
      <w:pPr>
        <w:pStyle w:val="Default"/>
        <w:rPr>
          <w:b/>
          <w:sz w:val="28"/>
          <w:szCs w:val="28"/>
        </w:rPr>
      </w:pPr>
    </w:p>
    <w:p w14:paraId="305FC588" w14:textId="5A397DB2" w:rsidR="00404B9B" w:rsidRPr="00572100" w:rsidRDefault="007671A4" w:rsidP="00572100">
      <w:pPr>
        <w:pStyle w:val="Default"/>
        <w:jc w:val="center"/>
        <w:rPr>
          <w:b/>
          <w:sz w:val="36"/>
          <w:szCs w:val="36"/>
        </w:rPr>
      </w:pPr>
      <w:r w:rsidRPr="00572100">
        <w:rPr>
          <w:b/>
          <w:sz w:val="36"/>
          <w:szCs w:val="36"/>
        </w:rPr>
        <w:t xml:space="preserve">Housing </w:t>
      </w:r>
      <w:r w:rsidR="00404B9B" w:rsidRPr="00572100">
        <w:rPr>
          <w:b/>
          <w:sz w:val="36"/>
          <w:szCs w:val="36"/>
        </w:rPr>
        <w:t>a</w:t>
      </w:r>
      <w:r w:rsidRPr="00572100">
        <w:rPr>
          <w:b/>
          <w:sz w:val="36"/>
          <w:szCs w:val="36"/>
        </w:rPr>
        <w:t>ffordability</w:t>
      </w:r>
      <w:r w:rsidR="00404B9B" w:rsidRPr="00572100">
        <w:rPr>
          <w:b/>
          <w:sz w:val="36"/>
          <w:szCs w:val="36"/>
        </w:rPr>
        <w:t xml:space="preserve"> for renters and owners:</w:t>
      </w:r>
    </w:p>
    <w:p w14:paraId="6529CABF" w14:textId="5711170E" w:rsidR="00404B9B" w:rsidRPr="00572100" w:rsidRDefault="007671A4" w:rsidP="00572100">
      <w:pPr>
        <w:tabs>
          <w:tab w:val="left" w:pos="6795"/>
        </w:tabs>
        <w:spacing w:after="0" w:line="240" w:lineRule="auto"/>
        <w:jc w:val="center"/>
        <w:rPr>
          <w:rFonts w:ascii="Arial" w:hAnsi="Arial"/>
          <w:b/>
          <w:sz w:val="36"/>
          <w:szCs w:val="36"/>
        </w:rPr>
      </w:pPr>
      <w:r w:rsidRPr="00572100">
        <w:rPr>
          <w:rFonts w:ascii="Arial" w:hAnsi="Arial"/>
          <w:b/>
          <w:sz w:val="36"/>
          <w:szCs w:val="36"/>
        </w:rPr>
        <w:t xml:space="preserve">International </w:t>
      </w:r>
      <w:r w:rsidR="00404B9B" w:rsidRPr="00572100">
        <w:rPr>
          <w:rFonts w:ascii="Arial" w:hAnsi="Arial"/>
          <w:b/>
          <w:sz w:val="36"/>
          <w:szCs w:val="36"/>
        </w:rPr>
        <w:t>c</w:t>
      </w:r>
      <w:r w:rsidRPr="00572100">
        <w:rPr>
          <w:rFonts w:ascii="Arial" w:hAnsi="Arial"/>
          <w:b/>
          <w:sz w:val="36"/>
          <w:szCs w:val="36"/>
        </w:rPr>
        <w:t>omparisons</w:t>
      </w:r>
    </w:p>
    <w:p w14:paraId="0F53E126" w14:textId="77777777" w:rsidR="00CB35A6" w:rsidRDefault="00CB35A6" w:rsidP="00572100">
      <w:pPr>
        <w:tabs>
          <w:tab w:val="left" w:pos="6795"/>
        </w:tabs>
        <w:spacing w:after="0" w:line="240" w:lineRule="auto"/>
        <w:jc w:val="center"/>
        <w:rPr>
          <w:rFonts w:ascii="Arial" w:hAnsi="Arial"/>
          <w:b/>
          <w:sz w:val="24"/>
          <w:szCs w:val="24"/>
        </w:rPr>
      </w:pPr>
    </w:p>
    <w:p w14:paraId="3EF96B6A" w14:textId="1EA79C97" w:rsidR="00572100" w:rsidRDefault="00572100" w:rsidP="00572100">
      <w:pPr>
        <w:pStyle w:val="Default"/>
        <w:jc w:val="center"/>
        <w:rPr>
          <w:rFonts w:ascii="Arial Mäori" w:hAnsi="Arial Mäori" w:cs="Arial Mäori"/>
          <w:b/>
          <w:bCs/>
          <w:sz w:val="23"/>
          <w:szCs w:val="23"/>
        </w:rPr>
      </w:pPr>
    </w:p>
    <w:p w14:paraId="1F2F0AC0" w14:textId="6ABC1C92" w:rsidR="00D971C4" w:rsidRDefault="00D971C4" w:rsidP="00572100">
      <w:pPr>
        <w:pStyle w:val="Default"/>
        <w:jc w:val="center"/>
        <w:rPr>
          <w:rFonts w:ascii="Arial Mäori" w:hAnsi="Arial Mäori" w:cs="Arial Mäori"/>
          <w:b/>
          <w:bCs/>
          <w:sz w:val="23"/>
          <w:szCs w:val="23"/>
        </w:rPr>
      </w:pPr>
    </w:p>
    <w:p w14:paraId="4DA10F6A" w14:textId="36D93172" w:rsidR="00D971C4" w:rsidRDefault="00D971C4" w:rsidP="00572100">
      <w:pPr>
        <w:pStyle w:val="Default"/>
        <w:jc w:val="center"/>
        <w:rPr>
          <w:rFonts w:ascii="Arial Mäori" w:hAnsi="Arial Mäori" w:cs="Arial Mäori"/>
          <w:b/>
          <w:bCs/>
          <w:sz w:val="23"/>
          <w:szCs w:val="23"/>
        </w:rPr>
      </w:pPr>
    </w:p>
    <w:p w14:paraId="454AB762" w14:textId="43CABAD1" w:rsidR="00D971C4" w:rsidRDefault="00D971C4" w:rsidP="00572100">
      <w:pPr>
        <w:pStyle w:val="Default"/>
        <w:jc w:val="center"/>
        <w:rPr>
          <w:rFonts w:ascii="Arial Mäori" w:hAnsi="Arial Mäori" w:cs="Arial Mäori"/>
          <w:b/>
          <w:bCs/>
          <w:sz w:val="23"/>
          <w:szCs w:val="23"/>
        </w:rPr>
      </w:pPr>
    </w:p>
    <w:p w14:paraId="536DBA2B" w14:textId="77777777" w:rsidR="00FF4BB5" w:rsidRDefault="00FF4BB5" w:rsidP="00572100">
      <w:pPr>
        <w:pStyle w:val="Default"/>
        <w:jc w:val="center"/>
        <w:rPr>
          <w:rFonts w:ascii="Arial Mäori" w:hAnsi="Arial Mäori" w:cs="Arial Mäori"/>
          <w:b/>
          <w:bCs/>
          <w:sz w:val="23"/>
          <w:szCs w:val="23"/>
        </w:rPr>
      </w:pPr>
    </w:p>
    <w:p w14:paraId="4EDF245E" w14:textId="61830C01" w:rsidR="00F179F0" w:rsidRDefault="00F179F0" w:rsidP="00572100">
      <w:pPr>
        <w:pStyle w:val="Default"/>
        <w:jc w:val="center"/>
        <w:rPr>
          <w:rFonts w:ascii="Arial Mäori" w:hAnsi="Arial Mäori" w:cs="Arial Mäori"/>
          <w:b/>
          <w:bCs/>
          <w:sz w:val="23"/>
          <w:szCs w:val="23"/>
        </w:rPr>
      </w:pPr>
    </w:p>
    <w:p w14:paraId="10D6D1AE" w14:textId="3C9347D0" w:rsidR="00572100" w:rsidRPr="001902C9" w:rsidRDefault="00572100" w:rsidP="00572100">
      <w:pPr>
        <w:pStyle w:val="Default"/>
        <w:jc w:val="center"/>
        <w:rPr>
          <w:rFonts w:ascii="Arial Mäori" w:hAnsi="Arial Mäori" w:cs="Arial Mäori"/>
          <w:color w:val="FF0000"/>
          <w:sz w:val="18"/>
          <w:szCs w:val="18"/>
        </w:rPr>
      </w:pPr>
      <w:r>
        <w:rPr>
          <w:rFonts w:ascii="Arial Mäori" w:hAnsi="Arial Mäori" w:cs="Arial Mäori"/>
          <w:b/>
          <w:bCs/>
          <w:sz w:val="23"/>
          <w:szCs w:val="23"/>
        </w:rPr>
        <w:t>Prepared by Bryan Perry</w:t>
      </w:r>
      <w:r w:rsidR="001902C9">
        <w:rPr>
          <w:rFonts w:ascii="Arial Mäori" w:hAnsi="Arial Mäori" w:cs="Arial Mäori"/>
          <w:b/>
          <w:bCs/>
          <w:sz w:val="23"/>
          <w:szCs w:val="23"/>
        </w:rPr>
        <w:t xml:space="preserve"> </w:t>
      </w:r>
    </w:p>
    <w:p w14:paraId="1527343F" w14:textId="77777777" w:rsidR="00572100" w:rsidRDefault="00572100" w:rsidP="00572100">
      <w:pPr>
        <w:pStyle w:val="Default"/>
        <w:jc w:val="center"/>
        <w:rPr>
          <w:rFonts w:ascii="Arial Mäori" w:hAnsi="Arial Mäori" w:cs="Arial Mäori"/>
          <w:b/>
          <w:bCs/>
          <w:sz w:val="23"/>
          <w:szCs w:val="23"/>
        </w:rPr>
      </w:pPr>
    </w:p>
    <w:p w14:paraId="3D3A15B3" w14:textId="405096AD" w:rsidR="00572100" w:rsidRDefault="00572100" w:rsidP="00572100">
      <w:pPr>
        <w:pStyle w:val="Default"/>
        <w:jc w:val="center"/>
        <w:rPr>
          <w:rFonts w:ascii="Arial Mäori" w:hAnsi="Arial Mäori" w:cs="Arial Mäori"/>
          <w:b/>
          <w:bCs/>
          <w:sz w:val="23"/>
          <w:szCs w:val="23"/>
        </w:rPr>
      </w:pPr>
    </w:p>
    <w:p w14:paraId="6EB1474F" w14:textId="22098116" w:rsidR="00334585" w:rsidRDefault="00334585" w:rsidP="00572100">
      <w:pPr>
        <w:pStyle w:val="Default"/>
        <w:jc w:val="center"/>
        <w:rPr>
          <w:rFonts w:ascii="Arial Mäori" w:hAnsi="Arial Mäori" w:cs="Arial Mäori"/>
          <w:b/>
          <w:bCs/>
          <w:sz w:val="23"/>
          <w:szCs w:val="23"/>
        </w:rPr>
      </w:pPr>
    </w:p>
    <w:p w14:paraId="61A9E54F" w14:textId="77777777" w:rsidR="00334585" w:rsidRDefault="00334585" w:rsidP="00572100">
      <w:pPr>
        <w:pStyle w:val="Default"/>
        <w:jc w:val="center"/>
        <w:rPr>
          <w:rFonts w:ascii="Arial Mäori" w:hAnsi="Arial Mäori" w:cs="Arial Mäori"/>
          <w:b/>
          <w:bCs/>
          <w:sz w:val="23"/>
          <w:szCs w:val="23"/>
        </w:rPr>
      </w:pPr>
    </w:p>
    <w:p w14:paraId="1C36C645" w14:textId="4A30625B" w:rsidR="00572100" w:rsidRDefault="00572100" w:rsidP="00572100">
      <w:pPr>
        <w:pStyle w:val="Default"/>
        <w:jc w:val="center"/>
        <w:rPr>
          <w:rFonts w:ascii="Arial Mäori" w:hAnsi="Arial Mäori" w:cs="Arial Mäori"/>
          <w:sz w:val="23"/>
          <w:szCs w:val="23"/>
        </w:rPr>
      </w:pPr>
      <w:r>
        <w:rPr>
          <w:rFonts w:ascii="Arial Mäori" w:hAnsi="Arial Mäori" w:cs="Arial Mäori"/>
          <w:b/>
          <w:bCs/>
          <w:sz w:val="23"/>
          <w:szCs w:val="23"/>
        </w:rPr>
        <w:t>Ministry of Social Development</w:t>
      </w:r>
    </w:p>
    <w:p w14:paraId="7C611888" w14:textId="0746CCD7" w:rsidR="00572100" w:rsidRDefault="00572100" w:rsidP="00572100">
      <w:pPr>
        <w:pStyle w:val="Default"/>
        <w:jc w:val="center"/>
        <w:rPr>
          <w:rFonts w:ascii="Arial Mäori" w:hAnsi="Arial Mäori" w:cs="Arial Mäori"/>
          <w:sz w:val="23"/>
          <w:szCs w:val="23"/>
        </w:rPr>
      </w:pPr>
      <w:r>
        <w:rPr>
          <w:rFonts w:ascii="Arial Mäori" w:hAnsi="Arial Mäori" w:cs="Arial Mäori"/>
          <w:b/>
          <w:bCs/>
          <w:sz w:val="23"/>
          <w:szCs w:val="23"/>
        </w:rPr>
        <w:t>Wellington</w:t>
      </w:r>
    </w:p>
    <w:p w14:paraId="15955EDB" w14:textId="77777777" w:rsidR="00572100" w:rsidRDefault="00572100" w:rsidP="00572100">
      <w:pPr>
        <w:pStyle w:val="Default"/>
        <w:jc w:val="center"/>
        <w:rPr>
          <w:rFonts w:ascii="Arial Mäori" w:hAnsi="Arial Mäori" w:cs="Arial Mäori"/>
          <w:b/>
          <w:bCs/>
          <w:sz w:val="23"/>
          <w:szCs w:val="23"/>
        </w:rPr>
      </w:pPr>
    </w:p>
    <w:p w14:paraId="180ABE0C" w14:textId="77777777" w:rsidR="00572100" w:rsidRDefault="00572100" w:rsidP="00572100">
      <w:pPr>
        <w:pStyle w:val="Default"/>
        <w:jc w:val="center"/>
        <w:rPr>
          <w:rFonts w:ascii="Arial Mäori" w:hAnsi="Arial Mäori" w:cs="Arial Mäori"/>
          <w:b/>
          <w:bCs/>
          <w:sz w:val="23"/>
          <w:szCs w:val="23"/>
        </w:rPr>
      </w:pPr>
    </w:p>
    <w:p w14:paraId="279B6D6F" w14:textId="77777777" w:rsidR="00572100" w:rsidRDefault="00572100" w:rsidP="00572100">
      <w:pPr>
        <w:pStyle w:val="Default"/>
        <w:jc w:val="center"/>
        <w:rPr>
          <w:rFonts w:ascii="Arial Mäori" w:hAnsi="Arial Mäori" w:cs="Arial Mäori"/>
          <w:b/>
          <w:bCs/>
          <w:sz w:val="23"/>
          <w:szCs w:val="23"/>
        </w:rPr>
      </w:pPr>
    </w:p>
    <w:p w14:paraId="7C06F3BA" w14:textId="77777777" w:rsidR="00572100" w:rsidRDefault="00572100" w:rsidP="00572100">
      <w:pPr>
        <w:pStyle w:val="Default"/>
        <w:jc w:val="center"/>
        <w:rPr>
          <w:rFonts w:ascii="Arial Mäori" w:hAnsi="Arial Mäori" w:cs="Arial Mäori"/>
          <w:b/>
          <w:bCs/>
          <w:sz w:val="23"/>
          <w:szCs w:val="23"/>
        </w:rPr>
      </w:pPr>
    </w:p>
    <w:p w14:paraId="581C2125" w14:textId="77777777" w:rsidR="00572100" w:rsidRDefault="00572100" w:rsidP="00572100">
      <w:pPr>
        <w:pStyle w:val="Default"/>
        <w:jc w:val="center"/>
        <w:rPr>
          <w:rFonts w:ascii="Arial Mäori" w:hAnsi="Arial Mäori" w:cs="Arial Mäori"/>
          <w:b/>
          <w:bCs/>
          <w:sz w:val="23"/>
          <w:szCs w:val="23"/>
        </w:rPr>
      </w:pPr>
    </w:p>
    <w:p w14:paraId="33F726F2" w14:textId="38A07022" w:rsidR="00572100" w:rsidRDefault="00365A23" w:rsidP="00572100">
      <w:pPr>
        <w:pStyle w:val="Default"/>
        <w:jc w:val="center"/>
        <w:rPr>
          <w:sz w:val="23"/>
          <w:szCs w:val="23"/>
        </w:rPr>
      </w:pPr>
      <w:r>
        <w:rPr>
          <w:rFonts w:ascii="Arial Mäori" w:hAnsi="Arial Mäori" w:cs="Arial Mäori"/>
          <w:b/>
          <w:bCs/>
          <w:sz w:val="23"/>
          <w:szCs w:val="23"/>
        </w:rPr>
        <w:t>November</w:t>
      </w:r>
      <w:r w:rsidR="00572100">
        <w:rPr>
          <w:rFonts w:ascii="Arial Mäori" w:hAnsi="Arial Mäori" w:cs="Arial Mäori"/>
          <w:b/>
          <w:bCs/>
          <w:sz w:val="23"/>
          <w:szCs w:val="23"/>
        </w:rPr>
        <w:t xml:space="preserve"> 2021</w:t>
      </w:r>
    </w:p>
    <w:p w14:paraId="4FE853F8" w14:textId="77777777" w:rsidR="00572100" w:rsidRDefault="00572100" w:rsidP="00BA3BB3">
      <w:pPr>
        <w:tabs>
          <w:tab w:val="left" w:pos="6795"/>
        </w:tabs>
        <w:rPr>
          <w:rFonts w:ascii="Arial" w:hAnsi="Arial"/>
          <w:b/>
        </w:rPr>
      </w:pPr>
    </w:p>
    <w:p w14:paraId="1B2BD6B3" w14:textId="7BD859C8" w:rsidR="001902C9" w:rsidRDefault="001902C9" w:rsidP="007C6A13"/>
    <w:p w14:paraId="7D817B9E" w14:textId="77777777" w:rsidR="00D971C4" w:rsidRDefault="00D971C4" w:rsidP="007C6A13"/>
    <w:p w14:paraId="332B5663" w14:textId="77777777" w:rsidR="003F3E5F" w:rsidRDefault="003F3E5F" w:rsidP="007C6A13">
      <w:r>
        <w:br w:type="page"/>
      </w:r>
    </w:p>
    <w:p w14:paraId="7A8F72FF" w14:textId="77777777" w:rsidR="00A319FC" w:rsidRDefault="00A319FC">
      <w:pPr>
        <w:spacing w:after="0" w:line="240" w:lineRule="auto"/>
        <w:rPr>
          <w:rFonts w:ascii="Arial" w:hAnsi="Arial"/>
          <w:b/>
          <w:color w:val="000000"/>
          <w:sz w:val="36"/>
          <w:szCs w:val="36"/>
        </w:rPr>
      </w:pPr>
      <w:r>
        <w:rPr>
          <w:b/>
          <w:sz w:val="36"/>
          <w:szCs w:val="36"/>
        </w:rPr>
        <w:lastRenderedPageBreak/>
        <w:br w:type="page"/>
      </w:r>
    </w:p>
    <w:p w14:paraId="28F9082A" w14:textId="24917057" w:rsidR="00572100" w:rsidRPr="000D31C5" w:rsidRDefault="00572100" w:rsidP="00572100">
      <w:pPr>
        <w:pStyle w:val="Default"/>
        <w:jc w:val="center"/>
        <w:rPr>
          <w:b/>
          <w:sz w:val="36"/>
          <w:szCs w:val="36"/>
        </w:rPr>
      </w:pPr>
      <w:r w:rsidRPr="000D31C5">
        <w:rPr>
          <w:b/>
          <w:sz w:val="36"/>
          <w:szCs w:val="36"/>
        </w:rPr>
        <w:lastRenderedPageBreak/>
        <w:t>Housing affordability for renters and owners:</w:t>
      </w:r>
    </w:p>
    <w:p w14:paraId="74BB0A3F" w14:textId="77777777" w:rsidR="00572100" w:rsidRPr="000D31C5" w:rsidRDefault="00572100" w:rsidP="00572100">
      <w:pPr>
        <w:tabs>
          <w:tab w:val="left" w:pos="6795"/>
        </w:tabs>
        <w:spacing w:after="0" w:line="240" w:lineRule="auto"/>
        <w:jc w:val="center"/>
        <w:rPr>
          <w:rFonts w:ascii="Arial" w:hAnsi="Arial"/>
          <w:b/>
          <w:sz w:val="36"/>
          <w:szCs w:val="36"/>
        </w:rPr>
      </w:pPr>
      <w:r w:rsidRPr="000D31C5">
        <w:rPr>
          <w:rFonts w:ascii="Arial" w:hAnsi="Arial"/>
          <w:b/>
          <w:sz w:val="36"/>
          <w:szCs w:val="36"/>
        </w:rPr>
        <w:t>International comparisons</w:t>
      </w:r>
    </w:p>
    <w:p w14:paraId="799092A8" w14:textId="77777777" w:rsidR="00572100" w:rsidRDefault="00572100" w:rsidP="00BE162F">
      <w:pPr>
        <w:spacing w:after="0" w:line="240" w:lineRule="auto"/>
        <w:jc w:val="both"/>
        <w:rPr>
          <w:rFonts w:ascii="Arial" w:eastAsia="Times New Roman" w:hAnsi="Arial" w:cs="Times New Roman"/>
          <w:szCs w:val="20"/>
        </w:rPr>
      </w:pPr>
    </w:p>
    <w:p w14:paraId="3B0F173D" w14:textId="58719A98" w:rsidR="00572100" w:rsidRDefault="00892B4A" w:rsidP="00BE162F">
      <w:pPr>
        <w:spacing w:after="0" w:line="240" w:lineRule="auto"/>
        <w:jc w:val="both"/>
        <w:rPr>
          <w:rFonts w:ascii="Arial" w:eastAsia="Times New Roman" w:hAnsi="Arial" w:cs="Times New Roman"/>
          <w:szCs w:val="20"/>
        </w:rPr>
      </w:pPr>
      <w:r>
        <w:rPr>
          <w:rFonts w:ascii="Arial" w:eastAsia="Times New Roman" w:hAnsi="Arial" w:cs="Times New Roman"/>
          <w:szCs w:val="20"/>
        </w:rPr>
        <w:t>Bryan Perry, MSD</w:t>
      </w:r>
    </w:p>
    <w:p w14:paraId="19449B9A" w14:textId="4386C4E2" w:rsidR="00892B4A" w:rsidRPr="005A7EF5" w:rsidRDefault="005A7EF5" w:rsidP="00BE162F">
      <w:pPr>
        <w:spacing w:after="0" w:line="240" w:lineRule="auto"/>
        <w:jc w:val="both"/>
        <w:rPr>
          <w:rFonts w:ascii="Arial" w:eastAsia="Times New Roman" w:hAnsi="Arial" w:cs="Times New Roman"/>
          <w:szCs w:val="20"/>
        </w:rPr>
      </w:pPr>
      <w:r>
        <w:rPr>
          <w:rFonts w:ascii="Arial" w:eastAsia="Times New Roman" w:hAnsi="Arial" w:cs="Times New Roman"/>
          <w:szCs w:val="20"/>
        </w:rPr>
        <w:t>November</w:t>
      </w:r>
      <w:r w:rsidR="00C9054A">
        <w:rPr>
          <w:rFonts w:ascii="Arial" w:eastAsia="Times New Roman" w:hAnsi="Arial" w:cs="Times New Roman"/>
          <w:szCs w:val="20"/>
        </w:rPr>
        <w:t xml:space="preserve"> </w:t>
      </w:r>
      <w:r w:rsidR="00892B4A">
        <w:rPr>
          <w:rFonts w:ascii="Arial" w:eastAsia="Times New Roman" w:hAnsi="Arial" w:cs="Times New Roman"/>
          <w:szCs w:val="20"/>
        </w:rPr>
        <w:t>2021</w:t>
      </w:r>
    </w:p>
    <w:p w14:paraId="54755CFE" w14:textId="357D6579" w:rsidR="00892B4A" w:rsidRDefault="00892B4A" w:rsidP="00BE162F">
      <w:pPr>
        <w:spacing w:after="0" w:line="240" w:lineRule="auto"/>
        <w:jc w:val="both"/>
        <w:rPr>
          <w:rFonts w:ascii="Arial" w:eastAsia="Times New Roman" w:hAnsi="Arial" w:cs="Times New Roman"/>
          <w:szCs w:val="20"/>
        </w:rPr>
      </w:pPr>
    </w:p>
    <w:p w14:paraId="37799807" w14:textId="58C9CE1F" w:rsidR="00FB1518" w:rsidRPr="006C3020" w:rsidRDefault="00FB1518" w:rsidP="00BE162F">
      <w:pPr>
        <w:spacing w:after="0" w:line="240" w:lineRule="auto"/>
        <w:jc w:val="both"/>
        <w:rPr>
          <w:rFonts w:ascii="Arial" w:eastAsia="Times New Roman" w:hAnsi="Arial" w:cs="Times New Roman"/>
          <w:b/>
          <w:bCs/>
          <w:sz w:val="24"/>
          <w:szCs w:val="24"/>
        </w:rPr>
      </w:pPr>
      <w:r w:rsidRPr="006C3020">
        <w:rPr>
          <w:rFonts w:ascii="Arial" w:eastAsia="Times New Roman" w:hAnsi="Arial" w:cs="Times New Roman"/>
          <w:b/>
          <w:bCs/>
          <w:sz w:val="24"/>
          <w:szCs w:val="24"/>
        </w:rPr>
        <w:t>Introduction</w:t>
      </w:r>
    </w:p>
    <w:p w14:paraId="3C04DB60" w14:textId="77777777" w:rsidR="00FB1518" w:rsidRDefault="00FB1518" w:rsidP="00BE162F">
      <w:pPr>
        <w:spacing w:after="0" w:line="240" w:lineRule="auto"/>
        <w:jc w:val="both"/>
        <w:rPr>
          <w:rFonts w:ascii="Arial" w:eastAsia="Times New Roman" w:hAnsi="Arial" w:cs="Times New Roman"/>
          <w:szCs w:val="20"/>
        </w:rPr>
      </w:pPr>
    </w:p>
    <w:p w14:paraId="35F732D0" w14:textId="2311836C" w:rsidR="00BE162F" w:rsidRPr="00BE162F" w:rsidRDefault="00BE162F" w:rsidP="00B00122">
      <w:pPr>
        <w:spacing w:after="0" w:line="240" w:lineRule="auto"/>
        <w:jc w:val="both"/>
        <w:rPr>
          <w:rFonts w:ascii="Arial" w:eastAsia="Times New Roman" w:hAnsi="Arial" w:cs="Times New Roman"/>
          <w:szCs w:val="20"/>
        </w:rPr>
      </w:pPr>
      <w:r w:rsidRPr="00BE162F">
        <w:rPr>
          <w:rFonts w:ascii="Arial" w:eastAsia="Times New Roman" w:hAnsi="Arial" w:cs="Times New Roman"/>
          <w:szCs w:val="20"/>
        </w:rPr>
        <w:t xml:space="preserve">High outgoings for housing costs relative to </w:t>
      </w:r>
      <w:r w:rsidR="00F179F0">
        <w:rPr>
          <w:rFonts w:ascii="Arial" w:eastAsia="Times New Roman" w:hAnsi="Arial" w:cs="Times New Roman"/>
          <w:szCs w:val="20"/>
        </w:rPr>
        <w:t xml:space="preserve">household </w:t>
      </w:r>
      <w:r w:rsidRPr="00BE162F">
        <w:rPr>
          <w:rFonts w:ascii="Arial" w:eastAsia="Times New Roman" w:hAnsi="Arial" w:cs="Times New Roman"/>
          <w:szCs w:val="20"/>
        </w:rPr>
        <w:t>income are often associated with financial stress for low- to middle-income households. Low-income households especially can be left with insufficient income to meet other basic needs such as food, clothing, basic household operations, transport, medical care and education for household members.</w:t>
      </w:r>
      <w:r w:rsidR="00C9054A">
        <w:rPr>
          <w:rStyle w:val="FootnoteReference"/>
          <w:rFonts w:ascii="Arial" w:eastAsia="Times New Roman" w:hAnsi="Arial" w:cs="Times New Roman"/>
          <w:szCs w:val="20"/>
        </w:rPr>
        <w:footnoteReference w:id="1"/>
      </w:r>
      <w:r w:rsidR="00B00122">
        <w:rPr>
          <w:rFonts w:ascii="Arial" w:eastAsia="Times New Roman" w:hAnsi="Arial" w:cs="Times New Roman"/>
          <w:szCs w:val="20"/>
        </w:rPr>
        <w:t xml:space="preserve"> </w:t>
      </w:r>
      <w:r w:rsidR="00645F98">
        <w:rPr>
          <w:rFonts w:ascii="Arial" w:eastAsia="Times New Roman" w:hAnsi="Arial" w:cs="Times New Roman"/>
          <w:szCs w:val="20"/>
        </w:rPr>
        <w:t xml:space="preserve">Unaffordable housing can also lead to overcrowding </w:t>
      </w:r>
      <w:r w:rsidR="00A15CDE">
        <w:rPr>
          <w:rFonts w:ascii="Arial" w:eastAsia="Times New Roman" w:hAnsi="Arial" w:cs="Times New Roman"/>
          <w:szCs w:val="20"/>
        </w:rPr>
        <w:t>with</w:t>
      </w:r>
      <w:r w:rsidR="00645F98">
        <w:rPr>
          <w:rFonts w:ascii="Arial" w:eastAsia="Times New Roman" w:hAnsi="Arial" w:cs="Times New Roman"/>
          <w:szCs w:val="20"/>
        </w:rPr>
        <w:t xml:space="preserve"> sharing accommodation and housing costs with others </w:t>
      </w:r>
      <w:r w:rsidR="00EA27E4">
        <w:rPr>
          <w:rFonts w:ascii="Arial" w:eastAsia="Times New Roman" w:hAnsi="Arial" w:cs="Times New Roman"/>
          <w:szCs w:val="20"/>
        </w:rPr>
        <w:t>used as</w:t>
      </w:r>
      <w:r w:rsidR="00645F98">
        <w:rPr>
          <w:rFonts w:ascii="Arial" w:eastAsia="Times New Roman" w:hAnsi="Arial" w:cs="Times New Roman"/>
          <w:szCs w:val="20"/>
        </w:rPr>
        <w:t xml:space="preserve"> a </w:t>
      </w:r>
      <w:r w:rsidR="00EA27E4">
        <w:rPr>
          <w:rFonts w:ascii="Arial" w:eastAsia="Times New Roman" w:hAnsi="Arial" w:cs="Times New Roman"/>
          <w:szCs w:val="20"/>
        </w:rPr>
        <w:t xml:space="preserve">survival </w:t>
      </w:r>
      <w:r w:rsidR="00645F98">
        <w:rPr>
          <w:rFonts w:ascii="Arial" w:eastAsia="Times New Roman" w:hAnsi="Arial" w:cs="Times New Roman"/>
          <w:szCs w:val="20"/>
        </w:rPr>
        <w:t>strategy.</w:t>
      </w:r>
    </w:p>
    <w:p w14:paraId="6765194C" w14:textId="77777777" w:rsidR="00BE162F" w:rsidRDefault="00BE162F" w:rsidP="00B00122">
      <w:pPr>
        <w:spacing w:after="0" w:line="240" w:lineRule="auto"/>
        <w:jc w:val="both"/>
        <w:rPr>
          <w:rFonts w:ascii="Arial" w:eastAsia="Times New Roman" w:hAnsi="Arial" w:cs="Times New Roman"/>
          <w:szCs w:val="20"/>
          <w:lang w:val="en-GB"/>
        </w:rPr>
      </w:pPr>
    </w:p>
    <w:p w14:paraId="6ACABB82" w14:textId="77777777" w:rsidR="008A64CE" w:rsidRDefault="00BE162F" w:rsidP="00B00122">
      <w:pPr>
        <w:spacing w:after="0" w:line="240" w:lineRule="auto"/>
        <w:jc w:val="both"/>
        <w:rPr>
          <w:rFonts w:ascii="Arial" w:eastAsia="Times New Roman" w:hAnsi="Arial" w:cs="Times New Roman"/>
          <w:szCs w:val="20"/>
          <w:lang w:val="en-GB"/>
        </w:rPr>
      </w:pPr>
      <w:r w:rsidRPr="00BE162F">
        <w:rPr>
          <w:rFonts w:ascii="Arial" w:eastAsia="Times New Roman" w:hAnsi="Arial" w:cs="Times New Roman"/>
          <w:szCs w:val="20"/>
          <w:lang w:val="en-GB"/>
        </w:rPr>
        <w:t xml:space="preserve">This </w:t>
      </w:r>
      <w:r w:rsidR="00534354">
        <w:rPr>
          <w:rFonts w:ascii="Arial" w:eastAsia="Times New Roman" w:hAnsi="Arial" w:cs="Times New Roman"/>
          <w:szCs w:val="20"/>
          <w:lang w:val="en-GB"/>
        </w:rPr>
        <w:t>report</w:t>
      </w:r>
      <w:r w:rsidR="008A64CE">
        <w:rPr>
          <w:rFonts w:ascii="Arial" w:eastAsia="Times New Roman" w:hAnsi="Arial" w:cs="Times New Roman"/>
          <w:szCs w:val="20"/>
          <w:lang w:val="en-GB"/>
        </w:rPr>
        <w:t>:</w:t>
      </w:r>
    </w:p>
    <w:p w14:paraId="038A0258" w14:textId="29DFB9E6" w:rsidR="008A64CE" w:rsidRPr="00464845" w:rsidRDefault="00A93C5E" w:rsidP="00B00122">
      <w:pPr>
        <w:pStyle w:val="ListParagraph"/>
        <w:numPr>
          <w:ilvl w:val="0"/>
          <w:numId w:val="15"/>
        </w:numPr>
        <w:spacing w:before="80" w:after="0" w:line="240" w:lineRule="auto"/>
        <w:ind w:left="714" w:hanging="357"/>
        <w:contextualSpacing w:val="0"/>
        <w:jc w:val="both"/>
        <w:rPr>
          <w:rFonts w:ascii="Arial" w:eastAsia="Times New Roman" w:hAnsi="Arial" w:cs="Times New Roman"/>
          <w:color w:val="000000" w:themeColor="text1"/>
          <w:szCs w:val="20"/>
          <w:lang w:val="en-GB"/>
        </w:rPr>
      </w:pPr>
      <w:r w:rsidRPr="00F925A2">
        <w:rPr>
          <w:rFonts w:ascii="Arial" w:eastAsia="Times New Roman" w:hAnsi="Arial" w:cs="Times New Roman"/>
          <w:color w:val="000000" w:themeColor="text1"/>
          <w:szCs w:val="20"/>
          <w:lang w:val="en-GB"/>
        </w:rPr>
        <w:t>s</w:t>
      </w:r>
      <w:r w:rsidR="00205E2A" w:rsidRPr="00F925A2">
        <w:rPr>
          <w:rFonts w:ascii="Arial" w:eastAsia="Times New Roman" w:hAnsi="Arial" w:cs="Times New Roman"/>
          <w:color w:val="000000" w:themeColor="text1"/>
          <w:szCs w:val="20"/>
          <w:lang w:val="en-GB"/>
        </w:rPr>
        <w:t>hows where</w:t>
      </w:r>
      <w:r w:rsidR="000D6A15" w:rsidRPr="00F925A2">
        <w:rPr>
          <w:rFonts w:ascii="Arial" w:eastAsia="Times New Roman" w:hAnsi="Arial" w:cs="Times New Roman"/>
          <w:color w:val="000000" w:themeColor="text1"/>
          <w:szCs w:val="20"/>
          <w:lang w:val="en-GB"/>
        </w:rPr>
        <w:t xml:space="preserve"> New Zealand ranks </w:t>
      </w:r>
      <w:r w:rsidR="00205E2A" w:rsidRPr="00F925A2">
        <w:rPr>
          <w:rFonts w:ascii="Arial" w:eastAsia="Times New Roman" w:hAnsi="Arial" w:cs="Times New Roman"/>
          <w:color w:val="000000" w:themeColor="text1"/>
          <w:szCs w:val="20"/>
          <w:lang w:val="en-GB"/>
        </w:rPr>
        <w:t xml:space="preserve">internationally </w:t>
      </w:r>
      <w:r w:rsidR="000D6A15" w:rsidRPr="00F925A2">
        <w:rPr>
          <w:rFonts w:ascii="Arial" w:eastAsia="Times New Roman" w:hAnsi="Arial" w:cs="Times New Roman"/>
          <w:color w:val="000000" w:themeColor="text1"/>
          <w:szCs w:val="20"/>
          <w:lang w:val="en-GB"/>
        </w:rPr>
        <w:t>on</w:t>
      </w:r>
      <w:r w:rsidR="00BE162F" w:rsidRPr="00F925A2">
        <w:rPr>
          <w:rFonts w:ascii="Arial" w:eastAsia="Times New Roman" w:hAnsi="Arial" w:cs="Times New Roman"/>
          <w:color w:val="000000" w:themeColor="text1"/>
          <w:szCs w:val="20"/>
          <w:lang w:val="en-GB"/>
        </w:rPr>
        <w:t xml:space="preserve"> </w:t>
      </w:r>
      <w:r w:rsidR="00205E2A" w:rsidRPr="00F925A2">
        <w:rPr>
          <w:rFonts w:ascii="Arial" w:eastAsia="Times New Roman" w:hAnsi="Arial" w:cs="Times New Roman"/>
          <w:color w:val="000000" w:themeColor="text1"/>
          <w:szCs w:val="20"/>
          <w:lang w:val="en-GB"/>
        </w:rPr>
        <w:t xml:space="preserve">selected aspects of </w:t>
      </w:r>
      <w:r w:rsidR="000F2ECE" w:rsidRPr="00F925A2">
        <w:rPr>
          <w:rFonts w:ascii="Arial" w:eastAsia="Times New Roman" w:hAnsi="Arial" w:cs="Times New Roman"/>
          <w:color w:val="000000" w:themeColor="text1"/>
          <w:szCs w:val="20"/>
          <w:lang w:val="en-GB"/>
        </w:rPr>
        <w:t>housing affordability</w:t>
      </w:r>
      <w:r w:rsidR="00D14ECD" w:rsidRPr="00F925A2">
        <w:rPr>
          <w:rFonts w:ascii="Arial" w:eastAsia="Times New Roman" w:hAnsi="Arial" w:cs="Times New Roman"/>
          <w:color w:val="000000" w:themeColor="text1"/>
          <w:szCs w:val="20"/>
          <w:lang w:val="en-GB"/>
        </w:rPr>
        <w:t xml:space="preserve"> for those already in their own homes or renting</w:t>
      </w:r>
      <w:r w:rsidR="00AC5FD8">
        <w:rPr>
          <w:rFonts w:ascii="Arial" w:eastAsia="Times New Roman" w:hAnsi="Arial" w:cs="Times New Roman"/>
          <w:color w:val="000000" w:themeColor="text1"/>
          <w:szCs w:val="20"/>
          <w:lang w:val="en-GB"/>
        </w:rPr>
        <w:t xml:space="preserve">, </w:t>
      </w:r>
      <w:r w:rsidR="00D14ECD" w:rsidRPr="00F925A2">
        <w:rPr>
          <w:rFonts w:ascii="Arial" w:eastAsia="Times New Roman" w:hAnsi="Arial" w:cs="Times New Roman"/>
          <w:color w:val="000000" w:themeColor="text1"/>
          <w:szCs w:val="20"/>
          <w:lang w:val="en-GB"/>
        </w:rPr>
        <w:t>using a high</w:t>
      </w:r>
      <w:r w:rsidR="00AC5FD8">
        <w:rPr>
          <w:rFonts w:ascii="Arial" w:eastAsia="Times New Roman" w:hAnsi="Arial" w:cs="Times New Roman"/>
          <w:color w:val="000000" w:themeColor="text1"/>
          <w:szCs w:val="20"/>
          <w:lang w:val="en-GB"/>
        </w:rPr>
        <w:t xml:space="preserve"> </w:t>
      </w:r>
      <w:r w:rsidR="00BE162F" w:rsidRPr="00F925A2">
        <w:rPr>
          <w:rFonts w:ascii="Arial" w:eastAsia="Times New Roman" w:hAnsi="Arial" w:cs="Times New Roman"/>
          <w:color w:val="000000" w:themeColor="text1"/>
          <w:szCs w:val="20"/>
          <w:lang w:val="en-GB"/>
        </w:rPr>
        <w:t>housing costs</w:t>
      </w:r>
      <w:r w:rsidR="00C12E09" w:rsidRPr="00F925A2">
        <w:rPr>
          <w:rFonts w:ascii="Arial" w:eastAsia="Times New Roman" w:hAnsi="Arial" w:cs="Times New Roman"/>
          <w:color w:val="000000" w:themeColor="text1"/>
          <w:szCs w:val="20"/>
          <w:lang w:val="en-GB"/>
        </w:rPr>
        <w:t xml:space="preserve"> </w:t>
      </w:r>
      <w:r w:rsidR="000D6A15" w:rsidRPr="00F925A2">
        <w:rPr>
          <w:rFonts w:ascii="Arial" w:eastAsia="Times New Roman" w:hAnsi="Arial" w:cs="Times New Roman"/>
          <w:color w:val="000000" w:themeColor="text1"/>
          <w:szCs w:val="20"/>
          <w:lang w:val="en-GB"/>
        </w:rPr>
        <w:t xml:space="preserve">relative to </w:t>
      </w:r>
      <w:r w:rsidR="003C2A1F" w:rsidRPr="00F925A2">
        <w:rPr>
          <w:rFonts w:ascii="Arial" w:eastAsia="Times New Roman" w:hAnsi="Arial" w:cs="Times New Roman"/>
          <w:color w:val="000000" w:themeColor="text1"/>
          <w:szCs w:val="20"/>
          <w:lang w:val="en-GB"/>
        </w:rPr>
        <w:t xml:space="preserve">household </w:t>
      </w:r>
      <w:r w:rsidR="000D6A15" w:rsidRPr="00464845">
        <w:rPr>
          <w:rFonts w:ascii="Arial" w:eastAsia="Times New Roman" w:hAnsi="Arial" w:cs="Times New Roman"/>
          <w:color w:val="000000" w:themeColor="text1"/>
          <w:szCs w:val="20"/>
          <w:lang w:val="en-GB"/>
        </w:rPr>
        <w:t>income</w:t>
      </w:r>
      <w:r w:rsidR="008A64CE" w:rsidRPr="00464845">
        <w:rPr>
          <w:rFonts w:ascii="Arial" w:eastAsia="Times New Roman" w:hAnsi="Arial" w:cs="Times New Roman"/>
          <w:color w:val="000000" w:themeColor="text1"/>
          <w:szCs w:val="20"/>
          <w:lang w:val="en-GB"/>
        </w:rPr>
        <w:t xml:space="preserve"> </w:t>
      </w:r>
      <w:r w:rsidR="00D14ECD" w:rsidRPr="00464845">
        <w:rPr>
          <w:rFonts w:ascii="Arial" w:eastAsia="Times New Roman" w:hAnsi="Arial" w:cs="Times New Roman"/>
          <w:color w:val="000000" w:themeColor="text1"/>
          <w:szCs w:val="20"/>
          <w:lang w:val="en-GB"/>
        </w:rPr>
        <w:t>measure, applied to</w:t>
      </w:r>
      <w:r w:rsidR="008A64CE" w:rsidRPr="00464845">
        <w:rPr>
          <w:rFonts w:ascii="Arial" w:eastAsia="Times New Roman" w:hAnsi="Arial" w:cs="Times New Roman"/>
          <w:color w:val="000000" w:themeColor="text1"/>
          <w:szCs w:val="20"/>
          <w:lang w:val="en-GB"/>
        </w:rPr>
        <w:t xml:space="preserve"> lower-income households</w:t>
      </w:r>
      <w:r w:rsidR="000F2ECE" w:rsidRPr="00464845">
        <w:rPr>
          <w:rFonts w:ascii="Arial" w:eastAsia="Times New Roman" w:hAnsi="Arial" w:cs="Times New Roman"/>
          <w:color w:val="000000" w:themeColor="text1"/>
          <w:szCs w:val="20"/>
          <w:lang w:val="en-GB"/>
        </w:rPr>
        <w:t xml:space="preserve"> </w:t>
      </w:r>
    </w:p>
    <w:p w14:paraId="7E82FE6D" w14:textId="6FD00059" w:rsidR="008A64CE" w:rsidRPr="00464845" w:rsidRDefault="00A93C5E" w:rsidP="00B00122">
      <w:pPr>
        <w:pStyle w:val="ListParagraph"/>
        <w:numPr>
          <w:ilvl w:val="0"/>
          <w:numId w:val="15"/>
        </w:numPr>
        <w:spacing w:before="80" w:after="0" w:line="240" w:lineRule="auto"/>
        <w:ind w:left="714" w:hanging="357"/>
        <w:contextualSpacing w:val="0"/>
        <w:jc w:val="both"/>
        <w:rPr>
          <w:rFonts w:ascii="Arial" w:eastAsia="Times New Roman" w:hAnsi="Arial" w:cs="Times New Roman"/>
          <w:color w:val="000000" w:themeColor="text1"/>
          <w:szCs w:val="20"/>
          <w:lang w:val="en-GB"/>
        </w:rPr>
      </w:pPr>
      <w:r w:rsidRPr="00464845">
        <w:rPr>
          <w:rFonts w:ascii="Arial" w:eastAsia="Times New Roman" w:hAnsi="Arial" w:cs="Times New Roman"/>
          <w:color w:val="000000" w:themeColor="text1"/>
          <w:szCs w:val="20"/>
          <w:lang w:val="en-GB"/>
        </w:rPr>
        <w:t>p</w:t>
      </w:r>
      <w:r w:rsidR="008A64CE" w:rsidRPr="00464845">
        <w:rPr>
          <w:rFonts w:ascii="Arial" w:eastAsia="Times New Roman" w:hAnsi="Arial" w:cs="Times New Roman"/>
          <w:color w:val="000000" w:themeColor="text1"/>
          <w:szCs w:val="20"/>
          <w:lang w:val="en-GB"/>
        </w:rPr>
        <w:t xml:space="preserve">rovides international comparisons </w:t>
      </w:r>
      <w:r w:rsidR="00AC5FD8" w:rsidRPr="00464845">
        <w:rPr>
          <w:rFonts w:ascii="Arial" w:eastAsia="Times New Roman" w:hAnsi="Arial" w:cs="Times New Roman"/>
          <w:color w:val="000000" w:themeColor="text1"/>
          <w:szCs w:val="20"/>
          <w:lang w:val="en-GB"/>
        </w:rPr>
        <w:t>of</w:t>
      </w:r>
      <w:r w:rsidR="00F925A2" w:rsidRPr="00464845">
        <w:rPr>
          <w:rFonts w:ascii="Arial" w:eastAsia="Times New Roman" w:hAnsi="Arial" w:cs="Times New Roman"/>
          <w:color w:val="000000" w:themeColor="text1"/>
          <w:szCs w:val="20"/>
          <w:lang w:val="en-GB"/>
        </w:rPr>
        <w:t xml:space="preserve"> </w:t>
      </w:r>
      <w:r w:rsidR="008A64CE" w:rsidRPr="00464845">
        <w:rPr>
          <w:rFonts w:ascii="Arial" w:eastAsia="Times New Roman" w:hAnsi="Arial" w:cs="Times New Roman"/>
          <w:color w:val="000000" w:themeColor="text1"/>
          <w:szCs w:val="20"/>
          <w:lang w:val="en-GB"/>
        </w:rPr>
        <w:t xml:space="preserve">housing costs </w:t>
      </w:r>
      <w:r w:rsidR="00EA27E4" w:rsidRPr="00464845">
        <w:rPr>
          <w:rFonts w:ascii="Arial" w:eastAsia="Times New Roman" w:hAnsi="Arial" w:cs="Times New Roman"/>
          <w:color w:val="000000" w:themeColor="text1"/>
          <w:szCs w:val="20"/>
          <w:lang w:val="en-GB"/>
        </w:rPr>
        <w:t xml:space="preserve">as a proportion of income </w:t>
      </w:r>
      <w:r w:rsidRPr="00464845">
        <w:rPr>
          <w:rFonts w:ascii="Arial" w:eastAsia="Times New Roman" w:hAnsi="Arial" w:cs="Times New Roman"/>
          <w:color w:val="000000" w:themeColor="text1"/>
          <w:szCs w:val="20"/>
          <w:lang w:val="en-GB"/>
        </w:rPr>
        <w:t>for owners and renters</w:t>
      </w:r>
      <w:r w:rsidR="00E70FB6" w:rsidRPr="00464845">
        <w:rPr>
          <w:rFonts w:ascii="Arial" w:eastAsia="Times New Roman" w:hAnsi="Arial" w:cs="Times New Roman"/>
          <w:color w:val="000000" w:themeColor="text1"/>
          <w:szCs w:val="20"/>
          <w:lang w:val="en-GB"/>
        </w:rPr>
        <w:t>,</w:t>
      </w:r>
      <w:r w:rsidR="00CC4BF9" w:rsidRPr="00464845">
        <w:rPr>
          <w:rFonts w:ascii="Arial" w:eastAsia="Times New Roman" w:hAnsi="Arial" w:cs="Times New Roman"/>
          <w:color w:val="000000" w:themeColor="text1"/>
          <w:szCs w:val="20"/>
          <w:lang w:val="en-GB"/>
        </w:rPr>
        <w:t xml:space="preserve"> going beyond lower-income households </w:t>
      </w:r>
      <w:r w:rsidRPr="00464845">
        <w:rPr>
          <w:rFonts w:ascii="Arial" w:eastAsia="Times New Roman" w:hAnsi="Arial" w:cs="Times New Roman"/>
          <w:color w:val="000000" w:themeColor="text1"/>
          <w:szCs w:val="20"/>
          <w:lang w:val="en-GB"/>
        </w:rPr>
        <w:t>and covering</w:t>
      </w:r>
      <w:r w:rsidR="008A64CE" w:rsidRPr="00464845">
        <w:rPr>
          <w:rFonts w:ascii="Arial" w:eastAsia="Times New Roman" w:hAnsi="Arial" w:cs="Times New Roman"/>
          <w:color w:val="000000" w:themeColor="text1"/>
          <w:szCs w:val="20"/>
          <w:lang w:val="en-GB"/>
        </w:rPr>
        <w:t xml:space="preserve"> </w:t>
      </w:r>
      <w:r w:rsidR="00D14ECD" w:rsidRPr="00464845">
        <w:rPr>
          <w:rFonts w:ascii="Arial" w:eastAsia="Times New Roman" w:hAnsi="Arial" w:cs="Times New Roman"/>
          <w:color w:val="000000" w:themeColor="text1"/>
          <w:szCs w:val="20"/>
          <w:lang w:val="en-GB"/>
        </w:rPr>
        <w:t>the whole population</w:t>
      </w:r>
    </w:p>
    <w:p w14:paraId="6A0CABD1" w14:textId="38F321AA" w:rsidR="001C7A61" w:rsidRPr="00F925A2" w:rsidRDefault="00D14ECD" w:rsidP="00B00122">
      <w:pPr>
        <w:pStyle w:val="ListParagraph"/>
        <w:numPr>
          <w:ilvl w:val="0"/>
          <w:numId w:val="15"/>
        </w:numPr>
        <w:spacing w:before="80" w:after="0" w:line="240" w:lineRule="auto"/>
        <w:ind w:left="714" w:hanging="357"/>
        <w:contextualSpacing w:val="0"/>
        <w:jc w:val="both"/>
        <w:rPr>
          <w:rFonts w:ascii="Arial" w:eastAsia="Times New Roman" w:hAnsi="Arial" w:cs="Times New Roman"/>
          <w:color w:val="000000" w:themeColor="text1"/>
          <w:szCs w:val="20"/>
          <w:lang w:val="en-GB"/>
        </w:rPr>
      </w:pPr>
      <w:r w:rsidRPr="00464845">
        <w:rPr>
          <w:rFonts w:ascii="Arial" w:eastAsia="Times New Roman" w:hAnsi="Arial" w:cs="Times New Roman"/>
          <w:color w:val="000000" w:themeColor="text1"/>
          <w:szCs w:val="20"/>
          <w:lang w:val="en-GB"/>
        </w:rPr>
        <w:t>outlines the different approaches taken to measuring housing costs relative to income</w:t>
      </w:r>
      <w:r w:rsidR="00E93331" w:rsidRPr="00464845">
        <w:rPr>
          <w:rFonts w:ascii="Arial" w:eastAsia="Times New Roman" w:hAnsi="Arial" w:cs="Times New Roman"/>
          <w:color w:val="000000" w:themeColor="text1"/>
          <w:szCs w:val="20"/>
          <w:lang w:val="en-GB"/>
        </w:rPr>
        <w:t xml:space="preserve"> (for international comparisons)</w:t>
      </w:r>
      <w:r w:rsidRPr="00464845">
        <w:rPr>
          <w:rFonts w:ascii="Arial" w:eastAsia="Times New Roman" w:hAnsi="Arial" w:cs="Times New Roman"/>
          <w:color w:val="000000" w:themeColor="text1"/>
          <w:szCs w:val="20"/>
          <w:lang w:val="en-GB"/>
        </w:rPr>
        <w:t>, and</w:t>
      </w:r>
      <w:r w:rsidR="00A93C5E" w:rsidRPr="00464845">
        <w:rPr>
          <w:rFonts w:ascii="Arial" w:eastAsia="Times New Roman" w:hAnsi="Arial" w:cs="Times New Roman"/>
          <w:color w:val="000000" w:themeColor="text1"/>
          <w:szCs w:val="20"/>
          <w:lang w:val="en-GB"/>
        </w:rPr>
        <w:t xml:space="preserve"> </w:t>
      </w:r>
      <w:r w:rsidR="00F24DEA" w:rsidRPr="00464845">
        <w:rPr>
          <w:rFonts w:ascii="Arial" w:eastAsia="Times New Roman" w:hAnsi="Arial" w:cs="Times New Roman"/>
          <w:color w:val="000000" w:themeColor="text1"/>
          <w:szCs w:val="20"/>
          <w:lang w:val="en-GB"/>
        </w:rPr>
        <w:t>illustrates how these different</w:t>
      </w:r>
      <w:r w:rsidR="00F24DEA" w:rsidRPr="00F925A2">
        <w:rPr>
          <w:rFonts w:ascii="Arial" w:eastAsia="Times New Roman" w:hAnsi="Arial" w:cs="Times New Roman"/>
          <w:color w:val="000000" w:themeColor="text1"/>
          <w:szCs w:val="20"/>
          <w:lang w:val="en-GB"/>
        </w:rPr>
        <w:t xml:space="preserve"> approaches and the </w:t>
      </w:r>
      <w:r w:rsidR="000D39FE" w:rsidRPr="00F925A2">
        <w:rPr>
          <w:rFonts w:ascii="Arial" w:eastAsia="Times New Roman" w:hAnsi="Arial" w:cs="Times New Roman"/>
          <w:color w:val="000000" w:themeColor="text1"/>
          <w:szCs w:val="20"/>
          <w:lang w:val="en-GB"/>
        </w:rPr>
        <w:t xml:space="preserve">inclusion or exclusion of </w:t>
      </w:r>
      <w:r w:rsidR="00A93C5E" w:rsidRPr="00F925A2">
        <w:rPr>
          <w:rFonts w:ascii="Arial" w:eastAsia="Times New Roman" w:hAnsi="Arial" w:cs="Times New Roman"/>
          <w:color w:val="000000" w:themeColor="text1"/>
          <w:szCs w:val="20"/>
          <w:lang w:val="en-GB"/>
        </w:rPr>
        <w:t>different sub-groups</w:t>
      </w:r>
      <w:r w:rsidR="00E70FB6" w:rsidRPr="00F925A2">
        <w:rPr>
          <w:rFonts w:ascii="Arial" w:eastAsia="Times New Roman" w:hAnsi="Arial" w:cs="Times New Roman"/>
          <w:color w:val="000000" w:themeColor="text1"/>
          <w:szCs w:val="20"/>
          <w:lang w:val="en-GB"/>
        </w:rPr>
        <w:t xml:space="preserve"> in the analysis</w:t>
      </w:r>
      <w:r w:rsidR="00A93C5E" w:rsidRPr="00F925A2">
        <w:rPr>
          <w:rFonts w:ascii="Arial" w:eastAsia="Times New Roman" w:hAnsi="Arial" w:cs="Times New Roman"/>
          <w:color w:val="000000" w:themeColor="text1"/>
          <w:szCs w:val="20"/>
          <w:lang w:val="en-GB"/>
        </w:rPr>
        <w:t xml:space="preserve"> can</w:t>
      </w:r>
      <w:r w:rsidR="00F24DEA" w:rsidRPr="00F925A2">
        <w:rPr>
          <w:rFonts w:ascii="Arial" w:eastAsia="Times New Roman" w:hAnsi="Arial" w:cs="Times New Roman"/>
          <w:color w:val="000000" w:themeColor="text1"/>
          <w:szCs w:val="20"/>
          <w:lang w:val="en-GB"/>
        </w:rPr>
        <w:t xml:space="preserve"> </w:t>
      </w:r>
      <w:r w:rsidR="00A93C5E" w:rsidRPr="00F925A2">
        <w:rPr>
          <w:rFonts w:ascii="Arial" w:eastAsia="Times New Roman" w:hAnsi="Arial" w:cs="Times New Roman"/>
          <w:color w:val="000000" w:themeColor="text1"/>
          <w:szCs w:val="20"/>
          <w:lang w:val="en-GB"/>
        </w:rPr>
        <w:t>impact on the overall picture</w:t>
      </w:r>
      <w:r w:rsidR="00F24DEA" w:rsidRPr="00F925A2">
        <w:rPr>
          <w:rFonts w:ascii="Arial" w:eastAsia="Times New Roman" w:hAnsi="Arial" w:cs="Times New Roman"/>
          <w:color w:val="000000" w:themeColor="text1"/>
          <w:szCs w:val="20"/>
          <w:lang w:val="en-GB"/>
        </w:rPr>
        <w:t xml:space="preserve"> produced.</w:t>
      </w:r>
      <w:r w:rsidR="00A93C5E" w:rsidRPr="00F925A2">
        <w:rPr>
          <w:rFonts w:ascii="Arial" w:eastAsia="Times New Roman" w:hAnsi="Arial" w:cs="Times New Roman"/>
          <w:color w:val="000000" w:themeColor="text1"/>
          <w:szCs w:val="20"/>
          <w:lang w:val="en-GB"/>
        </w:rPr>
        <w:t xml:space="preserve"> </w:t>
      </w:r>
    </w:p>
    <w:p w14:paraId="032872B5" w14:textId="77777777" w:rsidR="001C7A61" w:rsidRPr="001425B5" w:rsidRDefault="001C7A61" w:rsidP="005B2901">
      <w:pPr>
        <w:spacing w:after="0" w:line="240" w:lineRule="auto"/>
        <w:jc w:val="both"/>
        <w:rPr>
          <w:rFonts w:ascii="Arial" w:eastAsia="Times New Roman" w:hAnsi="Arial" w:cs="Times New Roman"/>
          <w:color w:val="000000" w:themeColor="text1"/>
          <w:szCs w:val="20"/>
          <w:lang w:val="en-GB"/>
        </w:rPr>
      </w:pPr>
    </w:p>
    <w:p w14:paraId="41C52DF2" w14:textId="416FC38A" w:rsidR="005B2901" w:rsidRPr="001425B5" w:rsidRDefault="005B2901" w:rsidP="005B2901">
      <w:pPr>
        <w:spacing w:after="0" w:line="240" w:lineRule="auto"/>
        <w:jc w:val="both"/>
        <w:rPr>
          <w:rFonts w:ascii="Arial" w:eastAsia="Times New Roman" w:hAnsi="Arial" w:cs="Times New Roman"/>
          <w:color w:val="000000" w:themeColor="text1"/>
          <w:szCs w:val="20"/>
          <w:lang w:val="en-GB"/>
        </w:rPr>
      </w:pPr>
      <w:r w:rsidRPr="001425B5">
        <w:rPr>
          <w:rFonts w:ascii="Arial" w:eastAsia="Times New Roman" w:hAnsi="Arial" w:cs="Times New Roman"/>
          <w:color w:val="000000" w:themeColor="text1"/>
          <w:szCs w:val="20"/>
          <w:lang w:val="en-GB"/>
        </w:rPr>
        <w:t>The analysis uses data from Stats NZ’s Household Economic Survey (HES)</w:t>
      </w:r>
      <w:r w:rsidRPr="001425B5">
        <w:rPr>
          <w:rStyle w:val="FootnoteReference"/>
          <w:rFonts w:ascii="Arial" w:eastAsia="Times New Roman" w:hAnsi="Arial" w:cs="Times New Roman"/>
          <w:color w:val="000000" w:themeColor="text1"/>
          <w:szCs w:val="20"/>
          <w:lang w:val="en-GB"/>
        </w:rPr>
        <w:footnoteReference w:id="2"/>
      </w:r>
      <w:r w:rsidR="00402169" w:rsidRPr="001425B5">
        <w:rPr>
          <w:rFonts w:ascii="Arial" w:eastAsia="Times New Roman" w:hAnsi="Arial" w:cs="Times New Roman"/>
          <w:color w:val="000000" w:themeColor="text1"/>
          <w:szCs w:val="20"/>
          <w:lang w:val="en-GB"/>
        </w:rPr>
        <w:t xml:space="preserve"> to produce two sets of comparisons:</w:t>
      </w:r>
    </w:p>
    <w:p w14:paraId="27F69FB1" w14:textId="39AC98FC" w:rsidR="00473D68" w:rsidRPr="001425B5" w:rsidRDefault="00473D68" w:rsidP="001425B5">
      <w:pPr>
        <w:pStyle w:val="ListParagraph"/>
        <w:numPr>
          <w:ilvl w:val="0"/>
          <w:numId w:val="19"/>
        </w:numPr>
        <w:spacing w:before="120" w:after="0" w:line="240" w:lineRule="auto"/>
        <w:jc w:val="both"/>
        <w:rPr>
          <w:rFonts w:ascii="Arial" w:eastAsia="Times New Roman" w:hAnsi="Arial" w:cs="Times New Roman"/>
          <w:color w:val="000000" w:themeColor="text1"/>
          <w:sz w:val="18"/>
          <w:szCs w:val="20"/>
          <w:lang w:val="en-GB"/>
        </w:rPr>
      </w:pPr>
      <w:r w:rsidRPr="001425B5">
        <w:rPr>
          <w:rFonts w:ascii="Arial" w:eastAsia="Times New Roman" w:hAnsi="Arial" w:cs="Times New Roman"/>
          <w:color w:val="000000" w:themeColor="text1"/>
          <w:szCs w:val="20"/>
          <w:lang w:val="en-GB"/>
        </w:rPr>
        <w:t xml:space="preserve">It first re-visits and updates some housing affordability information </w:t>
      </w:r>
      <w:r w:rsidR="00AC2446" w:rsidRPr="001425B5">
        <w:rPr>
          <w:rFonts w:ascii="Arial" w:eastAsia="Times New Roman" w:hAnsi="Arial" w:cs="Times New Roman"/>
          <w:color w:val="000000" w:themeColor="text1"/>
          <w:szCs w:val="20"/>
          <w:lang w:val="en-GB"/>
        </w:rPr>
        <w:t xml:space="preserve">first </w:t>
      </w:r>
      <w:r w:rsidRPr="001425B5">
        <w:rPr>
          <w:rFonts w:ascii="Arial" w:eastAsia="Times New Roman" w:hAnsi="Arial" w:cs="Times New Roman"/>
          <w:color w:val="000000" w:themeColor="text1"/>
          <w:szCs w:val="20"/>
          <w:lang w:val="en-GB"/>
        </w:rPr>
        <w:t xml:space="preserve">published by the </w:t>
      </w:r>
      <w:r w:rsidRPr="001425B5">
        <w:rPr>
          <w:rFonts w:ascii="Arial" w:eastAsia="Times New Roman" w:hAnsi="Arial" w:cs="Times New Roman"/>
          <w:b/>
          <w:bCs/>
          <w:color w:val="000000" w:themeColor="text1"/>
          <w:szCs w:val="20"/>
          <w:u w:val="single"/>
          <w:lang w:val="en-GB"/>
        </w:rPr>
        <w:t>OECD</w:t>
      </w:r>
      <w:r w:rsidRPr="001425B5">
        <w:rPr>
          <w:rFonts w:ascii="Arial" w:eastAsia="Times New Roman" w:hAnsi="Arial" w:cs="Times New Roman"/>
          <w:color w:val="000000" w:themeColor="text1"/>
          <w:szCs w:val="20"/>
          <w:lang w:val="en-GB"/>
        </w:rPr>
        <w:t xml:space="preserve"> in 2018.</w:t>
      </w:r>
      <w:r w:rsidR="00A55255" w:rsidRPr="001425B5">
        <w:rPr>
          <w:rStyle w:val="FootnoteReference"/>
          <w:rFonts w:ascii="Arial" w:eastAsia="Times New Roman" w:hAnsi="Arial" w:cs="Times New Roman"/>
          <w:color w:val="000000" w:themeColor="text1"/>
          <w:szCs w:val="20"/>
          <w:lang w:val="en-GB"/>
        </w:rPr>
        <w:footnoteReference w:id="3"/>
      </w:r>
      <w:r w:rsidRPr="001425B5">
        <w:rPr>
          <w:rFonts w:ascii="Arial" w:eastAsia="Times New Roman" w:hAnsi="Arial" w:cs="Times New Roman"/>
          <w:color w:val="000000" w:themeColor="text1"/>
          <w:szCs w:val="20"/>
          <w:lang w:val="en-GB"/>
        </w:rPr>
        <w:t xml:space="preserve"> The OECD report </w:t>
      </w:r>
      <w:r w:rsidR="00F65F29" w:rsidRPr="001425B5">
        <w:rPr>
          <w:rFonts w:ascii="Arial" w:eastAsia="Times New Roman" w:hAnsi="Arial" w:cs="Times New Roman"/>
          <w:color w:val="000000" w:themeColor="text1"/>
          <w:szCs w:val="20"/>
          <w:lang w:val="en-GB"/>
        </w:rPr>
        <w:t>limits housing costs to mortgage and rent payments</w:t>
      </w:r>
      <w:r w:rsidR="0059400B" w:rsidRPr="001425B5">
        <w:rPr>
          <w:rFonts w:ascii="Arial" w:eastAsia="Times New Roman" w:hAnsi="Arial" w:cs="Times New Roman"/>
          <w:color w:val="000000" w:themeColor="text1"/>
          <w:szCs w:val="20"/>
          <w:lang w:val="en-GB"/>
        </w:rPr>
        <w:t xml:space="preserve"> and uses the ‘more-than-40%’ outgoings-to-income (OTI) threshold. The</w:t>
      </w:r>
      <w:r w:rsidR="00F65F29" w:rsidRPr="001425B5">
        <w:rPr>
          <w:rFonts w:ascii="Arial" w:eastAsia="Times New Roman" w:hAnsi="Arial" w:cs="Times New Roman"/>
          <w:color w:val="000000" w:themeColor="text1"/>
          <w:szCs w:val="20"/>
          <w:lang w:val="en-GB"/>
        </w:rPr>
        <w:t xml:space="preserve"> analysis</w:t>
      </w:r>
      <w:r w:rsidR="00741FDD" w:rsidRPr="001425B5">
        <w:rPr>
          <w:rFonts w:ascii="Arial" w:eastAsia="Times New Roman" w:hAnsi="Arial" w:cs="Times New Roman"/>
          <w:color w:val="000000" w:themeColor="text1"/>
          <w:szCs w:val="20"/>
          <w:lang w:val="en-GB"/>
        </w:rPr>
        <w:t xml:space="preserve"> excludes</w:t>
      </w:r>
      <w:r w:rsidRPr="001425B5">
        <w:rPr>
          <w:rFonts w:ascii="Arial" w:eastAsia="Times New Roman" w:hAnsi="Arial" w:cs="Times New Roman"/>
          <w:color w:val="000000" w:themeColor="text1"/>
          <w:szCs w:val="20"/>
          <w:lang w:val="en-GB"/>
        </w:rPr>
        <w:t xml:space="preserve"> those who own outright (no mortgage</w:t>
      </w:r>
      <w:r w:rsidR="0059400B" w:rsidRPr="001425B5">
        <w:rPr>
          <w:rFonts w:ascii="Arial" w:eastAsia="Times New Roman" w:hAnsi="Arial" w:cs="Times New Roman"/>
          <w:color w:val="000000" w:themeColor="text1"/>
          <w:szCs w:val="20"/>
          <w:lang w:val="en-GB"/>
        </w:rPr>
        <w:t>).</w:t>
      </w:r>
      <w:r w:rsidRPr="001425B5">
        <w:rPr>
          <w:rFonts w:ascii="Arial" w:eastAsia="Times New Roman" w:hAnsi="Arial" w:cs="Times New Roman"/>
          <w:color w:val="000000" w:themeColor="text1"/>
          <w:szCs w:val="20"/>
          <w:lang w:val="en-GB"/>
        </w:rPr>
        <w:t xml:space="preserve"> It </w:t>
      </w:r>
      <w:r w:rsidR="0059400B" w:rsidRPr="001425B5">
        <w:rPr>
          <w:rFonts w:ascii="Arial" w:eastAsia="Times New Roman" w:hAnsi="Arial" w:cs="Times New Roman"/>
          <w:color w:val="000000" w:themeColor="text1"/>
          <w:szCs w:val="20"/>
          <w:lang w:val="en-GB"/>
        </w:rPr>
        <w:t>reports</w:t>
      </w:r>
      <w:r w:rsidRPr="001425B5">
        <w:rPr>
          <w:rFonts w:ascii="Arial" w:eastAsia="Times New Roman" w:hAnsi="Arial" w:cs="Times New Roman"/>
          <w:color w:val="000000" w:themeColor="text1"/>
          <w:szCs w:val="20"/>
          <w:lang w:val="en-GB"/>
        </w:rPr>
        <w:t xml:space="preserve"> </w:t>
      </w:r>
      <w:r w:rsidR="00E70FB6" w:rsidRPr="001425B5">
        <w:rPr>
          <w:rFonts w:ascii="Arial" w:eastAsia="Times New Roman" w:hAnsi="Arial" w:cs="Times New Roman"/>
          <w:color w:val="000000" w:themeColor="text1"/>
          <w:szCs w:val="20"/>
          <w:lang w:val="en-GB"/>
        </w:rPr>
        <w:t xml:space="preserve">country </w:t>
      </w:r>
      <w:r w:rsidR="0059400B" w:rsidRPr="001425B5">
        <w:rPr>
          <w:rFonts w:ascii="Arial" w:eastAsia="Times New Roman" w:hAnsi="Arial" w:cs="Times New Roman"/>
          <w:color w:val="000000" w:themeColor="text1"/>
          <w:szCs w:val="20"/>
          <w:lang w:val="en-GB"/>
        </w:rPr>
        <w:t>rankings for households</w:t>
      </w:r>
      <w:r w:rsidRPr="001425B5">
        <w:rPr>
          <w:rFonts w:ascii="Arial" w:eastAsia="Times New Roman" w:hAnsi="Arial" w:cs="Times New Roman"/>
          <w:color w:val="000000" w:themeColor="text1"/>
          <w:szCs w:val="20"/>
          <w:lang w:val="en-GB"/>
        </w:rPr>
        <w:t xml:space="preserve"> in the lowe</w:t>
      </w:r>
      <w:r w:rsidR="0059400B" w:rsidRPr="001425B5">
        <w:rPr>
          <w:rFonts w:ascii="Arial" w:eastAsia="Times New Roman" w:hAnsi="Arial" w:cs="Times New Roman"/>
          <w:color w:val="000000" w:themeColor="text1"/>
          <w:szCs w:val="20"/>
          <w:lang w:val="en-GB"/>
        </w:rPr>
        <w:t>st</w:t>
      </w:r>
      <w:r w:rsidRPr="001425B5">
        <w:rPr>
          <w:rFonts w:ascii="Arial" w:eastAsia="Times New Roman" w:hAnsi="Arial" w:cs="Times New Roman"/>
          <w:color w:val="000000" w:themeColor="text1"/>
          <w:szCs w:val="20"/>
          <w:lang w:val="en-GB"/>
        </w:rPr>
        <w:t xml:space="preserve"> income quintile, </w:t>
      </w:r>
      <w:r w:rsidR="0059400B" w:rsidRPr="001425B5">
        <w:rPr>
          <w:rFonts w:ascii="Arial" w:eastAsia="Times New Roman" w:hAnsi="Arial" w:cs="Times New Roman"/>
          <w:color w:val="000000" w:themeColor="text1"/>
          <w:szCs w:val="20"/>
          <w:lang w:val="en-GB"/>
        </w:rPr>
        <w:t xml:space="preserve">but looks also </w:t>
      </w:r>
      <w:r w:rsidR="0059400B" w:rsidRPr="001425B5">
        <w:rPr>
          <w:rFonts w:ascii="Arial" w:eastAsia="Times New Roman" w:hAnsi="Arial" w:cs="Times New Roman"/>
          <w:szCs w:val="20"/>
          <w:lang w:val="en-GB"/>
        </w:rPr>
        <w:t>at households across the income spectrum, breaking down</w:t>
      </w:r>
      <w:r w:rsidR="00057091" w:rsidRPr="001425B5">
        <w:rPr>
          <w:rFonts w:ascii="Arial" w:eastAsia="Times New Roman" w:hAnsi="Arial" w:cs="Times New Roman"/>
          <w:szCs w:val="20"/>
          <w:lang w:val="en-GB"/>
        </w:rPr>
        <w:t xml:space="preserve"> the quintile information by tenure. </w:t>
      </w:r>
      <w:r w:rsidRPr="001425B5">
        <w:rPr>
          <w:rFonts w:ascii="Arial" w:eastAsia="Times New Roman" w:hAnsi="Arial" w:cs="Times New Roman"/>
          <w:szCs w:val="20"/>
          <w:lang w:val="en-GB"/>
        </w:rPr>
        <w:t xml:space="preserve">This enables comparisons </w:t>
      </w:r>
      <w:r w:rsidR="00EA27E4" w:rsidRPr="001425B5">
        <w:rPr>
          <w:rFonts w:ascii="Arial" w:eastAsia="Times New Roman" w:hAnsi="Arial" w:cs="Times New Roman"/>
          <w:szCs w:val="20"/>
          <w:lang w:val="en-GB"/>
        </w:rPr>
        <w:t xml:space="preserve">to be reported </w:t>
      </w:r>
      <w:r w:rsidRPr="001425B5">
        <w:rPr>
          <w:rFonts w:ascii="Arial" w:eastAsia="Times New Roman" w:hAnsi="Arial" w:cs="Times New Roman"/>
          <w:szCs w:val="20"/>
          <w:lang w:val="en-GB"/>
        </w:rPr>
        <w:t xml:space="preserve">for housing </w:t>
      </w:r>
      <w:r w:rsidR="00057091" w:rsidRPr="001425B5">
        <w:rPr>
          <w:rFonts w:ascii="Arial" w:eastAsia="Times New Roman" w:hAnsi="Arial" w:cs="Times New Roman"/>
          <w:szCs w:val="20"/>
          <w:lang w:val="en-GB"/>
        </w:rPr>
        <w:t>(un)</w:t>
      </w:r>
      <w:r w:rsidRPr="001425B5">
        <w:rPr>
          <w:rFonts w:ascii="Arial" w:eastAsia="Times New Roman" w:hAnsi="Arial" w:cs="Times New Roman"/>
          <w:szCs w:val="20"/>
          <w:lang w:val="en-GB"/>
        </w:rPr>
        <w:t>affordability</w:t>
      </w:r>
      <w:r w:rsidR="00057091" w:rsidRPr="001425B5">
        <w:rPr>
          <w:rFonts w:ascii="Arial" w:eastAsia="Times New Roman" w:hAnsi="Arial" w:cs="Times New Roman"/>
          <w:szCs w:val="20"/>
          <w:lang w:val="en-GB"/>
        </w:rPr>
        <w:t xml:space="preserve"> as usually understood (</w:t>
      </w:r>
      <w:r w:rsidR="00057091" w:rsidRPr="001425B5">
        <w:rPr>
          <w:rFonts w:ascii="Arial" w:eastAsia="Times New Roman" w:hAnsi="Arial" w:cs="Times New Roman"/>
          <w:szCs w:val="20"/>
          <w:u w:val="single"/>
          <w:lang w:val="en-GB"/>
        </w:rPr>
        <w:t>low-income</w:t>
      </w:r>
      <w:r w:rsidR="00057091" w:rsidRPr="001425B5">
        <w:rPr>
          <w:rFonts w:ascii="Arial" w:eastAsia="Times New Roman" w:hAnsi="Arial" w:cs="Times New Roman"/>
          <w:szCs w:val="20"/>
          <w:lang w:val="en-GB"/>
        </w:rPr>
        <w:t xml:space="preserve"> households spending ‘too much’ on accommodation), as well as cross-country comparisons of relatively high spending on accommodation</w:t>
      </w:r>
      <w:r w:rsidR="00BC02D4" w:rsidRPr="001425B5">
        <w:rPr>
          <w:rFonts w:ascii="Arial" w:eastAsia="Times New Roman" w:hAnsi="Arial" w:cs="Times New Roman"/>
          <w:szCs w:val="20"/>
          <w:lang w:val="en-GB"/>
        </w:rPr>
        <w:t xml:space="preserve"> for all households</w:t>
      </w:r>
      <w:r w:rsidR="00C12E09" w:rsidRPr="001425B5">
        <w:rPr>
          <w:rFonts w:ascii="Arial" w:eastAsia="Times New Roman" w:hAnsi="Arial" w:cs="Times New Roman"/>
          <w:szCs w:val="20"/>
          <w:lang w:val="en-GB"/>
        </w:rPr>
        <w:t>.</w:t>
      </w:r>
      <w:r w:rsidR="00A55255" w:rsidRPr="001425B5">
        <w:rPr>
          <w:rStyle w:val="Heading3Char"/>
          <w:rFonts w:ascii="Arial" w:eastAsia="Times New Roman" w:hAnsi="Arial" w:cs="Times New Roman"/>
          <w:szCs w:val="20"/>
          <w:lang w:val="en-GB"/>
        </w:rPr>
        <w:t xml:space="preserve"> </w:t>
      </w:r>
    </w:p>
    <w:p w14:paraId="1F8D7D65" w14:textId="7D4A917F" w:rsidR="00C12E09" w:rsidRDefault="00AC2446" w:rsidP="00F212DA">
      <w:pPr>
        <w:pStyle w:val="ListParagraph"/>
        <w:numPr>
          <w:ilvl w:val="0"/>
          <w:numId w:val="9"/>
        </w:numPr>
        <w:spacing w:before="120" w:after="0" w:line="240" w:lineRule="auto"/>
        <w:ind w:left="714" w:hanging="357"/>
        <w:contextualSpacing w:val="0"/>
        <w:jc w:val="both"/>
        <w:rPr>
          <w:rFonts w:ascii="Arial" w:eastAsia="Times New Roman" w:hAnsi="Arial" w:cs="Times New Roman"/>
          <w:szCs w:val="20"/>
          <w:lang w:val="en-GB"/>
        </w:rPr>
      </w:pPr>
      <w:r>
        <w:rPr>
          <w:rFonts w:ascii="Arial" w:eastAsia="Times New Roman" w:hAnsi="Arial" w:cs="Times New Roman"/>
          <w:szCs w:val="20"/>
          <w:lang w:val="en-GB"/>
        </w:rPr>
        <w:t>The report</w:t>
      </w:r>
      <w:r w:rsidR="00205E2A" w:rsidRPr="00402169">
        <w:rPr>
          <w:rFonts w:ascii="Arial" w:eastAsia="Times New Roman" w:hAnsi="Arial" w:cs="Times New Roman"/>
          <w:szCs w:val="20"/>
          <w:lang w:val="en-GB"/>
        </w:rPr>
        <w:t xml:space="preserve"> </w:t>
      </w:r>
      <w:r w:rsidR="00A15CDE">
        <w:rPr>
          <w:rFonts w:ascii="Arial" w:eastAsia="Times New Roman" w:hAnsi="Arial" w:cs="Times New Roman"/>
          <w:szCs w:val="20"/>
          <w:lang w:val="en-GB"/>
        </w:rPr>
        <w:t>also</w:t>
      </w:r>
      <w:r w:rsidR="00205E2A" w:rsidRPr="00402169">
        <w:rPr>
          <w:rFonts w:ascii="Arial" w:eastAsia="Times New Roman" w:hAnsi="Arial" w:cs="Times New Roman"/>
          <w:szCs w:val="20"/>
          <w:lang w:val="en-GB"/>
        </w:rPr>
        <w:t xml:space="preserve"> </w:t>
      </w:r>
      <w:r w:rsidR="000F457F" w:rsidRPr="00402169">
        <w:rPr>
          <w:rFonts w:ascii="Arial" w:eastAsia="Times New Roman" w:hAnsi="Arial" w:cs="Times New Roman"/>
          <w:szCs w:val="20"/>
          <w:lang w:val="en-GB"/>
        </w:rPr>
        <w:t xml:space="preserve">applies </w:t>
      </w:r>
      <w:r w:rsidR="000F457F" w:rsidRPr="00270841">
        <w:rPr>
          <w:rFonts w:ascii="Arial" w:eastAsia="Times New Roman" w:hAnsi="Arial" w:cs="Times New Roman"/>
          <w:b/>
          <w:bCs/>
          <w:szCs w:val="20"/>
          <w:u w:val="single"/>
          <w:lang w:val="en-GB"/>
        </w:rPr>
        <w:t>Eurostat</w:t>
      </w:r>
      <w:r w:rsidR="00151B35" w:rsidRPr="00270841">
        <w:rPr>
          <w:rFonts w:ascii="Arial" w:eastAsia="Times New Roman" w:hAnsi="Arial" w:cs="Times New Roman"/>
          <w:b/>
          <w:bCs/>
          <w:szCs w:val="20"/>
          <w:lang w:val="en-GB"/>
        </w:rPr>
        <w:t>’s</w:t>
      </w:r>
      <w:r w:rsidR="000F457F" w:rsidRPr="00402169">
        <w:rPr>
          <w:rFonts w:ascii="Arial" w:eastAsia="Times New Roman" w:hAnsi="Arial" w:cs="Times New Roman"/>
          <w:szCs w:val="20"/>
          <w:lang w:val="en-GB"/>
        </w:rPr>
        <w:t xml:space="preserve"> </w:t>
      </w:r>
      <w:r w:rsidR="00404B9B" w:rsidRPr="00402169">
        <w:rPr>
          <w:rFonts w:ascii="Arial" w:eastAsia="Times New Roman" w:hAnsi="Arial" w:cs="Times New Roman"/>
          <w:szCs w:val="20"/>
          <w:lang w:val="en-GB"/>
        </w:rPr>
        <w:t xml:space="preserve">Housing Cost Overburden (HCO) </w:t>
      </w:r>
      <w:r w:rsidR="000F457F" w:rsidRPr="00402169">
        <w:rPr>
          <w:rFonts w:ascii="Arial" w:eastAsia="Times New Roman" w:hAnsi="Arial" w:cs="Times New Roman"/>
          <w:szCs w:val="20"/>
          <w:lang w:val="en-GB"/>
        </w:rPr>
        <w:t>methodology to</w:t>
      </w:r>
      <w:r w:rsidR="005B2901" w:rsidRPr="00402169">
        <w:rPr>
          <w:rFonts w:ascii="Arial" w:eastAsia="Times New Roman" w:hAnsi="Arial" w:cs="Times New Roman"/>
          <w:szCs w:val="20"/>
          <w:lang w:val="en-GB"/>
        </w:rPr>
        <w:t xml:space="preserve"> HES data and locates New Zealand in the published tables to compare with European nations.</w:t>
      </w:r>
      <w:r w:rsidR="000F457F" w:rsidRPr="00402169">
        <w:rPr>
          <w:rFonts w:ascii="Arial" w:eastAsia="Times New Roman" w:hAnsi="Arial" w:cs="Times New Roman"/>
          <w:szCs w:val="20"/>
          <w:lang w:val="en-GB"/>
        </w:rPr>
        <w:t xml:space="preserve"> </w:t>
      </w:r>
      <w:r w:rsidR="00534354">
        <w:rPr>
          <w:rFonts w:ascii="Arial" w:eastAsia="Times New Roman" w:hAnsi="Arial" w:cs="Times New Roman"/>
          <w:szCs w:val="20"/>
          <w:lang w:val="en-GB"/>
        </w:rPr>
        <w:t xml:space="preserve">Their HCO statistics </w:t>
      </w:r>
      <w:r w:rsidR="00531A85">
        <w:rPr>
          <w:rFonts w:ascii="Arial" w:eastAsia="Times New Roman" w:hAnsi="Arial" w:cs="Times New Roman"/>
          <w:szCs w:val="20"/>
          <w:lang w:val="en-GB"/>
        </w:rPr>
        <w:t xml:space="preserve">also </w:t>
      </w:r>
      <w:r w:rsidR="00534354">
        <w:rPr>
          <w:rFonts w:ascii="Arial" w:eastAsia="Times New Roman" w:hAnsi="Arial" w:cs="Times New Roman"/>
          <w:szCs w:val="20"/>
          <w:lang w:val="en-GB"/>
        </w:rPr>
        <w:t>use a 40% threshold</w:t>
      </w:r>
      <w:r w:rsidR="00531A85">
        <w:rPr>
          <w:rFonts w:ascii="Arial" w:eastAsia="Times New Roman" w:hAnsi="Arial" w:cs="Times New Roman"/>
          <w:szCs w:val="20"/>
          <w:lang w:val="en-GB"/>
        </w:rPr>
        <w:t xml:space="preserve"> when comparing </w:t>
      </w:r>
      <w:r w:rsidR="003C2A1F">
        <w:rPr>
          <w:rFonts w:ascii="Arial" w:eastAsia="Times New Roman" w:hAnsi="Arial" w:cs="Times New Roman"/>
          <w:szCs w:val="20"/>
          <w:lang w:val="en-GB"/>
        </w:rPr>
        <w:t xml:space="preserve">housing costs </w:t>
      </w:r>
      <w:r w:rsidR="00531A85">
        <w:rPr>
          <w:rFonts w:ascii="Arial" w:eastAsia="Times New Roman" w:hAnsi="Arial" w:cs="Times New Roman"/>
          <w:szCs w:val="20"/>
          <w:lang w:val="en-GB"/>
        </w:rPr>
        <w:t>and household income</w:t>
      </w:r>
      <w:r w:rsidR="00F24DEA">
        <w:rPr>
          <w:rFonts w:ascii="Arial" w:eastAsia="Times New Roman" w:hAnsi="Arial" w:cs="Times New Roman"/>
          <w:szCs w:val="20"/>
          <w:lang w:val="en-GB"/>
        </w:rPr>
        <w:t>, but</w:t>
      </w:r>
      <w:r w:rsidR="00531A85">
        <w:rPr>
          <w:rFonts w:ascii="Arial" w:eastAsia="Times New Roman" w:hAnsi="Arial" w:cs="Times New Roman"/>
          <w:szCs w:val="20"/>
          <w:lang w:val="en-GB"/>
        </w:rPr>
        <w:t xml:space="preserve"> </w:t>
      </w:r>
      <w:r w:rsidR="00F24DEA">
        <w:rPr>
          <w:rFonts w:ascii="Arial" w:eastAsia="Times New Roman" w:hAnsi="Arial" w:cs="Times New Roman"/>
          <w:szCs w:val="20"/>
          <w:lang w:val="en-GB"/>
        </w:rPr>
        <w:t>t</w:t>
      </w:r>
      <w:r w:rsidR="00270841">
        <w:rPr>
          <w:rFonts w:ascii="Arial" w:eastAsia="Times New Roman" w:hAnsi="Arial" w:cs="Times New Roman"/>
          <w:szCs w:val="20"/>
          <w:lang w:val="en-GB"/>
        </w:rPr>
        <w:t>he</w:t>
      </w:r>
      <w:r w:rsidR="00990C64">
        <w:rPr>
          <w:rFonts w:ascii="Arial" w:eastAsia="Times New Roman" w:hAnsi="Arial" w:cs="Times New Roman"/>
          <w:szCs w:val="20"/>
          <w:lang w:val="en-GB"/>
        </w:rPr>
        <w:t xml:space="preserve"> </w:t>
      </w:r>
      <w:r w:rsidR="00C12E09">
        <w:rPr>
          <w:rFonts w:ascii="Arial" w:eastAsia="Times New Roman" w:hAnsi="Arial" w:cs="Times New Roman"/>
          <w:szCs w:val="20"/>
          <w:lang w:val="en-GB"/>
        </w:rPr>
        <w:t xml:space="preserve">Eurostat </w:t>
      </w:r>
      <w:r w:rsidR="00F24DEA">
        <w:rPr>
          <w:rFonts w:ascii="Arial" w:eastAsia="Times New Roman" w:hAnsi="Arial" w:cs="Times New Roman"/>
          <w:szCs w:val="20"/>
          <w:lang w:val="en-GB"/>
        </w:rPr>
        <w:t xml:space="preserve">HCO </w:t>
      </w:r>
      <w:r w:rsidR="00C12E09">
        <w:rPr>
          <w:rFonts w:ascii="Arial" w:eastAsia="Times New Roman" w:hAnsi="Arial" w:cs="Times New Roman"/>
          <w:szCs w:val="20"/>
          <w:lang w:val="en-GB"/>
        </w:rPr>
        <w:t xml:space="preserve">analysis is different from the OECD OTI analysis on </w:t>
      </w:r>
      <w:r w:rsidR="00531A85">
        <w:rPr>
          <w:rFonts w:ascii="Arial" w:eastAsia="Times New Roman" w:hAnsi="Arial" w:cs="Times New Roman"/>
          <w:szCs w:val="20"/>
          <w:lang w:val="en-GB"/>
        </w:rPr>
        <w:t>four</w:t>
      </w:r>
      <w:r w:rsidR="00C12E09">
        <w:rPr>
          <w:rFonts w:ascii="Arial" w:eastAsia="Times New Roman" w:hAnsi="Arial" w:cs="Times New Roman"/>
          <w:szCs w:val="20"/>
          <w:lang w:val="en-GB"/>
        </w:rPr>
        <w:t xml:space="preserve"> counts:</w:t>
      </w:r>
    </w:p>
    <w:p w14:paraId="7AC97EE8" w14:textId="359BC2B9" w:rsidR="00270841" w:rsidRDefault="00E70FB6" w:rsidP="00534354">
      <w:pPr>
        <w:pStyle w:val="ListParagraph"/>
        <w:numPr>
          <w:ilvl w:val="1"/>
          <w:numId w:val="9"/>
        </w:numPr>
        <w:spacing w:before="60" w:after="0" w:line="240" w:lineRule="auto"/>
        <w:ind w:left="1434" w:hanging="357"/>
        <w:contextualSpacing w:val="0"/>
        <w:jc w:val="both"/>
        <w:rPr>
          <w:rFonts w:ascii="Arial" w:eastAsia="Times New Roman" w:hAnsi="Arial" w:cs="Times New Roman"/>
          <w:szCs w:val="20"/>
          <w:lang w:val="en-GB"/>
        </w:rPr>
      </w:pPr>
      <w:r>
        <w:rPr>
          <w:rFonts w:ascii="Arial" w:eastAsia="Times New Roman" w:hAnsi="Arial" w:cs="Times New Roman"/>
          <w:szCs w:val="20"/>
          <w:lang w:val="en-GB"/>
        </w:rPr>
        <w:t>The Eurostat approach</w:t>
      </w:r>
      <w:r w:rsidR="00270841">
        <w:rPr>
          <w:rFonts w:ascii="Arial" w:eastAsia="Times New Roman" w:hAnsi="Arial" w:cs="Times New Roman"/>
          <w:szCs w:val="20"/>
          <w:lang w:val="en-GB"/>
        </w:rPr>
        <w:t xml:space="preserve"> looks at </w:t>
      </w:r>
      <w:r w:rsidR="00270841" w:rsidRPr="00F24DEA">
        <w:rPr>
          <w:rFonts w:ascii="Arial" w:eastAsia="Times New Roman" w:hAnsi="Arial" w:cs="Times New Roman"/>
          <w:szCs w:val="20"/>
          <w:u w:val="single"/>
          <w:lang w:val="en-GB"/>
        </w:rPr>
        <w:t xml:space="preserve">net </w:t>
      </w:r>
      <w:r w:rsidR="006E3C69">
        <w:rPr>
          <w:rFonts w:ascii="Arial" w:eastAsia="Times New Roman" w:hAnsi="Arial" w:cs="Times New Roman"/>
          <w:szCs w:val="20"/>
          <w:u w:val="single"/>
          <w:lang w:val="en-GB"/>
        </w:rPr>
        <w:t>housing costs</w:t>
      </w:r>
      <w:r w:rsidR="00270841">
        <w:rPr>
          <w:rFonts w:ascii="Arial" w:eastAsia="Times New Roman" w:hAnsi="Arial" w:cs="Times New Roman"/>
          <w:szCs w:val="20"/>
          <w:lang w:val="en-GB"/>
        </w:rPr>
        <w:t xml:space="preserve"> (gross less any subsidy</w:t>
      </w:r>
      <w:r w:rsidR="00534354">
        <w:rPr>
          <w:rFonts w:ascii="Arial" w:eastAsia="Times New Roman" w:hAnsi="Arial" w:cs="Times New Roman"/>
          <w:szCs w:val="20"/>
          <w:lang w:val="en-GB"/>
        </w:rPr>
        <w:t xml:space="preserve"> or housing assistance</w:t>
      </w:r>
      <w:r w:rsidR="00F24DEA">
        <w:rPr>
          <w:rFonts w:ascii="Arial" w:eastAsia="Times New Roman" w:hAnsi="Arial" w:cs="Times New Roman"/>
          <w:szCs w:val="20"/>
          <w:lang w:val="en-GB"/>
        </w:rPr>
        <w:t xml:space="preserve"> (such as our Accommodation Supplement)</w:t>
      </w:r>
      <w:r w:rsidR="00270841">
        <w:rPr>
          <w:rFonts w:ascii="Arial" w:eastAsia="Times New Roman" w:hAnsi="Arial" w:cs="Times New Roman"/>
          <w:szCs w:val="20"/>
          <w:lang w:val="en-GB"/>
        </w:rPr>
        <w:t>) and compares that with household</w:t>
      </w:r>
      <w:r w:rsidR="00534354">
        <w:rPr>
          <w:rFonts w:ascii="Arial" w:eastAsia="Times New Roman" w:hAnsi="Arial" w:cs="Times New Roman"/>
          <w:szCs w:val="20"/>
          <w:lang w:val="en-GB"/>
        </w:rPr>
        <w:t xml:space="preserve"> </w:t>
      </w:r>
      <w:r w:rsidR="00270841">
        <w:rPr>
          <w:rFonts w:ascii="Arial" w:eastAsia="Times New Roman" w:hAnsi="Arial" w:cs="Times New Roman"/>
          <w:szCs w:val="20"/>
          <w:lang w:val="en-GB"/>
        </w:rPr>
        <w:t xml:space="preserve">income excluding </w:t>
      </w:r>
      <w:r w:rsidR="00F65F29">
        <w:rPr>
          <w:rFonts w:ascii="Arial" w:eastAsia="Times New Roman" w:hAnsi="Arial" w:cs="Times New Roman"/>
          <w:szCs w:val="20"/>
          <w:lang w:val="en-GB"/>
        </w:rPr>
        <w:t xml:space="preserve">housing </w:t>
      </w:r>
      <w:r>
        <w:rPr>
          <w:rFonts w:ascii="Arial" w:eastAsia="Times New Roman" w:hAnsi="Arial" w:cs="Times New Roman"/>
          <w:szCs w:val="20"/>
          <w:lang w:val="en-GB"/>
        </w:rPr>
        <w:t>assistance</w:t>
      </w:r>
      <w:r w:rsidR="00534354">
        <w:rPr>
          <w:rFonts w:ascii="Arial" w:eastAsia="Times New Roman" w:hAnsi="Arial" w:cs="Times New Roman"/>
          <w:szCs w:val="20"/>
          <w:lang w:val="en-GB"/>
        </w:rPr>
        <w:t>.</w:t>
      </w:r>
      <w:r w:rsidR="006E3C69">
        <w:rPr>
          <w:rFonts w:ascii="Arial" w:eastAsia="Times New Roman" w:hAnsi="Arial" w:cs="Times New Roman"/>
          <w:szCs w:val="20"/>
          <w:lang w:val="en-GB"/>
        </w:rPr>
        <w:t xml:space="preserve"> </w:t>
      </w:r>
      <w:r w:rsidR="00534354">
        <w:rPr>
          <w:rFonts w:ascii="Arial" w:eastAsia="Times New Roman" w:hAnsi="Arial" w:cs="Times New Roman"/>
          <w:szCs w:val="20"/>
          <w:lang w:val="en-GB"/>
        </w:rPr>
        <w:t xml:space="preserve">The OECD approach uses gross </w:t>
      </w:r>
      <w:r w:rsidR="006E3C69">
        <w:rPr>
          <w:rFonts w:ascii="Arial" w:eastAsia="Times New Roman" w:hAnsi="Arial" w:cs="Times New Roman"/>
          <w:szCs w:val="20"/>
          <w:lang w:val="en-GB"/>
        </w:rPr>
        <w:t>housing costs</w:t>
      </w:r>
      <w:r w:rsidR="00534354">
        <w:rPr>
          <w:rFonts w:ascii="Arial" w:eastAsia="Times New Roman" w:hAnsi="Arial" w:cs="Times New Roman"/>
          <w:szCs w:val="20"/>
          <w:lang w:val="en-GB"/>
        </w:rPr>
        <w:t xml:space="preserve"> and includes housing </w:t>
      </w:r>
      <w:r w:rsidR="00F65F29">
        <w:rPr>
          <w:rFonts w:ascii="Arial" w:eastAsia="Times New Roman" w:hAnsi="Arial" w:cs="Times New Roman"/>
          <w:szCs w:val="20"/>
          <w:lang w:val="en-GB"/>
        </w:rPr>
        <w:t>s</w:t>
      </w:r>
      <w:r>
        <w:rPr>
          <w:rFonts w:ascii="Arial" w:eastAsia="Times New Roman" w:hAnsi="Arial" w:cs="Times New Roman"/>
          <w:szCs w:val="20"/>
          <w:lang w:val="en-GB"/>
        </w:rPr>
        <w:t>upport</w:t>
      </w:r>
      <w:r w:rsidR="00534354">
        <w:rPr>
          <w:rFonts w:ascii="Arial" w:eastAsia="Times New Roman" w:hAnsi="Arial" w:cs="Times New Roman"/>
          <w:szCs w:val="20"/>
          <w:lang w:val="en-GB"/>
        </w:rPr>
        <w:t xml:space="preserve"> in household income.</w:t>
      </w:r>
      <w:r w:rsidR="00270841">
        <w:rPr>
          <w:rFonts w:ascii="Arial" w:eastAsia="Times New Roman" w:hAnsi="Arial" w:cs="Times New Roman"/>
          <w:szCs w:val="20"/>
          <w:lang w:val="en-GB"/>
        </w:rPr>
        <w:t xml:space="preserve"> </w:t>
      </w:r>
    </w:p>
    <w:p w14:paraId="61BB398A" w14:textId="0C48DE30" w:rsidR="00E70FB6" w:rsidRDefault="00E70FB6" w:rsidP="00E70FB6">
      <w:pPr>
        <w:pStyle w:val="ListParagraph"/>
        <w:numPr>
          <w:ilvl w:val="1"/>
          <w:numId w:val="9"/>
        </w:numPr>
        <w:spacing w:before="60" w:after="0" w:line="240" w:lineRule="auto"/>
        <w:ind w:left="1434" w:hanging="357"/>
        <w:contextualSpacing w:val="0"/>
        <w:jc w:val="both"/>
        <w:rPr>
          <w:rFonts w:ascii="Arial" w:eastAsia="Times New Roman" w:hAnsi="Arial" w:cs="Times New Roman"/>
          <w:szCs w:val="20"/>
          <w:lang w:val="en-GB"/>
        </w:rPr>
      </w:pPr>
      <w:r>
        <w:rPr>
          <w:rFonts w:ascii="Arial" w:eastAsia="Times New Roman" w:hAnsi="Arial" w:cs="Times New Roman"/>
          <w:szCs w:val="20"/>
          <w:lang w:val="en-GB"/>
        </w:rPr>
        <w:t xml:space="preserve">Eurostat uses a broader definition of </w:t>
      </w:r>
      <w:r w:rsidR="006E3C69">
        <w:rPr>
          <w:rFonts w:ascii="Arial" w:eastAsia="Times New Roman" w:hAnsi="Arial" w:cs="Times New Roman"/>
          <w:szCs w:val="20"/>
          <w:lang w:val="en-GB"/>
        </w:rPr>
        <w:t>housing costs</w:t>
      </w:r>
      <w:r>
        <w:rPr>
          <w:rFonts w:ascii="Arial" w:eastAsia="Times New Roman" w:hAnsi="Arial" w:cs="Times New Roman"/>
          <w:szCs w:val="20"/>
          <w:lang w:val="en-GB"/>
        </w:rPr>
        <w:t xml:space="preserve"> including rates, insurance and utilities, but it excludes mortgage principal.</w:t>
      </w:r>
    </w:p>
    <w:p w14:paraId="56BB8D2F" w14:textId="7FF305B6" w:rsidR="00EA27E4" w:rsidRDefault="00F24DEA" w:rsidP="00AC5FD8">
      <w:pPr>
        <w:pStyle w:val="ListParagraph"/>
        <w:numPr>
          <w:ilvl w:val="1"/>
          <w:numId w:val="9"/>
        </w:numPr>
        <w:spacing w:before="60" w:after="0" w:line="240" w:lineRule="auto"/>
        <w:ind w:left="1434" w:hanging="357"/>
        <w:contextualSpacing w:val="0"/>
        <w:jc w:val="both"/>
        <w:rPr>
          <w:rFonts w:ascii="Arial" w:eastAsia="Times New Roman" w:hAnsi="Arial" w:cs="Times New Roman"/>
          <w:szCs w:val="20"/>
          <w:lang w:val="en-GB"/>
        </w:rPr>
      </w:pPr>
      <w:r w:rsidRPr="00AC5FD8">
        <w:rPr>
          <w:rFonts w:ascii="Arial" w:eastAsia="Times New Roman" w:hAnsi="Arial" w:cs="Times New Roman"/>
          <w:szCs w:val="20"/>
          <w:lang w:val="en-GB"/>
        </w:rPr>
        <w:t xml:space="preserve">Unlike the OECD report, the EU </w:t>
      </w:r>
      <w:r w:rsidR="00531A85" w:rsidRPr="00AC5FD8">
        <w:rPr>
          <w:rFonts w:ascii="Arial" w:eastAsia="Times New Roman" w:hAnsi="Arial" w:cs="Times New Roman"/>
          <w:szCs w:val="20"/>
          <w:lang w:val="en-GB"/>
        </w:rPr>
        <w:t>income quintile information is not broken down further by tenure or other categories of interest, but it does give age-group analysis overall.</w:t>
      </w:r>
    </w:p>
    <w:p w14:paraId="0F566E43" w14:textId="4533F86B" w:rsidR="006D4FA8" w:rsidRDefault="006D4FA8" w:rsidP="006D4FA8">
      <w:pPr>
        <w:pStyle w:val="ListParagraph"/>
        <w:numPr>
          <w:ilvl w:val="1"/>
          <w:numId w:val="9"/>
        </w:numPr>
        <w:spacing w:before="60" w:after="0" w:line="240" w:lineRule="auto"/>
        <w:ind w:left="1434" w:hanging="357"/>
        <w:contextualSpacing w:val="0"/>
        <w:jc w:val="both"/>
        <w:rPr>
          <w:rFonts w:ascii="Arial" w:eastAsia="Times New Roman" w:hAnsi="Arial" w:cs="Times New Roman"/>
          <w:szCs w:val="20"/>
          <w:lang w:val="en-GB"/>
        </w:rPr>
      </w:pPr>
      <w:r>
        <w:rPr>
          <w:rFonts w:ascii="Arial" w:eastAsia="Times New Roman" w:hAnsi="Arial" w:cs="Times New Roman"/>
          <w:szCs w:val="20"/>
          <w:lang w:val="en-GB"/>
        </w:rPr>
        <w:t xml:space="preserve">Eurostat’s reporting </w:t>
      </w:r>
      <w:r w:rsidR="00130A87">
        <w:rPr>
          <w:rFonts w:ascii="Arial" w:eastAsia="Times New Roman" w:hAnsi="Arial" w:cs="Times New Roman"/>
          <w:szCs w:val="20"/>
          <w:lang w:val="en-GB"/>
        </w:rPr>
        <w:t>uses</w:t>
      </w:r>
      <w:r>
        <w:rPr>
          <w:rFonts w:ascii="Arial" w:eastAsia="Times New Roman" w:hAnsi="Arial" w:cs="Times New Roman"/>
          <w:szCs w:val="20"/>
          <w:lang w:val="en-GB"/>
        </w:rPr>
        <w:t xml:space="preserve"> all households in their HCO </w:t>
      </w:r>
      <w:r w:rsidRPr="00A07AE4">
        <w:rPr>
          <w:rFonts w:ascii="Arial" w:eastAsia="Times New Roman" w:hAnsi="Arial" w:cs="Times New Roman"/>
          <w:szCs w:val="20"/>
          <w:lang w:val="en-GB"/>
        </w:rPr>
        <w:t>estimates</w:t>
      </w:r>
      <w:r w:rsidR="00130A87" w:rsidRPr="00A07AE4">
        <w:rPr>
          <w:rFonts w:ascii="Arial" w:eastAsia="Times New Roman" w:hAnsi="Arial" w:cs="Times New Roman"/>
          <w:szCs w:val="20"/>
          <w:lang w:val="en-GB"/>
        </w:rPr>
        <w:t xml:space="preserve"> </w:t>
      </w:r>
      <w:r w:rsidR="00A07AE4" w:rsidRPr="00A07AE4">
        <w:rPr>
          <w:rFonts w:ascii="Arial" w:eastAsia="Times New Roman" w:hAnsi="Arial" w:cs="Times New Roman"/>
          <w:bCs/>
          <w:szCs w:val="20"/>
          <w:lang w:val="en-GB"/>
        </w:rPr>
        <w:t>–</w:t>
      </w:r>
      <w:r w:rsidR="00130A87" w:rsidRPr="00A07AE4">
        <w:rPr>
          <w:rFonts w:ascii="Arial" w:eastAsia="Times New Roman" w:hAnsi="Arial" w:cs="Times New Roman"/>
          <w:szCs w:val="20"/>
          <w:lang w:val="en-GB"/>
        </w:rPr>
        <w:t xml:space="preserve"> in</w:t>
      </w:r>
      <w:r w:rsidR="00130A87">
        <w:rPr>
          <w:rFonts w:ascii="Arial" w:eastAsia="Times New Roman" w:hAnsi="Arial" w:cs="Times New Roman"/>
          <w:szCs w:val="20"/>
          <w:lang w:val="en-GB"/>
        </w:rPr>
        <w:t>cluding those without a mortgage.  Country rankings are therefore impacted by the proportion in each country who are outright owners, not just by rent and mortgage repayments</w:t>
      </w:r>
      <w:r w:rsidR="00A07AE4">
        <w:rPr>
          <w:rFonts w:ascii="Arial" w:eastAsia="Times New Roman" w:hAnsi="Arial" w:cs="Times New Roman"/>
          <w:szCs w:val="20"/>
          <w:lang w:val="en-GB"/>
        </w:rPr>
        <w:t>.</w:t>
      </w:r>
      <w:r>
        <w:rPr>
          <w:rFonts w:ascii="Arial" w:eastAsia="Times New Roman" w:hAnsi="Arial" w:cs="Times New Roman"/>
          <w:szCs w:val="20"/>
          <w:lang w:val="en-GB"/>
        </w:rPr>
        <w:t xml:space="preserve"> </w:t>
      </w:r>
    </w:p>
    <w:p w14:paraId="1FBCE04B" w14:textId="77777777" w:rsidR="0055178F" w:rsidRPr="0055178F" w:rsidRDefault="0055178F" w:rsidP="0055178F">
      <w:pPr>
        <w:spacing w:after="0" w:line="240" w:lineRule="auto"/>
        <w:rPr>
          <w:rFonts w:ascii="Arial" w:hAnsi="Arial"/>
          <w:b/>
          <w:bCs/>
          <w:color w:val="000000" w:themeColor="text1"/>
          <w:szCs w:val="20"/>
          <w:lang w:eastAsia="en-NZ"/>
        </w:rPr>
      </w:pPr>
      <w:r w:rsidRPr="0055178F">
        <w:rPr>
          <w:rFonts w:ascii="Arial" w:hAnsi="Arial"/>
          <w:b/>
          <w:bCs/>
          <w:color w:val="000000" w:themeColor="text1"/>
          <w:szCs w:val="20"/>
          <w:lang w:eastAsia="en-NZ"/>
        </w:rPr>
        <w:lastRenderedPageBreak/>
        <w:t>HES data used in this report</w:t>
      </w:r>
    </w:p>
    <w:p w14:paraId="2BF55465" w14:textId="77777777" w:rsidR="0055178F" w:rsidRPr="00FF4E98" w:rsidRDefault="0055178F" w:rsidP="0055178F">
      <w:pPr>
        <w:spacing w:after="0" w:line="240" w:lineRule="auto"/>
        <w:rPr>
          <w:rFonts w:ascii="Arial" w:hAnsi="Arial"/>
          <w:color w:val="000000" w:themeColor="text1"/>
          <w:szCs w:val="20"/>
          <w:lang w:eastAsia="en-NZ"/>
        </w:rPr>
      </w:pPr>
    </w:p>
    <w:p w14:paraId="4153EE80" w14:textId="77777777" w:rsidR="0055178F" w:rsidRDefault="0055178F" w:rsidP="0055178F">
      <w:pPr>
        <w:spacing w:after="0" w:line="240" w:lineRule="auto"/>
        <w:rPr>
          <w:rFonts w:ascii="Arial" w:hAnsi="Arial"/>
          <w:color w:val="000000" w:themeColor="text1"/>
        </w:rPr>
      </w:pPr>
      <w:r w:rsidRPr="00AF5128">
        <w:rPr>
          <w:rFonts w:ascii="Arial" w:hAnsi="Arial"/>
          <w:color w:val="000000" w:themeColor="text1"/>
        </w:rPr>
        <w:t xml:space="preserve">Up to and including the 2017-18 HES, the data available to MSD for its reports was the ‘HES-TAWA’ data. This analytical dataset is the original survey data </w:t>
      </w:r>
      <w:r>
        <w:rPr>
          <w:rFonts w:ascii="Arial" w:hAnsi="Arial"/>
          <w:color w:val="000000" w:themeColor="text1"/>
        </w:rPr>
        <w:t xml:space="preserve">together with some modelled data that replaces </w:t>
      </w:r>
      <w:r w:rsidRPr="00AF5128">
        <w:rPr>
          <w:rFonts w:ascii="Arial" w:hAnsi="Arial"/>
          <w:color w:val="000000" w:themeColor="text1"/>
        </w:rPr>
        <w:t>some of the more problematic survey-based income information that respondents may misreport (for example, benefit and Working for Families income and the Accommodation Supplement)</w:t>
      </w:r>
      <w:r>
        <w:rPr>
          <w:rFonts w:ascii="Arial" w:hAnsi="Arial"/>
          <w:color w:val="000000" w:themeColor="text1"/>
        </w:rPr>
        <w:t xml:space="preserve">. The modelled data is generated </w:t>
      </w:r>
      <w:r w:rsidRPr="00AF5128">
        <w:rPr>
          <w:rFonts w:ascii="Arial" w:hAnsi="Arial"/>
          <w:color w:val="000000" w:themeColor="text1"/>
        </w:rPr>
        <w:t xml:space="preserve">by the Treasury using their Tax and Welfare Analysis (TAWA) model or its predecessors. </w:t>
      </w:r>
    </w:p>
    <w:p w14:paraId="0C1B0F2D" w14:textId="77777777" w:rsidR="0055178F" w:rsidRDefault="0055178F" w:rsidP="0055178F">
      <w:pPr>
        <w:spacing w:after="0" w:line="240" w:lineRule="auto"/>
        <w:rPr>
          <w:rFonts w:ascii="Arial" w:hAnsi="Arial"/>
          <w:color w:val="000000" w:themeColor="text1"/>
        </w:rPr>
      </w:pPr>
    </w:p>
    <w:p w14:paraId="1ED95B00" w14:textId="1643031E" w:rsidR="0055178F" w:rsidRPr="00AF5128" w:rsidRDefault="0055178F" w:rsidP="0055178F">
      <w:pPr>
        <w:spacing w:after="0" w:line="240" w:lineRule="auto"/>
        <w:rPr>
          <w:rFonts w:ascii="Arial" w:hAnsi="Arial"/>
          <w:color w:val="000000" w:themeColor="text1"/>
        </w:rPr>
      </w:pPr>
      <w:r w:rsidRPr="00AF5128">
        <w:rPr>
          <w:rFonts w:ascii="Arial" w:hAnsi="Arial"/>
          <w:color w:val="000000" w:themeColor="text1"/>
        </w:rPr>
        <w:t>For the 2018-19 and 2019-20 HES, Stats NZ</w:t>
      </w:r>
      <w:r>
        <w:rPr>
          <w:rFonts w:ascii="Arial" w:hAnsi="Arial"/>
          <w:color w:val="000000" w:themeColor="text1"/>
        </w:rPr>
        <w:t xml:space="preserve"> redesigned the survey to better meet the needs of reporting under the Child Poverty Reduction Act (2018). The redesign package included a much larger sample size, moving</w:t>
      </w:r>
      <w:r w:rsidRPr="00AF5128">
        <w:rPr>
          <w:rFonts w:ascii="Arial" w:hAnsi="Arial"/>
          <w:color w:val="000000" w:themeColor="text1"/>
        </w:rPr>
        <w:t xml:space="preserve"> to using administrative data for most of the income information and </w:t>
      </w:r>
      <w:r>
        <w:rPr>
          <w:rFonts w:ascii="Arial" w:hAnsi="Arial"/>
          <w:color w:val="000000" w:themeColor="text1"/>
        </w:rPr>
        <w:t>the creation of</w:t>
      </w:r>
      <w:r w:rsidRPr="00AF5128">
        <w:rPr>
          <w:rFonts w:ascii="Arial" w:hAnsi="Arial"/>
          <w:color w:val="000000" w:themeColor="text1"/>
        </w:rPr>
        <w:t xml:space="preserve"> an improved set of weights to provide population estimates from the survey sample. These datasets (‘HES-admin’) are available to MSD for use for this and other reports.</w:t>
      </w:r>
      <w:r w:rsidRPr="00AF5128">
        <w:rPr>
          <w:rStyle w:val="FootnoteReference"/>
          <w:rFonts w:ascii="Arial" w:hAnsi="Arial"/>
          <w:color w:val="000000" w:themeColor="text1"/>
        </w:rPr>
        <w:footnoteReference w:id="4"/>
      </w:r>
    </w:p>
    <w:p w14:paraId="1384C57A" w14:textId="77777777" w:rsidR="0055178F" w:rsidRPr="00AF5128" w:rsidRDefault="0055178F" w:rsidP="0055178F">
      <w:pPr>
        <w:spacing w:after="0" w:line="240" w:lineRule="auto"/>
        <w:rPr>
          <w:rFonts w:ascii="Arial" w:hAnsi="Arial"/>
          <w:color w:val="000000" w:themeColor="text1"/>
        </w:rPr>
      </w:pPr>
    </w:p>
    <w:p w14:paraId="67988ED1" w14:textId="3E5C10F8" w:rsidR="0055178F" w:rsidRDefault="0055178F" w:rsidP="0055178F">
      <w:pPr>
        <w:spacing w:after="0" w:line="240" w:lineRule="auto"/>
        <w:rPr>
          <w:rFonts w:ascii="Arial" w:hAnsi="Arial"/>
          <w:color w:val="000000" w:themeColor="text1"/>
          <w:szCs w:val="20"/>
          <w:lang w:eastAsia="en-NZ"/>
        </w:rPr>
      </w:pPr>
      <w:r w:rsidRPr="00AF5128">
        <w:rPr>
          <w:rFonts w:ascii="Arial" w:hAnsi="Arial"/>
          <w:color w:val="000000" w:themeColor="text1"/>
        </w:rPr>
        <w:t xml:space="preserve">The use of administrative data has in many ways further improved the income information available for HES analysis (for example, by removing measurement error when income from a respondent is misreported through recall issues or deliberately). </w:t>
      </w:r>
      <w:r w:rsidR="008D641D">
        <w:rPr>
          <w:rFonts w:ascii="Arial" w:hAnsi="Arial"/>
          <w:color w:val="000000" w:themeColor="text1"/>
        </w:rPr>
        <w:t xml:space="preserve">However, when time series are constructed for housing affordability </w:t>
      </w:r>
      <w:r w:rsidR="0049205D">
        <w:rPr>
          <w:rFonts w:ascii="Arial" w:hAnsi="Arial"/>
          <w:color w:val="000000" w:themeColor="text1"/>
        </w:rPr>
        <w:t xml:space="preserve">(and some other) </w:t>
      </w:r>
      <w:r w:rsidR="008D641D">
        <w:rPr>
          <w:rFonts w:ascii="Arial" w:hAnsi="Arial"/>
          <w:color w:val="000000" w:themeColor="text1"/>
        </w:rPr>
        <w:t xml:space="preserve">measures there is evidence of a discontinuity from 2017-18 to 2018-19. One of the likely causes of the discontinuity is that the </w:t>
      </w:r>
      <w:r>
        <w:rPr>
          <w:rFonts w:ascii="Arial" w:hAnsi="Arial"/>
          <w:color w:val="000000" w:themeColor="text1"/>
          <w:szCs w:val="20"/>
          <w:lang w:eastAsia="en-NZ"/>
        </w:rPr>
        <w:t>proportion</w:t>
      </w:r>
      <w:r w:rsidRPr="00AF5128">
        <w:rPr>
          <w:rFonts w:ascii="Arial" w:hAnsi="Arial"/>
          <w:color w:val="000000" w:themeColor="text1"/>
          <w:szCs w:val="20"/>
          <w:lang w:eastAsia="en-NZ"/>
        </w:rPr>
        <w:t xml:space="preserve"> of very-low-income</w:t>
      </w:r>
      <w:r>
        <w:rPr>
          <w:rFonts w:ascii="Arial" w:hAnsi="Arial"/>
          <w:color w:val="000000" w:themeColor="text1"/>
          <w:szCs w:val="20"/>
          <w:lang w:eastAsia="en-NZ"/>
        </w:rPr>
        <w:t xml:space="preserve"> (VLI)</w:t>
      </w:r>
      <w:r w:rsidRPr="00AF5128">
        <w:rPr>
          <w:rFonts w:ascii="Arial" w:hAnsi="Arial"/>
          <w:color w:val="000000" w:themeColor="text1"/>
          <w:szCs w:val="20"/>
          <w:lang w:eastAsia="en-NZ"/>
        </w:rPr>
        <w:t xml:space="preserve"> households </w:t>
      </w:r>
      <w:r w:rsidR="008D641D">
        <w:rPr>
          <w:rFonts w:ascii="Arial" w:hAnsi="Arial"/>
          <w:color w:val="000000" w:themeColor="text1"/>
          <w:szCs w:val="20"/>
          <w:lang w:eastAsia="en-NZ"/>
        </w:rPr>
        <w:t>is higher in HES-admin data</w:t>
      </w:r>
      <w:r w:rsidRPr="00AF5128">
        <w:rPr>
          <w:rFonts w:ascii="Arial" w:hAnsi="Arial"/>
          <w:color w:val="000000" w:themeColor="text1"/>
          <w:szCs w:val="20"/>
          <w:lang w:eastAsia="en-NZ"/>
        </w:rPr>
        <w:t xml:space="preserve"> </w:t>
      </w:r>
      <w:r w:rsidR="008D641D">
        <w:rPr>
          <w:rFonts w:ascii="Arial" w:hAnsi="Arial"/>
          <w:color w:val="000000" w:themeColor="text1"/>
          <w:szCs w:val="20"/>
          <w:lang w:eastAsia="en-NZ"/>
        </w:rPr>
        <w:t xml:space="preserve">than in </w:t>
      </w:r>
      <w:r w:rsidRPr="00AF5128">
        <w:rPr>
          <w:rFonts w:ascii="Arial" w:hAnsi="Arial"/>
          <w:color w:val="000000" w:themeColor="text1"/>
          <w:szCs w:val="20"/>
          <w:lang w:eastAsia="en-NZ"/>
        </w:rPr>
        <w:t>HES-TAWA</w:t>
      </w:r>
      <w:r w:rsidR="008D641D">
        <w:rPr>
          <w:rFonts w:ascii="Arial" w:hAnsi="Arial"/>
          <w:color w:val="000000" w:themeColor="text1"/>
          <w:szCs w:val="20"/>
          <w:lang w:eastAsia="en-NZ"/>
        </w:rPr>
        <w:t xml:space="preserve"> data</w:t>
      </w:r>
      <w:r w:rsidR="00C66E3F">
        <w:rPr>
          <w:rFonts w:ascii="Arial" w:hAnsi="Arial"/>
          <w:color w:val="000000" w:themeColor="text1"/>
          <w:szCs w:val="20"/>
          <w:lang w:eastAsia="en-NZ"/>
        </w:rPr>
        <w:t xml:space="preserve"> – these are households with incomes well below benefit and NZ Superannuation levels</w:t>
      </w:r>
      <w:r w:rsidR="00684BF7">
        <w:rPr>
          <w:rFonts w:ascii="Arial" w:hAnsi="Arial"/>
          <w:color w:val="000000" w:themeColor="text1"/>
          <w:szCs w:val="20"/>
          <w:lang w:eastAsia="en-NZ"/>
        </w:rPr>
        <w:t>.</w:t>
      </w:r>
      <w:r w:rsidR="00C66E3F">
        <w:rPr>
          <w:rStyle w:val="FootnoteReference"/>
          <w:rFonts w:ascii="Arial" w:hAnsi="Arial"/>
          <w:color w:val="000000" w:themeColor="text1"/>
          <w:szCs w:val="20"/>
          <w:lang w:eastAsia="en-NZ"/>
        </w:rPr>
        <w:footnoteReference w:id="5"/>
      </w:r>
      <w:r w:rsidR="00C66E3F">
        <w:rPr>
          <w:rFonts w:ascii="Arial" w:hAnsi="Arial"/>
          <w:color w:val="000000" w:themeColor="text1"/>
          <w:szCs w:val="20"/>
          <w:lang w:eastAsia="en-NZ"/>
        </w:rPr>
        <w:t xml:space="preserve"> </w:t>
      </w:r>
      <w:r w:rsidR="00E660C6">
        <w:rPr>
          <w:rFonts w:ascii="Arial" w:hAnsi="Arial"/>
          <w:color w:val="000000" w:themeColor="text1"/>
          <w:szCs w:val="20"/>
          <w:lang w:eastAsia="en-NZ"/>
        </w:rPr>
        <w:t xml:space="preserve">Many of these households have </w:t>
      </w:r>
      <w:r w:rsidR="0049205D">
        <w:rPr>
          <w:rFonts w:ascii="Arial" w:hAnsi="Arial"/>
          <w:color w:val="000000" w:themeColor="text1"/>
          <w:szCs w:val="20"/>
          <w:lang w:eastAsia="en-NZ"/>
        </w:rPr>
        <w:t xml:space="preserve">reported </w:t>
      </w:r>
      <w:r w:rsidR="00E660C6">
        <w:rPr>
          <w:rFonts w:ascii="Arial" w:hAnsi="Arial"/>
          <w:color w:val="000000" w:themeColor="text1"/>
          <w:szCs w:val="20"/>
          <w:lang w:eastAsia="en-NZ"/>
        </w:rPr>
        <w:t xml:space="preserve">housing costs that are around the </w:t>
      </w:r>
      <w:r w:rsidR="003C7EBD">
        <w:rPr>
          <w:rFonts w:ascii="Arial" w:hAnsi="Arial"/>
          <w:color w:val="000000" w:themeColor="text1"/>
          <w:szCs w:val="20"/>
          <w:lang w:eastAsia="en-NZ"/>
        </w:rPr>
        <w:t xml:space="preserve">median for the whole population, and which </w:t>
      </w:r>
      <w:r w:rsidR="000A6797">
        <w:rPr>
          <w:rFonts w:ascii="Arial" w:hAnsi="Arial"/>
          <w:color w:val="000000" w:themeColor="text1"/>
          <w:szCs w:val="20"/>
          <w:lang w:eastAsia="en-NZ"/>
        </w:rPr>
        <w:t xml:space="preserve">are </w:t>
      </w:r>
      <w:r w:rsidR="003C7EBD">
        <w:rPr>
          <w:rFonts w:ascii="Arial" w:hAnsi="Arial"/>
          <w:color w:val="000000" w:themeColor="text1"/>
          <w:szCs w:val="20"/>
          <w:lang w:eastAsia="en-NZ"/>
        </w:rPr>
        <w:t>much higher than those with ‘ordinary’ low incomes.</w:t>
      </w:r>
      <w:r w:rsidR="00E660C6">
        <w:rPr>
          <w:rFonts w:ascii="Arial" w:hAnsi="Arial"/>
          <w:color w:val="000000" w:themeColor="text1"/>
          <w:szCs w:val="20"/>
          <w:lang w:eastAsia="en-NZ"/>
        </w:rPr>
        <w:t xml:space="preserve"> </w:t>
      </w:r>
      <w:r w:rsidR="003C7EBD">
        <w:rPr>
          <w:rFonts w:ascii="Arial" w:hAnsi="Arial"/>
          <w:color w:val="000000" w:themeColor="text1"/>
          <w:szCs w:val="20"/>
          <w:lang w:eastAsia="en-NZ"/>
        </w:rPr>
        <w:t>This</w:t>
      </w:r>
      <w:r w:rsidR="00E660C6">
        <w:rPr>
          <w:rFonts w:ascii="Arial" w:hAnsi="Arial"/>
          <w:color w:val="000000" w:themeColor="text1"/>
          <w:szCs w:val="20"/>
          <w:lang w:eastAsia="en-NZ"/>
        </w:rPr>
        <w:t xml:space="preserve"> means that </w:t>
      </w:r>
      <w:r w:rsidR="000A6797">
        <w:rPr>
          <w:rFonts w:ascii="Arial" w:hAnsi="Arial"/>
          <w:color w:val="000000" w:themeColor="text1"/>
          <w:szCs w:val="20"/>
          <w:lang w:eastAsia="en-NZ"/>
        </w:rPr>
        <w:t>for VLI households their</w:t>
      </w:r>
      <w:r w:rsidR="00E660C6">
        <w:rPr>
          <w:rFonts w:ascii="Arial" w:hAnsi="Arial"/>
          <w:color w:val="000000" w:themeColor="text1"/>
          <w:szCs w:val="20"/>
          <w:lang w:eastAsia="en-NZ"/>
        </w:rPr>
        <w:t xml:space="preserve"> housing costs relative to income are very high</w:t>
      </w:r>
      <w:r w:rsidR="003C7EBD">
        <w:rPr>
          <w:rFonts w:ascii="Arial" w:hAnsi="Arial"/>
          <w:color w:val="000000" w:themeColor="text1"/>
          <w:szCs w:val="20"/>
          <w:lang w:eastAsia="en-NZ"/>
        </w:rPr>
        <w:t xml:space="preserve">, </w:t>
      </w:r>
      <w:r w:rsidR="000A6797">
        <w:rPr>
          <w:rFonts w:ascii="Arial" w:hAnsi="Arial"/>
          <w:color w:val="000000" w:themeColor="text1"/>
          <w:szCs w:val="20"/>
          <w:lang w:eastAsia="en-NZ"/>
        </w:rPr>
        <w:t xml:space="preserve">much higher on average than any other income group, and </w:t>
      </w:r>
      <w:r w:rsidR="0049205D">
        <w:rPr>
          <w:rFonts w:ascii="Arial" w:hAnsi="Arial"/>
          <w:color w:val="000000" w:themeColor="text1"/>
          <w:szCs w:val="20"/>
          <w:lang w:eastAsia="en-NZ"/>
        </w:rPr>
        <w:t>often</w:t>
      </w:r>
      <w:r w:rsidR="00E660C6">
        <w:rPr>
          <w:rFonts w:ascii="Arial" w:hAnsi="Arial"/>
          <w:color w:val="000000" w:themeColor="text1"/>
          <w:szCs w:val="20"/>
          <w:lang w:eastAsia="en-NZ"/>
        </w:rPr>
        <w:t xml:space="preserve"> </w:t>
      </w:r>
      <w:r w:rsidR="000A6797">
        <w:rPr>
          <w:rFonts w:ascii="Arial" w:hAnsi="Arial"/>
          <w:color w:val="000000" w:themeColor="text1"/>
          <w:szCs w:val="20"/>
          <w:lang w:eastAsia="en-NZ"/>
        </w:rPr>
        <w:t xml:space="preserve">the ratio is </w:t>
      </w:r>
      <w:r w:rsidR="00E660C6">
        <w:rPr>
          <w:rFonts w:ascii="Arial" w:hAnsi="Arial"/>
          <w:color w:val="000000" w:themeColor="text1"/>
          <w:szCs w:val="20"/>
          <w:lang w:eastAsia="en-NZ"/>
        </w:rPr>
        <w:t>more than</w:t>
      </w:r>
      <w:r w:rsidR="003C7EBD">
        <w:rPr>
          <w:rFonts w:ascii="Arial" w:hAnsi="Arial"/>
          <w:color w:val="000000" w:themeColor="text1"/>
          <w:szCs w:val="20"/>
          <w:lang w:eastAsia="en-NZ"/>
        </w:rPr>
        <w:t xml:space="preserve"> </w:t>
      </w:r>
      <w:r w:rsidR="00E660C6">
        <w:rPr>
          <w:rFonts w:ascii="Arial" w:hAnsi="Arial"/>
          <w:color w:val="000000" w:themeColor="text1"/>
          <w:szCs w:val="20"/>
          <w:lang w:eastAsia="en-NZ"/>
        </w:rPr>
        <w:t>100%.</w:t>
      </w:r>
      <w:r>
        <w:rPr>
          <w:rFonts w:ascii="Arial" w:hAnsi="Arial"/>
          <w:color w:val="000000" w:themeColor="text1"/>
          <w:szCs w:val="20"/>
          <w:lang w:eastAsia="en-NZ"/>
        </w:rPr>
        <w:t xml:space="preserve"> </w:t>
      </w:r>
      <w:r w:rsidR="000A6797">
        <w:rPr>
          <w:rFonts w:ascii="Arial" w:hAnsi="Arial"/>
          <w:color w:val="000000" w:themeColor="text1"/>
          <w:szCs w:val="20"/>
          <w:lang w:eastAsia="en-NZ"/>
        </w:rPr>
        <w:t>All this</w:t>
      </w:r>
      <w:r w:rsidR="00E660C6">
        <w:rPr>
          <w:rFonts w:ascii="Arial" w:hAnsi="Arial"/>
          <w:color w:val="000000" w:themeColor="text1"/>
          <w:szCs w:val="20"/>
          <w:lang w:eastAsia="en-NZ"/>
        </w:rPr>
        <w:t xml:space="preserve"> leads to </w:t>
      </w:r>
      <w:r w:rsidR="00C66E3F">
        <w:rPr>
          <w:rFonts w:ascii="Arial" w:hAnsi="Arial"/>
          <w:color w:val="000000" w:themeColor="text1"/>
          <w:szCs w:val="20"/>
          <w:lang w:eastAsia="en-NZ"/>
        </w:rPr>
        <w:t>a higher</w:t>
      </w:r>
      <w:r w:rsidR="00E660C6">
        <w:rPr>
          <w:rFonts w:ascii="Arial" w:hAnsi="Arial"/>
          <w:color w:val="000000" w:themeColor="text1"/>
          <w:szCs w:val="20"/>
          <w:lang w:eastAsia="en-NZ"/>
        </w:rPr>
        <w:t xml:space="preserve"> proportion of </w:t>
      </w:r>
      <w:r w:rsidR="000A6797">
        <w:rPr>
          <w:rFonts w:ascii="Arial" w:hAnsi="Arial"/>
          <w:color w:val="000000" w:themeColor="text1"/>
          <w:szCs w:val="20"/>
          <w:lang w:eastAsia="en-NZ"/>
        </w:rPr>
        <w:t xml:space="preserve">low-income </w:t>
      </w:r>
      <w:r w:rsidR="00E660C6">
        <w:rPr>
          <w:rFonts w:ascii="Arial" w:hAnsi="Arial"/>
          <w:color w:val="000000" w:themeColor="text1"/>
          <w:szCs w:val="20"/>
          <w:lang w:eastAsia="en-NZ"/>
        </w:rPr>
        <w:t>households reporting housing unaffordability</w:t>
      </w:r>
      <w:r w:rsidR="00C66E3F">
        <w:rPr>
          <w:rFonts w:ascii="Arial" w:hAnsi="Arial"/>
          <w:color w:val="000000" w:themeColor="text1"/>
          <w:szCs w:val="20"/>
          <w:lang w:eastAsia="en-NZ"/>
        </w:rPr>
        <w:t xml:space="preserve"> compared with what is reported using HES-TAWA data</w:t>
      </w:r>
      <w:r w:rsidR="000A6797">
        <w:rPr>
          <w:rFonts w:ascii="Arial" w:hAnsi="Arial"/>
          <w:color w:val="000000" w:themeColor="text1"/>
          <w:szCs w:val="20"/>
          <w:lang w:eastAsia="en-NZ"/>
        </w:rPr>
        <w:t>.</w:t>
      </w:r>
      <w:r w:rsidR="00684BF7">
        <w:rPr>
          <w:rFonts w:ascii="Arial" w:hAnsi="Arial"/>
          <w:color w:val="000000" w:themeColor="text1"/>
          <w:szCs w:val="20"/>
          <w:lang w:eastAsia="en-NZ"/>
        </w:rPr>
        <w:t xml:space="preserve"> </w:t>
      </w:r>
      <w:r w:rsidR="000A6797">
        <w:rPr>
          <w:rFonts w:ascii="Arial" w:hAnsi="Arial"/>
          <w:color w:val="000000" w:themeColor="text1"/>
          <w:szCs w:val="20"/>
          <w:lang w:eastAsia="en-NZ"/>
        </w:rPr>
        <w:t>It</w:t>
      </w:r>
      <w:r w:rsidR="00684BF7">
        <w:rPr>
          <w:rFonts w:ascii="Arial" w:hAnsi="Arial"/>
          <w:color w:val="000000" w:themeColor="text1"/>
          <w:szCs w:val="20"/>
          <w:lang w:eastAsia="en-NZ"/>
        </w:rPr>
        <w:t xml:space="preserve"> is likely to account for some of the observed discontinuity.</w:t>
      </w:r>
    </w:p>
    <w:p w14:paraId="65E2DCF7" w14:textId="4B43CD8A" w:rsidR="00C66E3F" w:rsidRDefault="00C66E3F" w:rsidP="0055178F">
      <w:pPr>
        <w:spacing w:after="0" w:line="240" w:lineRule="auto"/>
        <w:rPr>
          <w:rFonts w:ascii="Arial" w:hAnsi="Arial"/>
          <w:color w:val="000000" w:themeColor="text1"/>
          <w:szCs w:val="20"/>
          <w:lang w:eastAsia="en-NZ"/>
        </w:rPr>
      </w:pPr>
    </w:p>
    <w:p w14:paraId="0C6086B7" w14:textId="1D07B3E2" w:rsidR="00C66E3F" w:rsidRPr="00FF4E98" w:rsidRDefault="00684BF7" w:rsidP="00C66E3F">
      <w:pPr>
        <w:spacing w:after="0" w:line="240" w:lineRule="auto"/>
        <w:rPr>
          <w:rFonts w:ascii="Arial" w:hAnsi="Arial"/>
          <w:color w:val="000000" w:themeColor="text1"/>
          <w:szCs w:val="20"/>
          <w:lang w:eastAsia="en-NZ"/>
        </w:rPr>
      </w:pPr>
      <w:r>
        <w:rPr>
          <w:rFonts w:ascii="Arial" w:hAnsi="Arial"/>
          <w:color w:val="000000" w:themeColor="text1"/>
          <w:szCs w:val="20"/>
          <w:lang w:eastAsia="en-NZ"/>
        </w:rPr>
        <w:t>The full picture of what</w:t>
      </w:r>
      <w:r w:rsidR="00C66E3F" w:rsidRPr="00FF4E98">
        <w:rPr>
          <w:rFonts w:ascii="Arial" w:hAnsi="Arial"/>
          <w:color w:val="000000" w:themeColor="text1"/>
          <w:szCs w:val="20"/>
          <w:lang w:eastAsia="en-NZ"/>
        </w:rPr>
        <w:t xml:space="preserve"> it is that is causing </w:t>
      </w:r>
      <w:r>
        <w:rPr>
          <w:rFonts w:ascii="Arial" w:hAnsi="Arial"/>
          <w:color w:val="000000" w:themeColor="text1"/>
          <w:szCs w:val="20"/>
          <w:lang w:eastAsia="en-NZ"/>
        </w:rPr>
        <w:t>the observed discontinuities</w:t>
      </w:r>
      <w:r w:rsidR="00C66E3F" w:rsidRPr="00FF4E98">
        <w:rPr>
          <w:rFonts w:ascii="Arial" w:hAnsi="Arial"/>
          <w:color w:val="000000" w:themeColor="text1"/>
          <w:szCs w:val="20"/>
          <w:lang w:eastAsia="en-NZ"/>
        </w:rPr>
        <w:t xml:space="preserve"> is not at present fully understood – </w:t>
      </w:r>
      <w:r w:rsidR="00C66E3F">
        <w:rPr>
          <w:rFonts w:ascii="Arial" w:hAnsi="Arial"/>
          <w:color w:val="000000" w:themeColor="text1"/>
          <w:szCs w:val="20"/>
          <w:lang w:eastAsia="en-NZ"/>
        </w:rPr>
        <w:t xml:space="preserve">in addition to the VLI issue </w:t>
      </w:r>
      <w:r w:rsidR="00C66E3F" w:rsidRPr="00FF4E98">
        <w:rPr>
          <w:rFonts w:ascii="Arial" w:hAnsi="Arial"/>
          <w:color w:val="000000" w:themeColor="text1"/>
          <w:szCs w:val="20"/>
          <w:lang w:eastAsia="en-NZ"/>
        </w:rPr>
        <w:t xml:space="preserve">there are likely to be </w:t>
      </w:r>
      <w:r w:rsidR="00C66E3F">
        <w:rPr>
          <w:rFonts w:ascii="Arial" w:hAnsi="Arial"/>
          <w:color w:val="000000" w:themeColor="text1"/>
          <w:szCs w:val="20"/>
          <w:lang w:eastAsia="en-NZ"/>
        </w:rPr>
        <w:t>other</w:t>
      </w:r>
      <w:r w:rsidR="00C66E3F" w:rsidRPr="00FF4E98">
        <w:rPr>
          <w:rFonts w:ascii="Arial" w:hAnsi="Arial"/>
          <w:color w:val="000000" w:themeColor="text1"/>
          <w:szCs w:val="20"/>
          <w:lang w:eastAsia="en-NZ"/>
        </w:rPr>
        <w:t xml:space="preserve"> drivers</w:t>
      </w:r>
      <w:r w:rsidR="00C66E3F">
        <w:rPr>
          <w:rFonts w:ascii="Arial" w:hAnsi="Arial"/>
          <w:color w:val="000000" w:themeColor="text1"/>
          <w:szCs w:val="20"/>
          <w:lang w:eastAsia="en-NZ"/>
        </w:rPr>
        <w:t xml:space="preserve"> too</w:t>
      </w:r>
      <w:r w:rsidR="00C66E3F" w:rsidRPr="00FF4E98">
        <w:rPr>
          <w:rFonts w:ascii="Arial" w:hAnsi="Arial"/>
          <w:color w:val="000000" w:themeColor="text1"/>
          <w:szCs w:val="20"/>
          <w:lang w:eastAsia="en-NZ"/>
        </w:rPr>
        <w:t>. Stats NZ is carrying out further investigations, including consideration as to whether a new time series has to be formally declared from 2018-19, with or without treatment of the income data to address the VLI matter. This work is expected to be completed by December 2021.</w:t>
      </w:r>
    </w:p>
    <w:p w14:paraId="78A84332" w14:textId="77777777" w:rsidR="0055178F" w:rsidRDefault="0055178F" w:rsidP="0055178F">
      <w:pPr>
        <w:spacing w:after="0" w:line="240" w:lineRule="auto"/>
        <w:rPr>
          <w:rFonts w:ascii="Arial" w:hAnsi="Arial"/>
          <w:color w:val="000000" w:themeColor="text1"/>
          <w:szCs w:val="20"/>
          <w:lang w:eastAsia="en-NZ"/>
        </w:rPr>
      </w:pPr>
    </w:p>
    <w:p w14:paraId="7DB3748A" w14:textId="74AAB4A1" w:rsidR="0055178F" w:rsidRPr="00FF4E98" w:rsidRDefault="0055178F" w:rsidP="0055178F">
      <w:pPr>
        <w:spacing w:after="0" w:line="240" w:lineRule="auto"/>
        <w:rPr>
          <w:rFonts w:ascii="Arial" w:hAnsi="Arial"/>
          <w:color w:val="000000" w:themeColor="text1"/>
          <w:szCs w:val="20"/>
          <w:lang w:eastAsia="en-NZ"/>
        </w:rPr>
      </w:pPr>
      <w:r w:rsidRPr="0049205D">
        <w:rPr>
          <w:rFonts w:ascii="Arial" w:hAnsi="Arial"/>
          <w:color w:val="000000" w:themeColor="text1"/>
          <w:szCs w:val="20"/>
          <w:u w:val="single"/>
          <w:lang w:eastAsia="en-NZ"/>
        </w:rPr>
        <w:t>For the OECD analysis</w:t>
      </w:r>
      <w:r w:rsidRPr="00FF4E98">
        <w:rPr>
          <w:rFonts w:ascii="Arial" w:hAnsi="Arial"/>
          <w:color w:val="000000" w:themeColor="text1"/>
          <w:szCs w:val="20"/>
          <w:lang w:eastAsia="en-NZ"/>
        </w:rPr>
        <w:t xml:space="preserve"> (which is the main source for the Findings), this report uses 2017-18 HES-TAWA data to update the previously published New Zealand numbers and to fill the gaps in the OECD database where no New Zealand data is currently available. This avoids the more serious VLI issue in the current 2018-19 and 2019-20 HES data.</w:t>
      </w:r>
      <w:r w:rsidR="003C7EBD">
        <w:rPr>
          <w:rStyle w:val="FootnoteReference"/>
          <w:rFonts w:ascii="Arial" w:hAnsi="Arial"/>
          <w:color w:val="000000" w:themeColor="text1"/>
          <w:szCs w:val="20"/>
          <w:lang w:eastAsia="en-NZ"/>
        </w:rPr>
        <w:footnoteReference w:id="6"/>
      </w:r>
      <w:r w:rsidRPr="00FF4E98">
        <w:rPr>
          <w:rFonts w:ascii="Arial" w:hAnsi="Arial"/>
          <w:color w:val="000000" w:themeColor="text1"/>
          <w:szCs w:val="20"/>
          <w:lang w:eastAsia="en-NZ"/>
        </w:rPr>
        <w:t xml:space="preserve"> The HES 2017-18 incomes relate to calendar 2017 on average, and the findings therefore do not reflect either the Families Package and core benefit increases, nor the impact on rents and mortgages of the large rises in house prices in 2020 and 2021. </w:t>
      </w:r>
    </w:p>
    <w:p w14:paraId="688AC7C5" w14:textId="77777777" w:rsidR="0055178F" w:rsidRPr="00FF4E98" w:rsidRDefault="0055178F" w:rsidP="0055178F">
      <w:pPr>
        <w:spacing w:after="0" w:line="240" w:lineRule="auto"/>
        <w:rPr>
          <w:rFonts w:ascii="Arial" w:hAnsi="Arial"/>
          <w:color w:val="000000" w:themeColor="text1"/>
          <w:szCs w:val="20"/>
          <w:lang w:eastAsia="en-NZ"/>
        </w:rPr>
      </w:pPr>
    </w:p>
    <w:p w14:paraId="2F1EB14D" w14:textId="6D03D7C0" w:rsidR="0055178F" w:rsidRPr="00464845" w:rsidRDefault="0055178F" w:rsidP="0055178F">
      <w:pPr>
        <w:spacing w:after="0" w:line="240" w:lineRule="auto"/>
        <w:rPr>
          <w:rFonts w:ascii="Arial" w:hAnsi="Arial"/>
          <w:color w:val="000000" w:themeColor="text1"/>
          <w:szCs w:val="20"/>
          <w:lang w:eastAsia="en-NZ"/>
        </w:rPr>
      </w:pPr>
      <w:r w:rsidRPr="0049205D">
        <w:rPr>
          <w:rFonts w:ascii="Arial" w:hAnsi="Arial"/>
          <w:color w:val="000000" w:themeColor="text1"/>
          <w:szCs w:val="20"/>
          <w:u w:val="single"/>
          <w:lang w:eastAsia="en-NZ"/>
        </w:rPr>
        <w:t>For the EU analysis</w:t>
      </w:r>
      <w:r w:rsidRPr="00FF4E98">
        <w:rPr>
          <w:rFonts w:ascii="Arial" w:hAnsi="Arial"/>
          <w:color w:val="000000" w:themeColor="text1"/>
          <w:szCs w:val="20"/>
          <w:lang w:eastAsia="en-NZ"/>
        </w:rPr>
        <w:t xml:space="preserve">, the 2017-18 </w:t>
      </w:r>
      <w:r>
        <w:rPr>
          <w:rFonts w:ascii="Arial" w:hAnsi="Arial"/>
          <w:color w:val="000000" w:themeColor="text1"/>
          <w:szCs w:val="20"/>
          <w:lang w:eastAsia="en-NZ"/>
        </w:rPr>
        <w:t xml:space="preserve">HES </w:t>
      </w:r>
      <w:r w:rsidRPr="00FF4E98">
        <w:rPr>
          <w:rFonts w:ascii="Arial" w:hAnsi="Arial"/>
          <w:color w:val="000000" w:themeColor="text1"/>
          <w:szCs w:val="20"/>
          <w:lang w:eastAsia="en-NZ"/>
        </w:rPr>
        <w:t xml:space="preserve">data does not have the necessary detail for the housing costs calculations for replicating the EU approach. The report therefore uses the 2018-19 HES-admin data for the EU comparisons, and applies the same (interim and relatively ‘light-touch’) treatment to the 2018-19 data </w:t>
      </w:r>
      <w:r>
        <w:rPr>
          <w:rFonts w:ascii="Arial" w:hAnsi="Arial"/>
          <w:color w:val="000000" w:themeColor="text1"/>
          <w:szCs w:val="20"/>
          <w:lang w:eastAsia="en-NZ"/>
        </w:rPr>
        <w:t>as was done</w:t>
      </w:r>
      <w:r w:rsidRPr="00FF4E98">
        <w:rPr>
          <w:rFonts w:ascii="Arial" w:hAnsi="Arial"/>
          <w:color w:val="000000" w:themeColor="text1"/>
          <w:szCs w:val="20"/>
          <w:lang w:eastAsia="en-NZ"/>
        </w:rPr>
        <w:t xml:space="preserve"> for the Child Poverty Report in </w:t>
      </w:r>
      <w:r>
        <w:rPr>
          <w:rFonts w:ascii="Arial" w:hAnsi="Arial"/>
          <w:color w:val="000000" w:themeColor="text1"/>
          <w:szCs w:val="20"/>
          <w:lang w:eastAsia="en-NZ"/>
        </w:rPr>
        <w:t>June</w:t>
      </w:r>
      <w:r w:rsidRPr="00FF4E98">
        <w:rPr>
          <w:rFonts w:ascii="Arial" w:hAnsi="Arial"/>
          <w:color w:val="000000" w:themeColor="text1"/>
          <w:szCs w:val="20"/>
          <w:lang w:eastAsia="en-NZ"/>
        </w:rPr>
        <w:t xml:space="preserve"> this year.  This reduces but does not eliminate the likely over-estimation of </w:t>
      </w:r>
      <w:r w:rsidRPr="00464845">
        <w:rPr>
          <w:rFonts w:ascii="Arial" w:hAnsi="Arial"/>
          <w:color w:val="000000" w:themeColor="text1"/>
          <w:szCs w:val="20"/>
          <w:lang w:eastAsia="en-NZ"/>
        </w:rPr>
        <w:t>HCOs (see Section O in that report (Perry, 2021)</w:t>
      </w:r>
      <w:r>
        <w:rPr>
          <w:rFonts w:ascii="Arial" w:hAnsi="Arial"/>
          <w:color w:val="000000" w:themeColor="text1"/>
          <w:szCs w:val="20"/>
          <w:lang w:eastAsia="en-NZ"/>
        </w:rPr>
        <w:t xml:space="preserve"> for details</w:t>
      </w:r>
      <w:r w:rsidR="000A6797">
        <w:rPr>
          <w:rFonts w:ascii="Arial" w:hAnsi="Arial"/>
          <w:color w:val="000000" w:themeColor="text1"/>
          <w:szCs w:val="20"/>
          <w:lang w:eastAsia="en-NZ"/>
        </w:rPr>
        <w:t>)</w:t>
      </w:r>
      <w:r>
        <w:rPr>
          <w:rFonts w:ascii="Arial" w:hAnsi="Arial"/>
          <w:color w:val="000000" w:themeColor="text1"/>
          <w:szCs w:val="20"/>
          <w:lang w:eastAsia="en-NZ"/>
        </w:rPr>
        <w:t xml:space="preserve">. </w:t>
      </w:r>
      <w:r w:rsidRPr="00464845">
        <w:rPr>
          <w:rFonts w:ascii="Arial" w:hAnsi="Arial"/>
          <w:color w:val="000000" w:themeColor="text1"/>
          <w:szCs w:val="20"/>
          <w:lang w:eastAsia="en-NZ"/>
        </w:rPr>
        <w:t>The 2019-20 HES data gives almost identical numbers to those obtained using HES 2018-19.</w:t>
      </w:r>
      <w:r w:rsidRPr="00464845">
        <w:rPr>
          <w:rStyle w:val="FootnoteReference"/>
          <w:rFonts w:ascii="Arial" w:hAnsi="Arial"/>
          <w:color w:val="000000" w:themeColor="text1"/>
          <w:szCs w:val="20"/>
          <w:lang w:eastAsia="en-NZ"/>
        </w:rPr>
        <w:footnoteReference w:id="7"/>
      </w:r>
    </w:p>
    <w:p w14:paraId="47849D8E" w14:textId="77777777" w:rsidR="0055178F" w:rsidRPr="00464845" w:rsidRDefault="0055178F" w:rsidP="0055178F">
      <w:pPr>
        <w:spacing w:after="0" w:line="240" w:lineRule="auto"/>
        <w:rPr>
          <w:rFonts w:ascii="Arial" w:hAnsi="Arial"/>
          <w:color w:val="000000" w:themeColor="text1"/>
          <w:szCs w:val="20"/>
          <w:lang w:eastAsia="en-NZ"/>
        </w:rPr>
      </w:pPr>
    </w:p>
    <w:p w14:paraId="248AAEC4" w14:textId="281A5B6C" w:rsidR="0055178F" w:rsidRPr="00402CB1" w:rsidRDefault="002C54D0" w:rsidP="0055178F">
      <w:pPr>
        <w:spacing w:after="0" w:line="240" w:lineRule="auto"/>
        <w:rPr>
          <w:rFonts w:ascii="Arial" w:eastAsia="Times New Roman" w:hAnsi="Arial"/>
          <w:bCs/>
          <w:color w:val="000000" w:themeColor="text1"/>
          <w:szCs w:val="20"/>
          <w:u w:val="single"/>
          <w:lang w:val="en-GB"/>
        </w:rPr>
      </w:pPr>
      <w:r>
        <w:rPr>
          <w:rFonts w:ascii="Arial" w:eastAsia="Times New Roman" w:hAnsi="Arial"/>
          <w:bCs/>
          <w:color w:val="000000" w:themeColor="text1"/>
          <w:szCs w:val="20"/>
          <w:u w:val="single"/>
          <w:lang w:val="en-GB"/>
        </w:rPr>
        <w:t>T</w:t>
      </w:r>
      <w:r w:rsidR="0055178F" w:rsidRPr="00402CB1">
        <w:rPr>
          <w:rFonts w:ascii="Arial" w:eastAsia="Times New Roman" w:hAnsi="Arial"/>
          <w:bCs/>
          <w:color w:val="000000" w:themeColor="text1"/>
          <w:szCs w:val="20"/>
          <w:u w:val="single"/>
          <w:lang w:val="en-GB"/>
        </w:rPr>
        <w:t>his report and MSD’s Household Incomes Report</w:t>
      </w:r>
    </w:p>
    <w:p w14:paraId="775F5F01" w14:textId="77777777" w:rsidR="0055178F" w:rsidRPr="00402CB1" w:rsidRDefault="0055178F" w:rsidP="0055178F">
      <w:pPr>
        <w:spacing w:after="0" w:line="240" w:lineRule="auto"/>
        <w:rPr>
          <w:rFonts w:ascii="Arial" w:eastAsia="Times New Roman" w:hAnsi="Arial"/>
          <w:bCs/>
          <w:color w:val="000000" w:themeColor="text1"/>
          <w:szCs w:val="20"/>
          <w:lang w:val="en-GB"/>
        </w:rPr>
      </w:pPr>
    </w:p>
    <w:p w14:paraId="20CCA659" w14:textId="77777777" w:rsidR="0055178F" w:rsidRPr="00402CB1" w:rsidRDefault="0055178F" w:rsidP="0055178F">
      <w:pPr>
        <w:spacing w:after="0" w:line="240" w:lineRule="auto"/>
        <w:rPr>
          <w:rFonts w:ascii="Arial" w:eastAsia="Times New Roman" w:hAnsi="Arial"/>
          <w:bCs/>
          <w:color w:val="000000" w:themeColor="text1"/>
          <w:szCs w:val="20"/>
          <w:lang w:val="en-GB"/>
        </w:rPr>
      </w:pPr>
      <w:r w:rsidRPr="00402CB1">
        <w:rPr>
          <w:rFonts w:ascii="Arial" w:eastAsia="Times New Roman" w:hAnsi="Arial"/>
          <w:bCs/>
          <w:color w:val="000000" w:themeColor="text1"/>
          <w:szCs w:val="20"/>
          <w:lang w:val="en-GB"/>
        </w:rPr>
        <w:t>MSD’s Household Incomes Report (HIR) has a wide range of HES-based analysis on housing affordability for renters and those paying off a mortgage: it reports using OTIs of 30%, 40% and 50% for different tenures, ages, household types and income levels (quintiles), and time series to show trends in the medium term (three decades or so).</w:t>
      </w:r>
    </w:p>
    <w:p w14:paraId="661656E8" w14:textId="77777777" w:rsidR="0055178F" w:rsidRPr="00402CB1" w:rsidRDefault="0055178F" w:rsidP="0055178F">
      <w:pPr>
        <w:spacing w:after="0" w:line="240" w:lineRule="auto"/>
        <w:rPr>
          <w:rFonts w:ascii="Arial" w:eastAsia="Times New Roman" w:hAnsi="Arial"/>
          <w:bCs/>
          <w:color w:val="000000" w:themeColor="text1"/>
          <w:szCs w:val="20"/>
          <w:lang w:val="en-GB"/>
        </w:rPr>
      </w:pPr>
    </w:p>
    <w:p w14:paraId="0210F36D" w14:textId="77777777" w:rsidR="0055178F" w:rsidRPr="00402CB1" w:rsidRDefault="0055178F" w:rsidP="0055178F">
      <w:pPr>
        <w:spacing w:after="0" w:line="240" w:lineRule="auto"/>
        <w:rPr>
          <w:rFonts w:ascii="Arial" w:eastAsia="Times New Roman" w:hAnsi="Arial"/>
          <w:bCs/>
          <w:color w:val="000000" w:themeColor="text1"/>
          <w:szCs w:val="20"/>
          <w:lang w:val="en-GB"/>
        </w:rPr>
      </w:pPr>
      <w:r w:rsidRPr="00402CB1">
        <w:rPr>
          <w:rFonts w:ascii="Arial" w:eastAsia="Times New Roman" w:hAnsi="Arial"/>
          <w:bCs/>
          <w:color w:val="000000" w:themeColor="text1"/>
          <w:szCs w:val="20"/>
          <w:lang w:val="en-GB"/>
        </w:rPr>
        <w:t>By presenting international comparisons, this new report provides a further reference frame to assist with understanding the state of housing (un)affordability in New Zealand, for those already in their accommodation. When the HIR resumes in 2022, these international comparisons will be included alongside the purely New Zealand material.</w:t>
      </w:r>
      <w:r w:rsidRPr="00402CB1">
        <w:rPr>
          <w:rStyle w:val="FootnoteReference"/>
          <w:rFonts w:ascii="Arial" w:eastAsia="Times New Roman" w:hAnsi="Arial"/>
          <w:bCs/>
          <w:color w:val="000000" w:themeColor="text1"/>
          <w:szCs w:val="20"/>
          <w:lang w:val="en-GB"/>
        </w:rPr>
        <w:footnoteReference w:id="8"/>
      </w:r>
      <w:r w:rsidRPr="00402CB1">
        <w:rPr>
          <w:rFonts w:ascii="Arial" w:eastAsia="Times New Roman" w:hAnsi="Arial"/>
          <w:bCs/>
          <w:color w:val="000000" w:themeColor="text1"/>
          <w:szCs w:val="20"/>
          <w:lang w:val="en-GB"/>
        </w:rPr>
        <w:t xml:space="preserve"> </w:t>
      </w:r>
    </w:p>
    <w:p w14:paraId="5F575AB6" w14:textId="77777777" w:rsidR="0055178F" w:rsidRPr="00402CB1" w:rsidRDefault="0055178F" w:rsidP="0055178F">
      <w:pPr>
        <w:spacing w:after="0" w:line="240" w:lineRule="auto"/>
        <w:rPr>
          <w:rFonts w:ascii="Arial" w:eastAsia="Times New Roman" w:hAnsi="Arial"/>
          <w:bCs/>
          <w:color w:val="000000" w:themeColor="text1"/>
          <w:szCs w:val="20"/>
          <w:lang w:val="en-GB"/>
        </w:rPr>
      </w:pPr>
    </w:p>
    <w:p w14:paraId="353FE837" w14:textId="4C010B83" w:rsidR="0055178F" w:rsidRPr="00402CB1" w:rsidRDefault="0055178F" w:rsidP="0055178F">
      <w:pPr>
        <w:spacing w:after="0" w:line="240" w:lineRule="auto"/>
        <w:rPr>
          <w:rFonts w:ascii="Arial" w:eastAsia="Times New Roman" w:hAnsi="Arial"/>
          <w:bCs/>
          <w:color w:val="000000" w:themeColor="text1"/>
          <w:szCs w:val="20"/>
          <w:lang w:val="en-GB"/>
        </w:rPr>
      </w:pPr>
      <w:r w:rsidRPr="00402CB1">
        <w:rPr>
          <w:rFonts w:ascii="Arial" w:eastAsia="Times New Roman" w:hAnsi="Arial"/>
          <w:bCs/>
          <w:color w:val="000000" w:themeColor="text1"/>
          <w:szCs w:val="20"/>
          <w:lang w:val="en-GB"/>
        </w:rPr>
        <w:t>This report does not cover the other aspect of housing affordability – the ability of prospective home- owners to be able to afford a purchase and service the associated mortgage. There is good material available on this in other sources.</w:t>
      </w:r>
      <w:r w:rsidRPr="00402CB1">
        <w:rPr>
          <w:rStyle w:val="FootnoteReference"/>
          <w:rFonts w:ascii="Arial" w:eastAsia="Times New Roman" w:hAnsi="Arial"/>
          <w:bCs/>
          <w:color w:val="000000" w:themeColor="text1"/>
          <w:szCs w:val="20"/>
          <w:lang w:val="en-GB"/>
        </w:rPr>
        <w:footnoteReference w:id="9"/>
      </w:r>
    </w:p>
    <w:p w14:paraId="5F237EB3" w14:textId="6FC07842" w:rsidR="0049205D" w:rsidRPr="00402CB1" w:rsidRDefault="0049205D" w:rsidP="0055178F">
      <w:pPr>
        <w:spacing w:after="0" w:line="240" w:lineRule="auto"/>
        <w:rPr>
          <w:rFonts w:ascii="Arial" w:eastAsia="Times New Roman" w:hAnsi="Arial"/>
          <w:bCs/>
          <w:color w:val="000000" w:themeColor="text1"/>
          <w:szCs w:val="20"/>
          <w:lang w:val="en-GB"/>
        </w:rPr>
      </w:pPr>
    </w:p>
    <w:p w14:paraId="71B885F4" w14:textId="77777777" w:rsidR="00935AEB" w:rsidRDefault="00935AEB">
      <w:pPr>
        <w:spacing w:after="0" w:line="240" w:lineRule="auto"/>
        <w:rPr>
          <w:rFonts w:ascii="Arial" w:eastAsia="Times New Roman" w:hAnsi="Arial"/>
          <w:b/>
          <w:sz w:val="24"/>
          <w:szCs w:val="24"/>
          <w:lang w:val="en-GB"/>
        </w:rPr>
      </w:pPr>
    </w:p>
    <w:p w14:paraId="18932BDD" w14:textId="77777777" w:rsidR="00893DFB" w:rsidRDefault="00893DFB">
      <w:pPr>
        <w:spacing w:after="0" w:line="240" w:lineRule="auto"/>
        <w:rPr>
          <w:rFonts w:ascii="Arial" w:eastAsia="Times New Roman" w:hAnsi="Arial"/>
          <w:b/>
          <w:sz w:val="24"/>
          <w:szCs w:val="24"/>
          <w:lang w:val="en-GB"/>
        </w:rPr>
      </w:pPr>
      <w:r>
        <w:rPr>
          <w:rFonts w:ascii="Arial" w:eastAsia="Times New Roman" w:hAnsi="Arial"/>
          <w:b/>
          <w:sz w:val="24"/>
          <w:szCs w:val="24"/>
          <w:lang w:val="en-GB"/>
        </w:rPr>
        <w:br w:type="page"/>
      </w:r>
    </w:p>
    <w:p w14:paraId="2F617B72" w14:textId="03AB8973" w:rsidR="00544075" w:rsidRPr="00D462C6" w:rsidRDefault="00100297">
      <w:pPr>
        <w:spacing w:after="0" w:line="240" w:lineRule="auto"/>
        <w:rPr>
          <w:rFonts w:ascii="Arial" w:eastAsia="Times New Roman" w:hAnsi="Arial"/>
          <w:b/>
          <w:sz w:val="24"/>
          <w:szCs w:val="24"/>
          <w:lang w:val="en-GB"/>
        </w:rPr>
      </w:pPr>
      <w:r w:rsidRPr="00D462C6">
        <w:rPr>
          <w:rFonts w:ascii="Arial" w:eastAsia="Times New Roman" w:hAnsi="Arial"/>
          <w:b/>
          <w:sz w:val="24"/>
          <w:szCs w:val="24"/>
          <w:lang w:val="en-GB"/>
        </w:rPr>
        <w:lastRenderedPageBreak/>
        <w:t>Overview and key</w:t>
      </w:r>
      <w:r w:rsidR="00544075" w:rsidRPr="00D462C6">
        <w:rPr>
          <w:rFonts w:ascii="Arial" w:eastAsia="Times New Roman" w:hAnsi="Arial"/>
          <w:b/>
          <w:sz w:val="24"/>
          <w:szCs w:val="24"/>
          <w:lang w:val="en-GB"/>
        </w:rPr>
        <w:t xml:space="preserve"> findings</w:t>
      </w:r>
    </w:p>
    <w:p w14:paraId="55E8BF5F" w14:textId="77777777" w:rsidR="00544075" w:rsidRPr="00D462C6" w:rsidRDefault="00544075">
      <w:pPr>
        <w:spacing w:after="0" w:line="240" w:lineRule="auto"/>
        <w:rPr>
          <w:rFonts w:ascii="Arial" w:eastAsia="Times New Roman" w:hAnsi="Arial"/>
          <w:bCs/>
          <w:szCs w:val="20"/>
          <w:lang w:val="en-GB"/>
        </w:rPr>
      </w:pPr>
    </w:p>
    <w:p w14:paraId="35776589" w14:textId="77777777" w:rsidR="00143BAA" w:rsidRDefault="00143BAA" w:rsidP="00143BAA">
      <w:pPr>
        <w:spacing w:after="0" w:line="240" w:lineRule="auto"/>
        <w:rPr>
          <w:rFonts w:ascii="Arial" w:eastAsia="Times New Roman" w:hAnsi="Arial"/>
          <w:bCs/>
          <w:szCs w:val="20"/>
          <w:lang w:val="en-GB"/>
        </w:rPr>
      </w:pPr>
      <w:bookmarkStart w:id="0" w:name="_Hlk85006721"/>
      <w:bookmarkStart w:id="1" w:name="_Hlk85006679"/>
      <w:r>
        <w:rPr>
          <w:rFonts w:ascii="Arial" w:eastAsia="Times New Roman" w:hAnsi="Arial"/>
          <w:bCs/>
          <w:szCs w:val="20"/>
          <w:lang w:val="en-GB"/>
        </w:rPr>
        <w:t>This standalone report adds an international dimension to the existing New Zealand housing affordability time series already published in the Household Incomes Report.</w:t>
      </w:r>
    </w:p>
    <w:p w14:paraId="407EFDE4" w14:textId="77777777" w:rsidR="00143BAA" w:rsidRDefault="00143BAA" w:rsidP="00143BAA">
      <w:pPr>
        <w:spacing w:after="0" w:line="240" w:lineRule="auto"/>
        <w:rPr>
          <w:rFonts w:ascii="Arial" w:eastAsia="Times New Roman" w:hAnsi="Arial"/>
          <w:bCs/>
          <w:szCs w:val="20"/>
          <w:lang w:val="en-GB"/>
        </w:rPr>
      </w:pPr>
    </w:p>
    <w:p w14:paraId="62DEF023" w14:textId="77777777" w:rsidR="00143BAA" w:rsidRPr="00D462C6" w:rsidRDefault="00143BAA" w:rsidP="00143BAA">
      <w:pPr>
        <w:spacing w:after="0" w:line="240" w:lineRule="auto"/>
        <w:rPr>
          <w:rFonts w:ascii="Arial" w:eastAsia="Times New Roman" w:hAnsi="Arial"/>
          <w:bCs/>
          <w:szCs w:val="20"/>
          <w:lang w:val="en-GB"/>
        </w:rPr>
      </w:pPr>
      <w:r>
        <w:rPr>
          <w:rFonts w:ascii="Arial" w:eastAsia="Times New Roman" w:hAnsi="Arial"/>
          <w:bCs/>
          <w:szCs w:val="20"/>
          <w:lang w:val="en-GB"/>
        </w:rPr>
        <w:t>The</w:t>
      </w:r>
      <w:r w:rsidRPr="00D462C6">
        <w:rPr>
          <w:rFonts w:ascii="Arial" w:eastAsia="Times New Roman" w:hAnsi="Arial"/>
          <w:bCs/>
          <w:szCs w:val="20"/>
          <w:lang w:val="en-GB"/>
        </w:rPr>
        <w:t xml:space="preserve"> report provides </w:t>
      </w:r>
      <w:r>
        <w:rPr>
          <w:rFonts w:ascii="Arial" w:eastAsia="Times New Roman" w:hAnsi="Arial"/>
          <w:bCs/>
          <w:szCs w:val="20"/>
          <w:lang w:val="en-GB"/>
        </w:rPr>
        <w:t>international housing affordability</w:t>
      </w:r>
      <w:r w:rsidRPr="00D462C6">
        <w:rPr>
          <w:rFonts w:ascii="Arial" w:eastAsia="Times New Roman" w:hAnsi="Arial"/>
          <w:bCs/>
          <w:szCs w:val="20"/>
          <w:lang w:val="en-GB"/>
        </w:rPr>
        <w:t xml:space="preserve"> comparisons</w:t>
      </w:r>
      <w:r>
        <w:rPr>
          <w:rFonts w:ascii="Arial" w:eastAsia="Times New Roman" w:hAnsi="Arial"/>
          <w:bCs/>
          <w:szCs w:val="20"/>
          <w:lang w:val="en-GB"/>
        </w:rPr>
        <w:t xml:space="preserve"> </w:t>
      </w:r>
      <w:r w:rsidRPr="00D462C6">
        <w:rPr>
          <w:rFonts w:ascii="Arial" w:eastAsia="Times New Roman" w:hAnsi="Arial"/>
          <w:bCs/>
          <w:szCs w:val="20"/>
          <w:lang w:val="en-GB"/>
        </w:rPr>
        <w:t>for owners and renters</w:t>
      </w:r>
      <w:r>
        <w:rPr>
          <w:rFonts w:ascii="Arial" w:eastAsia="Times New Roman" w:hAnsi="Arial"/>
          <w:bCs/>
          <w:szCs w:val="20"/>
          <w:lang w:val="en-GB"/>
        </w:rPr>
        <w:t xml:space="preserve">, using OECD and EU datasets and MSD analysis of Stats NZ’s Household Economic Survey (HES) to provide New Zealand numbers. It does not cover affordability regarding the </w:t>
      </w:r>
      <w:r w:rsidRPr="00D462C6">
        <w:rPr>
          <w:rFonts w:ascii="Arial" w:eastAsia="Times New Roman" w:hAnsi="Arial"/>
          <w:bCs/>
          <w:szCs w:val="20"/>
          <w:lang w:val="en-GB"/>
        </w:rPr>
        <w:t>purchase</w:t>
      </w:r>
      <w:r>
        <w:rPr>
          <w:rFonts w:ascii="Arial" w:eastAsia="Times New Roman" w:hAnsi="Arial"/>
          <w:bCs/>
          <w:szCs w:val="20"/>
          <w:lang w:val="en-GB"/>
        </w:rPr>
        <w:t xml:space="preserve"> of a house, though trends for that are relevant to the theme of this report as eventually changes in house prices impact on housing affordability for owners and renters.</w:t>
      </w:r>
    </w:p>
    <w:p w14:paraId="1DAF6687" w14:textId="77777777" w:rsidR="00143BAA" w:rsidRPr="00D462C6" w:rsidRDefault="00143BAA" w:rsidP="00143BAA">
      <w:pPr>
        <w:spacing w:after="0" w:line="240" w:lineRule="auto"/>
        <w:rPr>
          <w:rFonts w:ascii="Arial" w:eastAsia="Times New Roman" w:hAnsi="Arial"/>
          <w:bCs/>
          <w:szCs w:val="20"/>
          <w:lang w:val="en-GB"/>
        </w:rPr>
      </w:pPr>
    </w:p>
    <w:p w14:paraId="6CFD0D86" w14:textId="77777777" w:rsidR="00143BAA" w:rsidRDefault="00143BAA" w:rsidP="00143BAA">
      <w:pPr>
        <w:spacing w:after="0" w:line="240" w:lineRule="auto"/>
        <w:rPr>
          <w:rFonts w:ascii="Arial" w:eastAsia="Times New Roman" w:hAnsi="Arial"/>
          <w:bCs/>
          <w:szCs w:val="20"/>
          <w:lang w:val="en-GB"/>
        </w:rPr>
      </w:pPr>
      <w:r>
        <w:rPr>
          <w:rFonts w:ascii="Arial" w:eastAsia="Times New Roman" w:hAnsi="Arial"/>
          <w:bCs/>
          <w:szCs w:val="20"/>
          <w:lang w:val="en-GB"/>
        </w:rPr>
        <w:t xml:space="preserve">The OECD and the EU both use a 40% ‘housing-outgoings-to-income’ (OTI) measure though their definitions of </w:t>
      </w:r>
      <w:r w:rsidRPr="00FF4E98">
        <w:rPr>
          <w:rFonts w:ascii="Arial" w:eastAsia="Times New Roman" w:hAnsi="Arial"/>
          <w:bCs/>
          <w:szCs w:val="20"/>
          <w:lang w:val="en-GB"/>
        </w:rPr>
        <w:t>housing costs</w:t>
      </w:r>
      <w:r>
        <w:rPr>
          <w:rFonts w:ascii="Arial" w:eastAsia="Times New Roman" w:hAnsi="Arial"/>
          <w:bCs/>
          <w:szCs w:val="20"/>
          <w:lang w:val="en-GB"/>
        </w:rPr>
        <w:t xml:space="preserve"> are somewhat different:</w:t>
      </w:r>
      <w:r w:rsidRPr="00FF4E98">
        <w:rPr>
          <w:rFonts w:ascii="Arial" w:eastAsia="Times New Roman" w:hAnsi="Arial"/>
          <w:bCs/>
          <w:szCs w:val="20"/>
          <w:lang w:val="en-GB"/>
        </w:rPr>
        <w:t xml:space="preserve"> </w:t>
      </w:r>
    </w:p>
    <w:p w14:paraId="42FCCEA2" w14:textId="77777777" w:rsidR="00143BAA" w:rsidRPr="00DC1A53" w:rsidRDefault="00143BAA" w:rsidP="00143BAA">
      <w:pPr>
        <w:pStyle w:val="ListParagraph"/>
        <w:numPr>
          <w:ilvl w:val="0"/>
          <w:numId w:val="40"/>
        </w:numPr>
        <w:spacing w:before="120" w:after="0" w:line="240" w:lineRule="auto"/>
        <w:ind w:left="714" w:hanging="357"/>
        <w:contextualSpacing w:val="0"/>
        <w:rPr>
          <w:rFonts w:ascii="Arial" w:eastAsia="Times New Roman" w:hAnsi="Arial"/>
          <w:bCs/>
          <w:szCs w:val="20"/>
          <w:lang w:val="en-GB"/>
        </w:rPr>
      </w:pPr>
      <w:r w:rsidRPr="00DC1A53">
        <w:rPr>
          <w:rFonts w:ascii="Arial" w:eastAsia="Times New Roman" w:hAnsi="Arial"/>
          <w:bCs/>
          <w:szCs w:val="20"/>
          <w:lang w:val="en-GB"/>
        </w:rPr>
        <w:t>Low-income households that spend more than 40% of their income on housing costs have a high chance of experiencing serious housing stress unless they have some liquid assets / savings to draw on or financial assistance from outside the household.</w:t>
      </w:r>
    </w:p>
    <w:p w14:paraId="778FE78D" w14:textId="7F06F17A" w:rsidR="00143BAA" w:rsidRDefault="00143BAA" w:rsidP="00143BAA">
      <w:pPr>
        <w:pStyle w:val="ListParagraph"/>
        <w:numPr>
          <w:ilvl w:val="0"/>
          <w:numId w:val="40"/>
        </w:numPr>
        <w:spacing w:before="120" w:after="0" w:line="240" w:lineRule="auto"/>
        <w:ind w:left="714" w:hanging="357"/>
        <w:contextualSpacing w:val="0"/>
        <w:rPr>
          <w:rFonts w:ascii="Arial" w:eastAsia="Times New Roman" w:hAnsi="Arial"/>
          <w:bCs/>
          <w:szCs w:val="20"/>
          <w:lang w:val="en-GB"/>
        </w:rPr>
      </w:pPr>
      <w:r>
        <w:rPr>
          <w:rFonts w:ascii="Arial" w:eastAsia="Times New Roman" w:hAnsi="Arial"/>
          <w:bCs/>
          <w:szCs w:val="20"/>
          <w:lang w:val="en-GB"/>
        </w:rPr>
        <w:t xml:space="preserve">Using a 40% threshold is a more stringent approach than the common ’30-40’ measure </w:t>
      </w:r>
      <w:r w:rsidR="000A6797" w:rsidRPr="00402CB1">
        <w:rPr>
          <w:rFonts w:ascii="Arial" w:eastAsia="Times New Roman" w:hAnsi="Arial"/>
          <w:bCs/>
          <w:color w:val="000000" w:themeColor="text1"/>
          <w:szCs w:val="20"/>
          <w:lang w:val="en-GB"/>
        </w:rPr>
        <w:t>–</w:t>
      </w:r>
      <w:r>
        <w:rPr>
          <w:rFonts w:ascii="Arial" w:eastAsia="Times New Roman" w:hAnsi="Arial"/>
          <w:bCs/>
          <w:szCs w:val="20"/>
          <w:lang w:val="en-GB"/>
        </w:rPr>
        <w:t xml:space="preserve"> this defines housing stress as occurring for households that spend more than 30% of their income on housing costs and have income in the bottom two quintiles (bottom 40%).</w:t>
      </w:r>
    </w:p>
    <w:p w14:paraId="66B31018" w14:textId="77777777" w:rsidR="00143BAA" w:rsidRPr="00F22D6E" w:rsidRDefault="00143BAA" w:rsidP="00143BAA">
      <w:pPr>
        <w:pStyle w:val="ListParagraph"/>
        <w:numPr>
          <w:ilvl w:val="0"/>
          <w:numId w:val="40"/>
        </w:numPr>
        <w:spacing w:before="120" w:after="0" w:line="240" w:lineRule="auto"/>
        <w:ind w:left="714" w:hanging="357"/>
        <w:contextualSpacing w:val="0"/>
        <w:rPr>
          <w:rFonts w:ascii="Arial" w:eastAsia="Times New Roman" w:hAnsi="Arial"/>
          <w:bCs/>
          <w:szCs w:val="20"/>
          <w:lang w:val="en-GB"/>
        </w:rPr>
      </w:pPr>
      <w:r w:rsidRPr="00F22D6E">
        <w:rPr>
          <w:rFonts w:ascii="Arial" w:eastAsia="Times New Roman" w:hAnsi="Arial" w:cs="Times New Roman"/>
          <w:szCs w:val="20"/>
          <w:lang w:val="en-GB"/>
        </w:rPr>
        <w:t xml:space="preserve">Eurostat’s reporting uses all households (including those without a mortgage) in their </w:t>
      </w:r>
      <w:r>
        <w:rPr>
          <w:rFonts w:ascii="Arial" w:eastAsia="Times New Roman" w:hAnsi="Arial" w:cs="Times New Roman"/>
          <w:szCs w:val="20"/>
          <w:lang w:val="en-GB"/>
        </w:rPr>
        <w:t>‘Housing Cost Overburden’ (</w:t>
      </w:r>
      <w:r w:rsidRPr="00F22D6E">
        <w:rPr>
          <w:rFonts w:ascii="Arial" w:eastAsia="Times New Roman" w:hAnsi="Arial" w:cs="Times New Roman"/>
          <w:szCs w:val="20"/>
          <w:lang w:val="en-GB"/>
        </w:rPr>
        <w:t>HCO</w:t>
      </w:r>
      <w:r>
        <w:rPr>
          <w:rFonts w:ascii="Arial" w:eastAsia="Times New Roman" w:hAnsi="Arial" w:cs="Times New Roman"/>
          <w:szCs w:val="20"/>
          <w:lang w:val="en-GB"/>
        </w:rPr>
        <w:t>)</w:t>
      </w:r>
      <w:r w:rsidRPr="00F22D6E">
        <w:rPr>
          <w:rFonts w:ascii="Arial" w:eastAsia="Times New Roman" w:hAnsi="Arial" w:cs="Times New Roman"/>
          <w:szCs w:val="20"/>
          <w:lang w:val="en-GB"/>
        </w:rPr>
        <w:t xml:space="preserve"> estimates. This is a quite different approach to the OECD one which looks only at households with rent or mortgage costs. The Eurostat numbers and country rankings are impacted by the differing proportions who own outright. They are both valid approaches but look at affordability comparisons in quite different ways.</w:t>
      </w:r>
    </w:p>
    <w:p w14:paraId="7E7D5CEE" w14:textId="77777777" w:rsidR="00143BAA" w:rsidRDefault="00143BAA" w:rsidP="00143BAA">
      <w:pPr>
        <w:pStyle w:val="ListParagraph"/>
        <w:spacing w:after="0" w:line="240" w:lineRule="auto"/>
        <w:ind w:left="0"/>
        <w:contextualSpacing w:val="0"/>
        <w:jc w:val="both"/>
        <w:rPr>
          <w:rFonts w:ascii="Arial" w:eastAsia="Times New Roman" w:hAnsi="Arial" w:cs="Times New Roman"/>
          <w:szCs w:val="20"/>
          <w:lang w:val="en-GB"/>
        </w:rPr>
      </w:pPr>
    </w:p>
    <w:p w14:paraId="2A630C1A" w14:textId="28BAA662" w:rsidR="00143BAA" w:rsidRDefault="00143BAA" w:rsidP="00143BAA">
      <w:pPr>
        <w:pStyle w:val="ListParagraph"/>
        <w:spacing w:after="0" w:line="240" w:lineRule="auto"/>
        <w:ind w:left="0"/>
        <w:contextualSpacing w:val="0"/>
        <w:jc w:val="both"/>
        <w:rPr>
          <w:rFonts w:ascii="Arial" w:eastAsia="Times New Roman" w:hAnsi="Arial" w:cs="Times New Roman"/>
          <w:szCs w:val="20"/>
          <w:lang w:val="en-GB"/>
        </w:rPr>
      </w:pPr>
      <w:r>
        <w:rPr>
          <w:rFonts w:ascii="Arial" w:eastAsia="Times New Roman" w:hAnsi="Arial" w:cs="Times New Roman"/>
          <w:szCs w:val="20"/>
          <w:lang w:val="en-GB"/>
        </w:rPr>
        <w:t>The New Zealand numbers are all calculated using the OECD and Eurostat definitions used in the sources. This ensures the</w:t>
      </w:r>
      <w:r w:rsidR="00A70D48">
        <w:rPr>
          <w:rFonts w:ascii="Arial" w:eastAsia="Times New Roman" w:hAnsi="Arial" w:cs="Times New Roman"/>
          <w:szCs w:val="20"/>
          <w:lang w:val="en-GB"/>
        </w:rPr>
        <w:t xml:space="preserve"> comparisons</w:t>
      </w:r>
      <w:r>
        <w:rPr>
          <w:rFonts w:ascii="Arial" w:eastAsia="Times New Roman" w:hAnsi="Arial" w:cs="Times New Roman"/>
          <w:szCs w:val="20"/>
          <w:lang w:val="en-GB"/>
        </w:rPr>
        <w:t xml:space="preserve"> are ‘apples with apples’.</w:t>
      </w:r>
    </w:p>
    <w:p w14:paraId="34D3FBD1" w14:textId="08DA5917" w:rsidR="00143BAA" w:rsidRDefault="00143BAA" w:rsidP="00143BAA">
      <w:pPr>
        <w:pStyle w:val="ListParagraph"/>
        <w:spacing w:after="0" w:line="240" w:lineRule="auto"/>
        <w:ind w:left="0"/>
        <w:contextualSpacing w:val="0"/>
        <w:jc w:val="both"/>
        <w:rPr>
          <w:rFonts w:ascii="Arial" w:eastAsia="Times New Roman" w:hAnsi="Arial" w:cs="Times New Roman"/>
          <w:szCs w:val="20"/>
          <w:lang w:val="en-GB"/>
        </w:rPr>
      </w:pPr>
    </w:p>
    <w:p w14:paraId="6D679C66" w14:textId="20C200BC" w:rsidR="009A6D51" w:rsidRDefault="0063083B" w:rsidP="00143BAA">
      <w:pPr>
        <w:pStyle w:val="ListParagraph"/>
        <w:spacing w:after="0" w:line="240" w:lineRule="auto"/>
        <w:ind w:left="0"/>
        <w:contextualSpacing w:val="0"/>
        <w:jc w:val="both"/>
        <w:rPr>
          <w:rFonts w:ascii="Arial" w:eastAsia="Times New Roman" w:hAnsi="Arial" w:cs="Times New Roman"/>
          <w:szCs w:val="20"/>
          <w:lang w:val="en-GB"/>
        </w:rPr>
      </w:pPr>
      <w:r>
        <w:rPr>
          <w:rFonts w:ascii="Arial" w:eastAsia="Times New Roman" w:hAnsi="Arial" w:cs="Times New Roman"/>
          <w:noProof/>
          <w:szCs w:val="20"/>
          <w:lang w:val="en-GB"/>
        </w:rPr>
        <mc:AlternateContent>
          <mc:Choice Requires="wps">
            <w:drawing>
              <wp:anchor distT="0" distB="0" distL="114300" distR="114300" simplePos="0" relativeHeight="251873280" behindDoc="0" locked="0" layoutInCell="1" allowOverlap="1" wp14:anchorId="04FEEA83" wp14:editId="45228E5E">
                <wp:simplePos x="0" y="0"/>
                <wp:positionH relativeFrom="column">
                  <wp:posOffset>330200</wp:posOffset>
                </wp:positionH>
                <wp:positionV relativeFrom="paragraph">
                  <wp:posOffset>36195</wp:posOffset>
                </wp:positionV>
                <wp:extent cx="5156200" cy="430530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5156200" cy="4305300"/>
                        </a:xfrm>
                        <a:prstGeom prst="rect">
                          <a:avLst/>
                        </a:prstGeom>
                        <a:solidFill>
                          <a:schemeClr val="lt1"/>
                        </a:solidFill>
                        <a:ln w="6350">
                          <a:solidFill>
                            <a:prstClr val="black"/>
                          </a:solidFill>
                        </a:ln>
                      </wps:spPr>
                      <wps:txbx>
                        <w:txbxContent>
                          <w:p w14:paraId="64712A26" w14:textId="7912408C" w:rsidR="006252D5" w:rsidRPr="004D5F28" w:rsidRDefault="006252D5" w:rsidP="001A700C">
                            <w:pPr>
                              <w:spacing w:before="60" w:line="240" w:lineRule="auto"/>
                              <w:jc w:val="center"/>
                              <w:rPr>
                                <w:rFonts w:ascii="Arial" w:hAnsi="Arial"/>
                                <w:b/>
                                <w:bCs/>
                                <w:color w:val="000000" w:themeColor="text1"/>
                                <w:szCs w:val="20"/>
                                <w:lang w:eastAsia="en-NZ"/>
                              </w:rPr>
                            </w:pPr>
                            <w:r w:rsidRPr="004D5F28">
                              <w:rPr>
                                <w:rFonts w:ascii="Arial" w:hAnsi="Arial"/>
                                <w:b/>
                                <w:bCs/>
                                <w:color w:val="000000" w:themeColor="text1"/>
                                <w:szCs w:val="20"/>
                                <w:lang w:eastAsia="en-NZ"/>
                              </w:rPr>
                              <w:t>Timeframes for the OECD findings</w:t>
                            </w:r>
                          </w:p>
                          <w:p w14:paraId="0D687D73" w14:textId="77777777" w:rsidR="006252D5"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OECD comparisons are the main ones used in this report.</w:t>
                            </w:r>
                          </w:p>
                          <w:p w14:paraId="50017F52" w14:textId="64F08888"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Pr>
                                <w:rFonts w:ascii="Arial" w:hAnsi="Arial"/>
                                <w:color w:val="000000" w:themeColor="text1"/>
                                <w:sz w:val="18"/>
                                <w:szCs w:val="18"/>
                                <w:lang w:eastAsia="en-NZ"/>
                              </w:rPr>
                              <w:t>For most countries, the income reference year is either 2017 or 2018.</w:t>
                            </w:r>
                            <w:r w:rsidRPr="004D5F28">
                              <w:rPr>
                                <w:rFonts w:ascii="Arial" w:hAnsi="Arial"/>
                                <w:color w:val="000000" w:themeColor="text1"/>
                                <w:sz w:val="18"/>
                                <w:szCs w:val="18"/>
                                <w:lang w:eastAsia="en-NZ"/>
                              </w:rPr>
                              <w:t xml:space="preserve"> </w:t>
                            </w:r>
                          </w:p>
                          <w:p w14:paraId="721432C2" w14:textId="647E437B"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New Zealand numbers for the league tables are based on data from the 2017-18 HES which ran from 1 July 2017 to 30 June 2018.</w:t>
                            </w:r>
                          </w:p>
                          <w:p w14:paraId="0D34DC4C" w14:textId="45022176"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 xml:space="preserve">Respondents were asked about their incomes in the 12 months prior to the interview. </w:t>
                            </w:r>
                          </w:p>
                          <w:p w14:paraId="0352E2C0" w14:textId="7AB2ADCF" w:rsidR="006252D5" w:rsidRPr="006252D5" w:rsidRDefault="006252D5" w:rsidP="00790CA9">
                            <w:pPr>
                              <w:pStyle w:val="ListParagraph"/>
                              <w:numPr>
                                <w:ilvl w:val="0"/>
                                <w:numId w:val="46"/>
                              </w:numPr>
                              <w:spacing w:after="0" w:line="240" w:lineRule="auto"/>
                              <w:ind w:left="709" w:hanging="349"/>
                              <w:rPr>
                                <w:rFonts w:ascii="Arial" w:hAnsi="Arial"/>
                                <w:b/>
                                <w:bCs/>
                                <w:color w:val="000000" w:themeColor="text1"/>
                                <w:sz w:val="18"/>
                                <w:szCs w:val="18"/>
                                <w:lang w:eastAsia="en-NZ"/>
                              </w:rPr>
                            </w:pPr>
                            <w:r w:rsidRPr="004D5F28">
                              <w:rPr>
                                <w:rFonts w:ascii="Arial" w:hAnsi="Arial"/>
                                <w:color w:val="000000" w:themeColor="text1"/>
                                <w:sz w:val="18"/>
                                <w:szCs w:val="18"/>
                                <w:lang w:eastAsia="en-NZ"/>
                              </w:rPr>
                              <w:t xml:space="preserve">This means that the 2017-18 household incomes draw </w:t>
                            </w:r>
                            <w:r>
                              <w:rPr>
                                <w:rFonts w:ascii="Arial" w:hAnsi="Arial"/>
                                <w:color w:val="000000" w:themeColor="text1"/>
                                <w:sz w:val="18"/>
                                <w:szCs w:val="18"/>
                                <w:lang w:eastAsia="en-NZ"/>
                              </w:rPr>
                              <w:t>on</w:t>
                            </w:r>
                            <w:r w:rsidRPr="004D5F28">
                              <w:rPr>
                                <w:rFonts w:ascii="Arial" w:hAnsi="Arial"/>
                                <w:color w:val="000000" w:themeColor="text1"/>
                                <w:sz w:val="18"/>
                                <w:szCs w:val="18"/>
                                <w:lang w:eastAsia="en-NZ"/>
                              </w:rPr>
                              <w:t xml:space="preserve"> income</w:t>
                            </w:r>
                            <w:r>
                              <w:rPr>
                                <w:rFonts w:ascii="Arial" w:hAnsi="Arial"/>
                                <w:color w:val="000000" w:themeColor="text1"/>
                                <w:sz w:val="18"/>
                                <w:szCs w:val="18"/>
                                <w:lang w:eastAsia="en-NZ"/>
                              </w:rPr>
                              <w:t>s</w:t>
                            </w:r>
                            <w:r w:rsidRPr="004D5F28">
                              <w:rPr>
                                <w:rFonts w:ascii="Arial" w:hAnsi="Arial"/>
                                <w:color w:val="000000" w:themeColor="text1"/>
                                <w:sz w:val="18"/>
                                <w:szCs w:val="18"/>
                                <w:lang w:eastAsia="en-NZ"/>
                              </w:rPr>
                              <w:t xml:space="preserve"> from part of 20</w:t>
                            </w:r>
                            <w:r>
                              <w:rPr>
                                <w:rFonts w:ascii="Arial" w:hAnsi="Arial"/>
                                <w:color w:val="000000" w:themeColor="text1"/>
                                <w:sz w:val="18"/>
                                <w:szCs w:val="18"/>
                                <w:lang w:eastAsia="en-NZ"/>
                              </w:rPr>
                              <w:t>1</w:t>
                            </w:r>
                            <w:r w:rsidRPr="004D5F28">
                              <w:rPr>
                                <w:rFonts w:ascii="Arial" w:hAnsi="Arial"/>
                                <w:color w:val="000000" w:themeColor="text1"/>
                                <w:sz w:val="18"/>
                                <w:szCs w:val="18"/>
                                <w:lang w:eastAsia="en-NZ"/>
                              </w:rPr>
                              <w:t xml:space="preserve">6, all of 2017 and part of 2018. </w:t>
                            </w:r>
                            <w:r w:rsidRPr="006252D5">
                              <w:rPr>
                                <w:rFonts w:ascii="Arial" w:hAnsi="Arial"/>
                                <w:b/>
                                <w:bCs/>
                                <w:color w:val="000000" w:themeColor="text1"/>
                                <w:sz w:val="18"/>
                                <w:szCs w:val="18"/>
                                <w:lang w:eastAsia="en-NZ"/>
                              </w:rPr>
                              <w:t>On average the</w:t>
                            </w:r>
                            <w:r>
                              <w:rPr>
                                <w:rFonts w:ascii="Arial" w:hAnsi="Arial"/>
                                <w:b/>
                                <w:bCs/>
                                <w:color w:val="000000" w:themeColor="text1"/>
                                <w:sz w:val="18"/>
                                <w:szCs w:val="18"/>
                                <w:lang w:eastAsia="en-NZ"/>
                              </w:rPr>
                              <w:t xml:space="preserve"> N</w:t>
                            </w:r>
                            <w:r w:rsidR="0063083B">
                              <w:rPr>
                                <w:rFonts w:ascii="Arial" w:hAnsi="Arial"/>
                                <w:b/>
                                <w:bCs/>
                                <w:color w:val="000000" w:themeColor="text1"/>
                                <w:sz w:val="18"/>
                                <w:szCs w:val="18"/>
                                <w:lang w:eastAsia="en-NZ"/>
                              </w:rPr>
                              <w:t>e</w:t>
                            </w:r>
                            <w:r>
                              <w:rPr>
                                <w:rFonts w:ascii="Arial" w:hAnsi="Arial"/>
                                <w:b/>
                                <w:bCs/>
                                <w:color w:val="000000" w:themeColor="text1"/>
                                <w:sz w:val="18"/>
                                <w:szCs w:val="18"/>
                                <w:lang w:eastAsia="en-NZ"/>
                              </w:rPr>
                              <w:t>w Zealand numbers</w:t>
                            </w:r>
                            <w:r w:rsidRPr="006252D5">
                              <w:rPr>
                                <w:rFonts w:ascii="Arial" w:hAnsi="Arial"/>
                                <w:b/>
                                <w:bCs/>
                                <w:color w:val="000000" w:themeColor="text1"/>
                                <w:sz w:val="18"/>
                                <w:szCs w:val="18"/>
                                <w:lang w:eastAsia="en-NZ"/>
                              </w:rPr>
                              <w:t xml:space="preserve"> relate to household circumstances in calendar 2017.</w:t>
                            </w:r>
                          </w:p>
                          <w:p w14:paraId="218CD4A4" w14:textId="156258A7" w:rsidR="006252D5" w:rsidRPr="004D5F28" w:rsidRDefault="006252D5" w:rsidP="006252D5">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findings therefore do not reflect either the Families Package or the core benefit increases, nor the impact on rents and mortgages of the large rises in house prices in 2020 and 2021.</w:t>
                            </w:r>
                          </w:p>
                          <w:p w14:paraId="6142DBE9" w14:textId="31417A27"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2017-18 HES is often referred to as the 2018 HES for short, thus leading readers to think it refers to the state-of-affairs in 2018. This is not the case.</w:t>
                            </w:r>
                          </w:p>
                          <w:p w14:paraId="26BA1864" w14:textId="4C46761D" w:rsidR="006252D5" w:rsidRPr="004D5F28" w:rsidRDefault="006252D5" w:rsidP="00790CA9">
                            <w:pPr>
                              <w:spacing w:after="0" w:line="240" w:lineRule="auto"/>
                              <w:rPr>
                                <w:rFonts w:ascii="Arial" w:hAnsi="Arial"/>
                                <w:color w:val="000000" w:themeColor="text1"/>
                                <w:sz w:val="18"/>
                                <w:szCs w:val="18"/>
                                <w:lang w:eastAsia="en-NZ"/>
                              </w:rPr>
                            </w:pPr>
                          </w:p>
                          <w:p w14:paraId="462E22CE" w14:textId="74DE7C05" w:rsidR="006252D5" w:rsidRPr="004D5F28" w:rsidRDefault="006252D5" w:rsidP="00790CA9">
                            <w:pPr>
                              <w:spacing w:line="240" w:lineRule="auto"/>
                              <w:jc w:val="center"/>
                              <w:rPr>
                                <w:rFonts w:ascii="Arial" w:hAnsi="Arial"/>
                                <w:b/>
                                <w:bCs/>
                                <w:color w:val="000000" w:themeColor="text1"/>
                                <w:szCs w:val="20"/>
                                <w:lang w:eastAsia="en-NZ"/>
                              </w:rPr>
                            </w:pPr>
                            <w:r w:rsidRPr="004D5F28">
                              <w:rPr>
                                <w:rFonts w:ascii="Arial" w:hAnsi="Arial"/>
                                <w:b/>
                                <w:bCs/>
                                <w:color w:val="000000" w:themeColor="text1"/>
                                <w:szCs w:val="20"/>
                                <w:lang w:eastAsia="en-NZ"/>
                              </w:rPr>
                              <w:t>Looking ahead – what would an update using HES 2020-21 data look like?</w:t>
                            </w:r>
                          </w:p>
                          <w:p w14:paraId="5A1F7BCA" w14:textId="77777777" w:rsidR="006252D5" w:rsidRPr="004D5F28" w:rsidRDefault="006252D5" w:rsidP="00A14893">
                            <w:pPr>
                              <w:pStyle w:val="ListParagraph"/>
                              <w:numPr>
                                <w:ilvl w:val="0"/>
                                <w:numId w:val="47"/>
                              </w:numPr>
                              <w:spacing w:after="0" w:line="240" w:lineRule="auto"/>
                              <w:rPr>
                                <w:rFonts w:ascii="Arial" w:hAnsi="Arial"/>
                                <w:color w:val="000000" w:themeColor="text1"/>
                                <w:sz w:val="18"/>
                                <w:szCs w:val="18"/>
                                <w:lang w:eastAsia="en-NZ"/>
                              </w:rPr>
                            </w:pPr>
                            <w:r w:rsidRPr="004D5F28">
                              <w:rPr>
                                <w:rFonts w:ascii="Arial" w:hAnsi="Arial"/>
                                <w:color w:val="000000" w:themeColor="text1"/>
                                <w:sz w:val="18"/>
                                <w:szCs w:val="18"/>
                                <w:lang w:eastAsia="en-NZ"/>
                              </w:rPr>
                              <w:t>The HES 2020-21 data will come available in early 2022.</w:t>
                            </w:r>
                          </w:p>
                          <w:p w14:paraId="5F0018ED" w14:textId="67E82AA6" w:rsidR="006252D5" w:rsidRPr="004D5F28" w:rsidRDefault="006252D5" w:rsidP="00A14893">
                            <w:pPr>
                              <w:pStyle w:val="ListParagraph"/>
                              <w:numPr>
                                <w:ilvl w:val="0"/>
                                <w:numId w:val="47"/>
                              </w:numPr>
                              <w:spacing w:after="0" w:line="240" w:lineRule="auto"/>
                              <w:rPr>
                                <w:rFonts w:ascii="Arial" w:hAnsi="Arial"/>
                                <w:color w:val="000000" w:themeColor="text1"/>
                                <w:sz w:val="18"/>
                                <w:szCs w:val="18"/>
                                <w:lang w:eastAsia="en-NZ"/>
                              </w:rPr>
                            </w:pPr>
                            <w:r w:rsidRPr="004D5F28">
                              <w:rPr>
                                <w:rFonts w:ascii="Arial" w:hAnsi="Arial"/>
                                <w:color w:val="000000" w:themeColor="text1"/>
                                <w:sz w:val="18"/>
                                <w:szCs w:val="18"/>
                                <w:lang w:eastAsia="en-NZ"/>
                              </w:rPr>
                              <w:t>Whether New Zealand’s rankings will be much different in that update depends on the relative strengths of two New Zealand factors (assuming other OECD countries remain much the same):</w:t>
                            </w:r>
                          </w:p>
                          <w:p w14:paraId="535BD225" w14:textId="4071B50A" w:rsidR="006252D5" w:rsidRPr="004D5F28" w:rsidRDefault="006252D5" w:rsidP="00790CA9">
                            <w:pPr>
                              <w:pStyle w:val="ListParagraph"/>
                              <w:numPr>
                                <w:ilvl w:val="1"/>
                                <w:numId w:val="47"/>
                              </w:numPr>
                              <w:spacing w:after="0" w:line="240" w:lineRule="auto"/>
                              <w:ind w:left="1134" w:hanging="283"/>
                              <w:rPr>
                                <w:rFonts w:ascii="Arial" w:hAnsi="Arial"/>
                                <w:color w:val="000000" w:themeColor="text1"/>
                                <w:sz w:val="18"/>
                                <w:szCs w:val="18"/>
                                <w:lang w:eastAsia="en-NZ"/>
                              </w:rPr>
                            </w:pPr>
                            <w:r w:rsidRPr="004D5F28">
                              <w:rPr>
                                <w:rFonts w:ascii="Arial" w:hAnsi="Arial"/>
                                <w:color w:val="000000" w:themeColor="text1"/>
                                <w:sz w:val="18"/>
                                <w:szCs w:val="18"/>
                                <w:lang w:eastAsia="en-NZ"/>
                              </w:rPr>
                              <w:t xml:space="preserve">rises in rents and mortgage repayments in the interim </w:t>
                            </w:r>
                          </w:p>
                          <w:p w14:paraId="6DBEE470" w14:textId="79054508" w:rsidR="006252D5" w:rsidRPr="004D5F28" w:rsidRDefault="006252D5" w:rsidP="00790CA9">
                            <w:pPr>
                              <w:pStyle w:val="ListParagraph"/>
                              <w:numPr>
                                <w:ilvl w:val="1"/>
                                <w:numId w:val="47"/>
                              </w:numPr>
                              <w:spacing w:after="0" w:line="240" w:lineRule="auto"/>
                              <w:ind w:left="1134" w:hanging="283"/>
                              <w:rPr>
                                <w:rFonts w:ascii="Arial" w:hAnsi="Arial"/>
                                <w:color w:val="000000" w:themeColor="text1"/>
                                <w:sz w:val="18"/>
                                <w:szCs w:val="18"/>
                                <w:lang w:eastAsia="en-NZ"/>
                              </w:rPr>
                            </w:pPr>
                            <w:r w:rsidRPr="004D5F28">
                              <w:rPr>
                                <w:rFonts w:ascii="Arial" w:hAnsi="Arial"/>
                                <w:color w:val="000000" w:themeColor="text1"/>
                                <w:sz w:val="18"/>
                                <w:szCs w:val="18"/>
                                <w:lang w:eastAsia="en-NZ"/>
                              </w:rPr>
                              <w:t>offsetting increases in household income for low-income households, taking account of rising wages, higher minimum wage, adjustments to the Accommodation Supplement in 2018, the Families Package, core benefit increases, and so on.</w:t>
                            </w:r>
                          </w:p>
                          <w:p w14:paraId="21A9C74F" w14:textId="4CA83893" w:rsidR="006252D5" w:rsidRDefault="006252D5" w:rsidP="006252D5">
                            <w:pPr>
                              <w:pStyle w:val="ListParagraph"/>
                              <w:numPr>
                                <w:ilvl w:val="0"/>
                                <w:numId w:val="47"/>
                              </w:numPr>
                              <w:spacing w:after="0" w:line="240" w:lineRule="auto"/>
                              <w:rPr>
                                <w:rFonts w:ascii="Arial" w:hAnsi="Arial"/>
                                <w:color w:val="000000" w:themeColor="text1"/>
                                <w:sz w:val="18"/>
                                <w:szCs w:val="18"/>
                                <w:lang w:eastAsia="en-NZ"/>
                              </w:rPr>
                            </w:pPr>
                            <w:r>
                              <w:rPr>
                                <w:rFonts w:ascii="Arial" w:hAnsi="Arial"/>
                                <w:color w:val="000000" w:themeColor="text1"/>
                                <w:sz w:val="18"/>
                                <w:szCs w:val="18"/>
                                <w:lang w:eastAsia="en-NZ"/>
                              </w:rPr>
                              <w:t xml:space="preserve">At best, the latter may be stronger than the former, but in any case </w:t>
                            </w:r>
                            <w:r w:rsidRPr="0063083B">
                              <w:rPr>
                                <w:rFonts w:ascii="Arial" w:hAnsi="Arial"/>
                                <w:b/>
                                <w:bCs/>
                                <w:color w:val="000000" w:themeColor="text1"/>
                                <w:sz w:val="18"/>
                                <w:szCs w:val="18"/>
                                <w:lang w:eastAsia="en-NZ"/>
                              </w:rPr>
                              <w:t>it is hard to see that New Zealand’s rankings will change very much in a 2022 update using 2020-21 data.</w:t>
                            </w:r>
                            <w:r>
                              <w:rPr>
                                <w:rFonts w:ascii="Arial" w:hAnsi="Arial"/>
                                <w:color w:val="000000" w:themeColor="text1"/>
                                <w:sz w:val="18"/>
                                <w:szCs w:val="18"/>
                                <w:lang w:eastAsia="en-NZ"/>
                              </w:rPr>
                              <w:t xml:space="preserve"> </w:t>
                            </w:r>
                          </w:p>
                          <w:p w14:paraId="7568048D" w14:textId="70DC7562" w:rsidR="006252D5" w:rsidRPr="004D5F28" w:rsidRDefault="006252D5" w:rsidP="006252D5">
                            <w:pPr>
                              <w:pStyle w:val="ListParagraph"/>
                              <w:numPr>
                                <w:ilvl w:val="0"/>
                                <w:numId w:val="47"/>
                              </w:numPr>
                              <w:spacing w:after="0" w:line="240" w:lineRule="auto"/>
                              <w:rPr>
                                <w:rFonts w:ascii="Arial" w:hAnsi="Arial"/>
                                <w:color w:val="000000" w:themeColor="text1"/>
                                <w:sz w:val="18"/>
                                <w:szCs w:val="18"/>
                                <w:lang w:eastAsia="en-NZ"/>
                              </w:rPr>
                            </w:pPr>
                            <w:r>
                              <w:rPr>
                                <w:rFonts w:ascii="Arial" w:hAnsi="Arial"/>
                                <w:color w:val="000000" w:themeColor="text1"/>
                                <w:sz w:val="18"/>
                                <w:szCs w:val="18"/>
                                <w:lang w:eastAsia="en-NZ"/>
                              </w:rPr>
                              <w:t>This assessment is supported by what we can see already in the 2019-20 data, with the VLI group deleted.</w:t>
                            </w:r>
                          </w:p>
                          <w:p w14:paraId="79DA9F1A" w14:textId="77777777" w:rsidR="006252D5" w:rsidRPr="004D5F28" w:rsidRDefault="006252D5" w:rsidP="003C7EBD">
                            <w:pPr>
                              <w:spacing w:after="0" w:line="240" w:lineRule="auto"/>
                              <w:rPr>
                                <w:rFonts w:ascii="Arial" w:hAnsi="Arial"/>
                                <w:color w:val="000000" w:themeColor="text1"/>
                                <w:sz w:val="18"/>
                                <w:szCs w:val="18"/>
                                <w:lang w:eastAsia="en-NZ"/>
                              </w:rPr>
                            </w:pPr>
                          </w:p>
                          <w:p w14:paraId="37696D30" w14:textId="77777777" w:rsidR="006252D5" w:rsidRDefault="006252D5" w:rsidP="002C54D0">
                            <w:pPr>
                              <w:spacing w:after="0" w:line="240" w:lineRule="auto"/>
                              <w:rPr>
                                <w:rFonts w:ascii="Arial" w:hAnsi="Arial"/>
                                <w:color w:val="000000" w:themeColor="text1"/>
                                <w:szCs w:val="20"/>
                                <w:lang w:eastAsia="en-NZ"/>
                              </w:rPr>
                            </w:pPr>
                          </w:p>
                          <w:p w14:paraId="15B9C409" w14:textId="77777777" w:rsidR="006252D5" w:rsidRDefault="006252D5" w:rsidP="002C54D0">
                            <w:pPr>
                              <w:spacing w:after="0" w:line="240" w:lineRule="auto"/>
                              <w:rPr>
                                <w:rFonts w:ascii="Arial" w:hAnsi="Arial"/>
                                <w:color w:val="000000" w:themeColor="text1"/>
                                <w:szCs w:val="20"/>
                                <w:lang w:eastAsia="en-NZ"/>
                              </w:rPr>
                            </w:pPr>
                          </w:p>
                          <w:p w14:paraId="78581180" w14:textId="77777777" w:rsidR="006252D5" w:rsidRDefault="006252D5" w:rsidP="002C54D0">
                            <w:pPr>
                              <w:spacing w:after="0" w:line="240" w:lineRule="auto"/>
                              <w:rPr>
                                <w:rFonts w:ascii="Arial" w:hAnsi="Arial"/>
                                <w:color w:val="000000" w:themeColor="text1"/>
                                <w:szCs w:val="20"/>
                                <w:lang w:eastAsia="en-NZ"/>
                              </w:rPr>
                            </w:pPr>
                          </w:p>
                          <w:p w14:paraId="6C1728E1" w14:textId="77777777" w:rsidR="006252D5" w:rsidRDefault="006252D5" w:rsidP="002C54D0">
                            <w:pPr>
                              <w:spacing w:after="0" w:line="240" w:lineRule="auto"/>
                              <w:rPr>
                                <w:rFonts w:ascii="Arial" w:hAnsi="Arial"/>
                                <w:color w:val="000000" w:themeColor="text1"/>
                                <w:szCs w:val="20"/>
                                <w:lang w:eastAsia="en-NZ"/>
                              </w:rPr>
                            </w:pPr>
                          </w:p>
                          <w:p w14:paraId="59C4E01C" w14:textId="77777777" w:rsidR="006252D5" w:rsidRDefault="00625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EEA83" id="_x0000_t202" coordsize="21600,21600" o:spt="202" path="m,l,21600r21600,l21600,xe">
                <v:stroke joinstyle="miter"/>
                <v:path gradientshapeok="t" o:connecttype="rect"/>
              </v:shapetype>
              <v:shape id="Text Box 9" o:spid="_x0000_s1026" type="#_x0000_t202" style="position:absolute;left:0;text-align:left;margin-left:26pt;margin-top:2.85pt;width:406pt;height:3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" fillcolor="white [3201]" strokeweight=".5pt">
                <v:textbox>
                  <w:txbxContent>
                    <w:p w14:paraId="64712A26" w14:textId="7912408C" w:rsidR="006252D5" w:rsidRPr="004D5F28" w:rsidRDefault="006252D5" w:rsidP="001A700C">
                      <w:pPr>
                        <w:spacing w:before="60" w:line="240" w:lineRule="auto"/>
                        <w:jc w:val="center"/>
                        <w:rPr>
                          <w:rFonts w:ascii="Arial" w:hAnsi="Arial"/>
                          <w:b/>
                          <w:bCs/>
                          <w:color w:val="000000" w:themeColor="text1"/>
                          <w:szCs w:val="20"/>
                          <w:lang w:eastAsia="en-NZ"/>
                        </w:rPr>
                      </w:pPr>
                      <w:r w:rsidRPr="004D5F28">
                        <w:rPr>
                          <w:rFonts w:ascii="Arial" w:hAnsi="Arial"/>
                          <w:b/>
                          <w:bCs/>
                          <w:color w:val="000000" w:themeColor="text1"/>
                          <w:szCs w:val="20"/>
                          <w:lang w:eastAsia="en-NZ"/>
                        </w:rPr>
                        <w:t>Timeframes for the OECD findings</w:t>
                      </w:r>
                    </w:p>
                    <w:p w14:paraId="0D687D73" w14:textId="77777777" w:rsidR="006252D5"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OECD comparisons are the main ones used in this report.</w:t>
                      </w:r>
                    </w:p>
                    <w:p w14:paraId="50017F52" w14:textId="64F08888"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Pr>
                          <w:rFonts w:ascii="Arial" w:hAnsi="Arial"/>
                          <w:color w:val="000000" w:themeColor="text1"/>
                          <w:sz w:val="18"/>
                          <w:szCs w:val="18"/>
                          <w:lang w:eastAsia="en-NZ"/>
                        </w:rPr>
                        <w:t>For most countries, the income reference year is either 2017 or 2018.</w:t>
                      </w:r>
                      <w:r w:rsidRPr="004D5F28">
                        <w:rPr>
                          <w:rFonts w:ascii="Arial" w:hAnsi="Arial"/>
                          <w:color w:val="000000" w:themeColor="text1"/>
                          <w:sz w:val="18"/>
                          <w:szCs w:val="18"/>
                          <w:lang w:eastAsia="en-NZ"/>
                        </w:rPr>
                        <w:t xml:space="preserve"> </w:t>
                      </w:r>
                    </w:p>
                    <w:p w14:paraId="721432C2" w14:textId="647E437B"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New Zealand numbers for the league tables are based on data from the 2017-18 HES which ran from 1 July 2017 to 30 June 2018.</w:t>
                      </w:r>
                    </w:p>
                    <w:p w14:paraId="0D34DC4C" w14:textId="45022176"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 xml:space="preserve">Respondents were asked about their incomes in the 12 months prior to the interview. </w:t>
                      </w:r>
                    </w:p>
                    <w:p w14:paraId="0352E2C0" w14:textId="7AB2ADCF" w:rsidR="006252D5" w:rsidRPr="006252D5" w:rsidRDefault="006252D5" w:rsidP="00790CA9">
                      <w:pPr>
                        <w:pStyle w:val="ListParagraph"/>
                        <w:numPr>
                          <w:ilvl w:val="0"/>
                          <w:numId w:val="46"/>
                        </w:numPr>
                        <w:spacing w:after="0" w:line="240" w:lineRule="auto"/>
                        <w:ind w:left="709" w:hanging="349"/>
                        <w:rPr>
                          <w:rFonts w:ascii="Arial" w:hAnsi="Arial"/>
                          <w:b/>
                          <w:bCs/>
                          <w:color w:val="000000" w:themeColor="text1"/>
                          <w:sz w:val="18"/>
                          <w:szCs w:val="18"/>
                          <w:lang w:eastAsia="en-NZ"/>
                        </w:rPr>
                      </w:pPr>
                      <w:r w:rsidRPr="004D5F28">
                        <w:rPr>
                          <w:rFonts w:ascii="Arial" w:hAnsi="Arial"/>
                          <w:color w:val="000000" w:themeColor="text1"/>
                          <w:sz w:val="18"/>
                          <w:szCs w:val="18"/>
                          <w:lang w:eastAsia="en-NZ"/>
                        </w:rPr>
                        <w:t xml:space="preserve">This means that the 2017-18 household incomes draw </w:t>
                      </w:r>
                      <w:r>
                        <w:rPr>
                          <w:rFonts w:ascii="Arial" w:hAnsi="Arial"/>
                          <w:color w:val="000000" w:themeColor="text1"/>
                          <w:sz w:val="18"/>
                          <w:szCs w:val="18"/>
                          <w:lang w:eastAsia="en-NZ"/>
                        </w:rPr>
                        <w:t>on</w:t>
                      </w:r>
                      <w:r w:rsidRPr="004D5F28">
                        <w:rPr>
                          <w:rFonts w:ascii="Arial" w:hAnsi="Arial"/>
                          <w:color w:val="000000" w:themeColor="text1"/>
                          <w:sz w:val="18"/>
                          <w:szCs w:val="18"/>
                          <w:lang w:eastAsia="en-NZ"/>
                        </w:rPr>
                        <w:t xml:space="preserve"> income</w:t>
                      </w:r>
                      <w:r>
                        <w:rPr>
                          <w:rFonts w:ascii="Arial" w:hAnsi="Arial"/>
                          <w:color w:val="000000" w:themeColor="text1"/>
                          <w:sz w:val="18"/>
                          <w:szCs w:val="18"/>
                          <w:lang w:eastAsia="en-NZ"/>
                        </w:rPr>
                        <w:t>s</w:t>
                      </w:r>
                      <w:r w:rsidRPr="004D5F28">
                        <w:rPr>
                          <w:rFonts w:ascii="Arial" w:hAnsi="Arial"/>
                          <w:color w:val="000000" w:themeColor="text1"/>
                          <w:sz w:val="18"/>
                          <w:szCs w:val="18"/>
                          <w:lang w:eastAsia="en-NZ"/>
                        </w:rPr>
                        <w:t xml:space="preserve"> from part of 20</w:t>
                      </w:r>
                      <w:r>
                        <w:rPr>
                          <w:rFonts w:ascii="Arial" w:hAnsi="Arial"/>
                          <w:color w:val="000000" w:themeColor="text1"/>
                          <w:sz w:val="18"/>
                          <w:szCs w:val="18"/>
                          <w:lang w:eastAsia="en-NZ"/>
                        </w:rPr>
                        <w:t>1</w:t>
                      </w:r>
                      <w:r w:rsidRPr="004D5F28">
                        <w:rPr>
                          <w:rFonts w:ascii="Arial" w:hAnsi="Arial"/>
                          <w:color w:val="000000" w:themeColor="text1"/>
                          <w:sz w:val="18"/>
                          <w:szCs w:val="18"/>
                          <w:lang w:eastAsia="en-NZ"/>
                        </w:rPr>
                        <w:t xml:space="preserve">6, all of 2017 and part of 2018. </w:t>
                      </w:r>
                      <w:r w:rsidRPr="006252D5">
                        <w:rPr>
                          <w:rFonts w:ascii="Arial" w:hAnsi="Arial"/>
                          <w:b/>
                          <w:bCs/>
                          <w:color w:val="000000" w:themeColor="text1"/>
                          <w:sz w:val="18"/>
                          <w:szCs w:val="18"/>
                          <w:lang w:eastAsia="en-NZ"/>
                        </w:rPr>
                        <w:t>On average the</w:t>
                      </w:r>
                      <w:r>
                        <w:rPr>
                          <w:rFonts w:ascii="Arial" w:hAnsi="Arial"/>
                          <w:b/>
                          <w:bCs/>
                          <w:color w:val="000000" w:themeColor="text1"/>
                          <w:sz w:val="18"/>
                          <w:szCs w:val="18"/>
                          <w:lang w:eastAsia="en-NZ"/>
                        </w:rPr>
                        <w:t xml:space="preserve"> N</w:t>
                      </w:r>
                      <w:r w:rsidR="0063083B">
                        <w:rPr>
                          <w:rFonts w:ascii="Arial" w:hAnsi="Arial"/>
                          <w:b/>
                          <w:bCs/>
                          <w:color w:val="000000" w:themeColor="text1"/>
                          <w:sz w:val="18"/>
                          <w:szCs w:val="18"/>
                          <w:lang w:eastAsia="en-NZ"/>
                        </w:rPr>
                        <w:t>e</w:t>
                      </w:r>
                      <w:r>
                        <w:rPr>
                          <w:rFonts w:ascii="Arial" w:hAnsi="Arial"/>
                          <w:b/>
                          <w:bCs/>
                          <w:color w:val="000000" w:themeColor="text1"/>
                          <w:sz w:val="18"/>
                          <w:szCs w:val="18"/>
                          <w:lang w:eastAsia="en-NZ"/>
                        </w:rPr>
                        <w:t>w Zealand numbers</w:t>
                      </w:r>
                      <w:r w:rsidRPr="006252D5">
                        <w:rPr>
                          <w:rFonts w:ascii="Arial" w:hAnsi="Arial"/>
                          <w:b/>
                          <w:bCs/>
                          <w:color w:val="000000" w:themeColor="text1"/>
                          <w:sz w:val="18"/>
                          <w:szCs w:val="18"/>
                          <w:lang w:eastAsia="en-NZ"/>
                        </w:rPr>
                        <w:t xml:space="preserve"> relate to household circumstances in calendar 2017.</w:t>
                      </w:r>
                    </w:p>
                    <w:p w14:paraId="218CD4A4" w14:textId="156258A7" w:rsidR="006252D5" w:rsidRPr="004D5F28" w:rsidRDefault="006252D5" w:rsidP="006252D5">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findings therefore do not reflect either the Families Package or the core benefit increases, nor the impact on rents and mortgages of the large rises in house prices in 2020 and 2021.</w:t>
                      </w:r>
                    </w:p>
                    <w:p w14:paraId="6142DBE9" w14:textId="31417A27" w:rsidR="006252D5" w:rsidRPr="004D5F28" w:rsidRDefault="006252D5" w:rsidP="00790CA9">
                      <w:pPr>
                        <w:pStyle w:val="ListParagraph"/>
                        <w:numPr>
                          <w:ilvl w:val="0"/>
                          <w:numId w:val="46"/>
                        </w:numPr>
                        <w:spacing w:after="0" w:line="240" w:lineRule="auto"/>
                        <w:ind w:left="709" w:hanging="349"/>
                        <w:rPr>
                          <w:rFonts w:ascii="Arial" w:hAnsi="Arial"/>
                          <w:color w:val="000000" w:themeColor="text1"/>
                          <w:sz w:val="18"/>
                          <w:szCs w:val="18"/>
                          <w:lang w:eastAsia="en-NZ"/>
                        </w:rPr>
                      </w:pPr>
                      <w:r w:rsidRPr="004D5F28">
                        <w:rPr>
                          <w:rFonts w:ascii="Arial" w:hAnsi="Arial"/>
                          <w:color w:val="000000" w:themeColor="text1"/>
                          <w:sz w:val="18"/>
                          <w:szCs w:val="18"/>
                          <w:lang w:eastAsia="en-NZ"/>
                        </w:rPr>
                        <w:t>The 2017-18 HES is often referred to as the 2018 HES for short, thus leading readers to think it refers to the state-of-affairs in 2018. This is not the case.</w:t>
                      </w:r>
                    </w:p>
                    <w:p w14:paraId="26BA1864" w14:textId="4C46761D" w:rsidR="006252D5" w:rsidRPr="004D5F28" w:rsidRDefault="006252D5" w:rsidP="00790CA9">
                      <w:pPr>
                        <w:spacing w:after="0" w:line="240" w:lineRule="auto"/>
                        <w:rPr>
                          <w:rFonts w:ascii="Arial" w:hAnsi="Arial"/>
                          <w:color w:val="000000" w:themeColor="text1"/>
                          <w:sz w:val="18"/>
                          <w:szCs w:val="18"/>
                          <w:lang w:eastAsia="en-NZ"/>
                        </w:rPr>
                      </w:pPr>
                    </w:p>
                    <w:p w14:paraId="462E22CE" w14:textId="74DE7C05" w:rsidR="006252D5" w:rsidRPr="004D5F28" w:rsidRDefault="006252D5" w:rsidP="00790CA9">
                      <w:pPr>
                        <w:spacing w:line="240" w:lineRule="auto"/>
                        <w:jc w:val="center"/>
                        <w:rPr>
                          <w:rFonts w:ascii="Arial" w:hAnsi="Arial"/>
                          <w:b/>
                          <w:bCs/>
                          <w:color w:val="000000" w:themeColor="text1"/>
                          <w:szCs w:val="20"/>
                          <w:lang w:eastAsia="en-NZ"/>
                        </w:rPr>
                      </w:pPr>
                      <w:r w:rsidRPr="004D5F28">
                        <w:rPr>
                          <w:rFonts w:ascii="Arial" w:hAnsi="Arial"/>
                          <w:b/>
                          <w:bCs/>
                          <w:color w:val="000000" w:themeColor="text1"/>
                          <w:szCs w:val="20"/>
                          <w:lang w:eastAsia="en-NZ"/>
                        </w:rPr>
                        <w:t>Looking ahead – what would an update using HES 2020-21 data look like?</w:t>
                      </w:r>
                    </w:p>
                    <w:p w14:paraId="5A1F7BCA" w14:textId="77777777" w:rsidR="006252D5" w:rsidRPr="004D5F28" w:rsidRDefault="006252D5" w:rsidP="00A14893">
                      <w:pPr>
                        <w:pStyle w:val="ListParagraph"/>
                        <w:numPr>
                          <w:ilvl w:val="0"/>
                          <w:numId w:val="47"/>
                        </w:numPr>
                        <w:spacing w:after="0" w:line="240" w:lineRule="auto"/>
                        <w:rPr>
                          <w:rFonts w:ascii="Arial" w:hAnsi="Arial"/>
                          <w:color w:val="000000" w:themeColor="text1"/>
                          <w:sz w:val="18"/>
                          <w:szCs w:val="18"/>
                          <w:lang w:eastAsia="en-NZ"/>
                        </w:rPr>
                      </w:pPr>
                      <w:r w:rsidRPr="004D5F28">
                        <w:rPr>
                          <w:rFonts w:ascii="Arial" w:hAnsi="Arial"/>
                          <w:color w:val="000000" w:themeColor="text1"/>
                          <w:sz w:val="18"/>
                          <w:szCs w:val="18"/>
                          <w:lang w:eastAsia="en-NZ"/>
                        </w:rPr>
                        <w:t>The HES 2020-21 data will come available in early 2022.</w:t>
                      </w:r>
                    </w:p>
                    <w:p w14:paraId="5F0018ED" w14:textId="67E82AA6" w:rsidR="006252D5" w:rsidRPr="004D5F28" w:rsidRDefault="006252D5" w:rsidP="00A14893">
                      <w:pPr>
                        <w:pStyle w:val="ListParagraph"/>
                        <w:numPr>
                          <w:ilvl w:val="0"/>
                          <w:numId w:val="47"/>
                        </w:numPr>
                        <w:spacing w:after="0" w:line="240" w:lineRule="auto"/>
                        <w:rPr>
                          <w:rFonts w:ascii="Arial" w:hAnsi="Arial"/>
                          <w:color w:val="000000" w:themeColor="text1"/>
                          <w:sz w:val="18"/>
                          <w:szCs w:val="18"/>
                          <w:lang w:eastAsia="en-NZ"/>
                        </w:rPr>
                      </w:pPr>
                      <w:r w:rsidRPr="004D5F28">
                        <w:rPr>
                          <w:rFonts w:ascii="Arial" w:hAnsi="Arial"/>
                          <w:color w:val="000000" w:themeColor="text1"/>
                          <w:sz w:val="18"/>
                          <w:szCs w:val="18"/>
                          <w:lang w:eastAsia="en-NZ"/>
                        </w:rPr>
                        <w:t>Whether New Zealand’s rankings will be much different in that update depends on the relative strengths of two New Zealand factors (assuming other OECD countries remain much the same):</w:t>
                      </w:r>
                    </w:p>
                    <w:p w14:paraId="535BD225" w14:textId="4071B50A" w:rsidR="006252D5" w:rsidRPr="004D5F28" w:rsidRDefault="006252D5" w:rsidP="00790CA9">
                      <w:pPr>
                        <w:pStyle w:val="ListParagraph"/>
                        <w:numPr>
                          <w:ilvl w:val="1"/>
                          <w:numId w:val="47"/>
                        </w:numPr>
                        <w:spacing w:after="0" w:line="240" w:lineRule="auto"/>
                        <w:ind w:left="1134" w:hanging="283"/>
                        <w:rPr>
                          <w:rFonts w:ascii="Arial" w:hAnsi="Arial"/>
                          <w:color w:val="000000" w:themeColor="text1"/>
                          <w:sz w:val="18"/>
                          <w:szCs w:val="18"/>
                          <w:lang w:eastAsia="en-NZ"/>
                        </w:rPr>
                      </w:pPr>
                      <w:r w:rsidRPr="004D5F28">
                        <w:rPr>
                          <w:rFonts w:ascii="Arial" w:hAnsi="Arial"/>
                          <w:color w:val="000000" w:themeColor="text1"/>
                          <w:sz w:val="18"/>
                          <w:szCs w:val="18"/>
                          <w:lang w:eastAsia="en-NZ"/>
                        </w:rPr>
                        <w:t xml:space="preserve">rises in rents and mortgage repayments in the interim </w:t>
                      </w:r>
                    </w:p>
                    <w:p w14:paraId="6DBEE470" w14:textId="79054508" w:rsidR="006252D5" w:rsidRPr="004D5F28" w:rsidRDefault="006252D5" w:rsidP="00790CA9">
                      <w:pPr>
                        <w:pStyle w:val="ListParagraph"/>
                        <w:numPr>
                          <w:ilvl w:val="1"/>
                          <w:numId w:val="47"/>
                        </w:numPr>
                        <w:spacing w:after="0" w:line="240" w:lineRule="auto"/>
                        <w:ind w:left="1134" w:hanging="283"/>
                        <w:rPr>
                          <w:rFonts w:ascii="Arial" w:hAnsi="Arial"/>
                          <w:color w:val="000000" w:themeColor="text1"/>
                          <w:sz w:val="18"/>
                          <w:szCs w:val="18"/>
                          <w:lang w:eastAsia="en-NZ"/>
                        </w:rPr>
                      </w:pPr>
                      <w:r w:rsidRPr="004D5F28">
                        <w:rPr>
                          <w:rFonts w:ascii="Arial" w:hAnsi="Arial"/>
                          <w:color w:val="000000" w:themeColor="text1"/>
                          <w:sz w:val="18"/>
                          <w:szCs w:val="18"/>
                          <w:lang w:eastAsia="en-NZ"/>
                        </w:rPr>
                        <w:t>offsetting increases in household income for low-income households, taking account of rising wages, higher minimum wage, adjustments to the Accommodation Supplement in 2018, the Families Package, core benefit increases, and so on.</w:t>
                      </w:r>
                    </w:p>
                    <w:p w14:paraId="21A9C74F" w14:textId="4CA83893" w:rsidR="006252D5" w:rsidRDefault="006252D5" w:rsidP="006252D5">
                      <w:pPr>
                        <w:pStyle w:val="ListParagraph"/>
                        <w:numPr>
                          <w:ilvl w:val="0"/>
                          <w:numId w:val="47"/>
                        </w:numPr>
                        <w:spacing w:after="0" w:line="240" w:lineRule="auto"/>
                        <w:rPr>
                          <w:rFonts w:ascii="Arial" w:hAnsi="Arial"/>
                          <w:color w:val="000000" w:themeColor="text1"/>
                          <w:sz w:val="18"/>
                          <w:szCs w:val="18"/>
                          <w:lang w:eastAsia="en-NZ"/>
                        </w:rPr>
                      </w:pPr>
                      <w:r>
                        <w:rPr>
                          <w:rFonts w:ascii="Arial" w:hAnsi="Arial"/>
                          <w:color w:val="000000" w:themeColor="text1"/>
                          <w:sz w:val="18"/>
                          <w:szCs w:val="18"/>
                          <w:lang w:eastAsia="en-NZ"/>
                        </w:rPr>
                        <w:t xml:space="preserve">At best, the latter may be stronger than the former, but in any case </w:t>
                      </w:r>
                      <w:r w:rsidRPr="0063083B">
                        <w:rPr>
                          <w:rFonts w:ascii="Arial" w:hAnsi="Arial"/>
                          <w:b/>
                          <w:bCs/>
                          <w:color w:val="000000" w:themeColor="text1"/>
                          <w:sz w:val="18"/>
                          <w:szCs w:val="18"/>
                          <w:lang w:eastAsia="en-NZ"/>
                        </w:rPr>
                        <w:t>it is hard to see that New Zealand’s rankings will change very much in a 2022 update using 2020-21 data.</w:t>
                      </w:r>
                      <w:r>
                        <w:rPr>
                          <w:rFonts w:ascii="Arial" w:hAnsi="Arial"/>
                          <w:color w:val="000000" w:themeColor="text1"/>
                          <w:sz w:val="18"/>
                          <w:szCs w:val="18"/>
                          <w:lang w:eastAsia="en-NZ"/>
                        </w:rPr>
                        <w:t xml:space="preserve"> </w:t>
                      </w:r>
                    </w:p>
                    <w:p w14:paraId="7568048D" w14:textId="70DC7562" w:rsidR="006252D5" w:rsidRPr="004D5F28" w:rsidRDefault="006252D5" w:rsidP="006252D5">
                      <w:pPr>
                        <w:pStyle w:val="ListParagraph"/>
                        <w:numPr>
                          <w:ilvl w:val="0"/>
                          <w:numId w:val="47"/>
                        </w:numPr>
                        <w:spacing w:after="0" w:line="240" w:lineRule="auto"/>
                        <w:rPr>
                          <w:rFonts w:ascii="Arial" w:hAnsi="Arial"/>
                          <w:color w:val="000000" w:themeColor="text1"/>
                          <w:sz w:val="18"/>
                          <w:szCs w:val="18"/>
                          <w:lang w:eastAsia="en-NZ"/>
                        </w:rPr>
                      </w:pPr>
                      <w:r>
                        <w:rPr>
                          <w:rFonts w:ascii="Arial" w:hAnsi="Arial"/>
                          <w:color w:val="000000" w:themeColor="text1"/>
                          <w:sz w:val="18"/>
                          <w:szCs w:val="18"/>
                          <w:lang w:eastAsia="en-NZ"/>
                        </w:rPr>
                        <w:t>This assessment is supported by what we can see already in the 2019-20 data, with the VLI group deleted.</w:t>
                      </w:r>
                    </w:p>
                    <w:p w14:paraId="79DA9F1A" w14:textId="77777777" w:rsidR="006252D5" w:rsidRPr="004D5F28" w:rsidRDefault="006252D5" w:rsidP="003C7EBD">
                      <w:pPr>
                        <w:spacing w:after="0" w:line="240" w:lineRule="auto"/>
                        <w:rPr>
                          <w:rFonts w:ascii="Arial" w:hAnsi="Arial"/>
                          <w:color w:val="000000" w:themeColor="text1"/>
                          <w:sz w:val="18"/>
                          <w:szCs w:val="18"/>
                          <w:lang w:eastAsia="en-NZ"/>
                        </w:rPr>
                      </w:pPr>
                    </w:p>
                    <w:p w14:paraId="37696D30" w14:textId="77777777" w:rsidR="006252D5" w:rsidRDefault="006252D5" w:rsidP="002C54D0">
                      <w:pPr>
                        <w:spacing w:after="0" w:line="240" w:lineRule="auto"/>
                        <w:rPr>
                          <w:rFonts w:ascii="Arial" w:hAnsi="Arial"/>
                          <w:color w:val="000000" w:themeColor="text1"/>
                          <w:szCs w:val="20"/>
                          <w:lang w:eastAsia="en-NZ"/>
                        </w:rPr>
                      </w:pPr>
                    </w:p>
                    <w:p w14:paraId="15B9C409" w14:textId="77777777" w:rsidR="006252D5" w:rsidRDefault="006252D5" w:rsidP="002C54D0">
                      <w:pPr>
                        <w:spacing w:after="0" w:line="240" w:lineRule="auto"/>
                        <w:rPr>
                          <w:rFonts w:ascii="Arial" w:hAnsi="Arial"/>
                          <w:color w:val="000000" w:themeColor="text1"/>
                          <w:szCs w:val="20"/>
                          <w:lang w:eastAsia="en-NZ"/>
                        </w:rPr>
                      </w:pPr>
                    </w:p>
                    <w:p w14:paraId="78581180" w14:textId="77777777" w:rsidR="006252D5" w:rsidRDefault="006252D5" w:rsidP="002C54D0">
                      <w:pPr>
                        <w:spacing w:after="0" w:line="240" w:lineRule="auto"/>
                        <w:rPr>
                          <w:rFonts w:ascii="Arial" w:hAnsi="Arial"/>
                          <w:color w:val="000000" w:themeColor="text1"/>
                          <w:szCs w:val="20"/>
                          <w:lang w:eastAsia="en-NZ"/>
                        </w:rPr>
                      </w:pPr>
                    </w:p>
                    <w:p w14:paraId="6C1728E1" w14:textId="77777777" w:rsidR="006252D5" w:rsidRDefault="006252D5" w:rsidP="002C54D0">
                      <w:pPr>
                        <w:spacing w:after="0" w:line="240" w:lineRule="auto"/>
                        <w:rPr>
                          <w:rFonts w:ascii="Arial" w:hAnsi="Arial"/>
                          <w:color w:val="000000" w:themeColor="text1"/>
                          <w:szCs w:val="20"/>
                          <w:lang w:eastAsia="en-NZ"/>
                        </w:rPr>
                      </w:pPr>
                    </w:p>
                    <w:p w14:paraId="59C4E01C" w14:textId="77777777" w:rsidR="006252D5" w:rsidRDefault="006252D5"/>
                  </w:txbxContent>
                </v:textbox>
              </v:shape>
            </w:pict>
          </mc:Fallback>
        </mc:AlternateContent>
      </w:r>
    </w:p>
    <w:p w14:paraId="6B7467DD" w14:textId="2185B01D" w:rsidR="009A6D51" w:rsidRDefault="009A6D51" w:rsidP="00143BAA">
      <w:pPr>
        <w:pStyle w:val="ListParagraph"/>
        <w:spacing w:after="0" w:line="240" w:lineRule="auto"/>
        <w:ind w:left="0"/>
        <w:contextualSpacing w:val="0"/>
        <w:jc w:val="both"/>
        <w:rPr>
          <w:rFonts w:ascii="Arial" w:eastAsia="Times New Roman" w:hAnsi="Arial" w:cs="Times New Roman"/>
          <w:szCs w:val="20"/>
          <w:lang w:val="en-GB"/>
        </w:rPr>
      </w:pPr>
    </w:p>
    <w:p w14:paraId="4574241D" w14:textId="1D4F0EEA" w:rsidR="00143BAA" w:rsidRDefault="00143BAA" w:rsidP="00143BAA">
      <w:pPr>
        <w:spacing w:after="0" w:line="240" w:lineRule="auto"/>
        <w:rPr>
          <w:rFonts w:ascii="Arial" w:eastAsia="Times New Roman" w:hAnsi="Arial"/>
          <w:b/>
          <w:sz w:val="22"/>
          <w:lang w:val="en-GB"/>
        </w:rPr>
      </w:pPr>
    </w:p>
    <w:p w14:paraId="139A36DE" w14:textId="77777777" w:rsidR="00143BAA" w:rsidRDefault="00143BAA" w:rsidP="00143BAA">
      <w:pPr>
        <w:spacing w:after="0" w:line="240" w:lineRule="auto"/>
        <w:rPr>
          <w:rFonts w:ascii="Arial" w:eastAsia="Times New Roman" w:hAnsi="Arial"/>
          <w:b/>
          <w:sz w:val="22"/>
          <w:lang w:val="en-GB"/>
        </w:rPr>
      </w:pPr>
    </w:p>
    <w:p w14:paraId="1E379D52" w14:textId="77777777" w:rsidR="00143BAA" w:rsidRDefault="00143BAA" w:rsidP="00143BAA">
      <w:pPr>
        <w:spacing w:after="0" w:line="240" w:lineRule="auto"/>
        <w:rPr>
          <w:rFonts w:ascii="Arial" w:eastAsia="Times New Roman" w:hAnsi="Arial"/>
          <w:b/>
          <w:sz w:val="22"/>
          <w:lang w:val="en-GB"/>
        </w:rPr>
      </w:pPr>
      <w:r>
        <w:rPr>
          <w:rFonts w:ascii="Arial" w:eastAsia="Times New Roman" w:hAnsi="Arial"/>
          <w:b/>
          <w:sz w:val="22"/>
          <w:lang w:val="en-GB"/>
        </w:rPr>
        <w:br w:type="page"/>
      </w:r>
    </w:p>
    <w:p w14:paraId="569B0EE1" w14:textId="77777777" w:rsidR="00143BAA" w:rsidRPr="00143BAA" w:rsidRDefault="00143BAA" w:rsidP="00143BAA">
      <w:pPr>
        <w:spacing w:after="0" w:line="240" w:lineRule="auto"/>
        <w:rPr>
          <w:rFonts w:ascii="Arial" w:eastAsia="Times New Roman" w:hAnsi="Arial"/>
          <w:b/>
          <w:sz w:val="24"/>
          <w:szCs w:val="24"/>
          <w:lang w:val="en-GB"/>
        </w:rPr>
      </w:pPr>
      <w:r w:rsidRPr="00143BAA">
        <w:rPr>
          <w:rFonts w:ascii="Arial" w:eastAsia="Times New Roman" w:hAnsi="Arial"/>
          <w:b/>
          <w:sz w:val="24"/>
          <w:szCs w:val="24"/>
          <w:lang w:val="en-GB"/>
        </w:rPr>
        <w:lastRenderedPageBreak/>
        <w:t>Selected key findings</w:t>
      </w:r>
    </w:p>
    <w:p w14:paraId="1596C181" w14:textId="77777777" w:rsidR="00143BAA" w:rsidRDefault="00143BAA" w:rsidP="00143BAA">
      <w:pPr>
        <w:spacing w:after="0" w:line="240" w:lineRule="auto"/>
        <w:jc w:val="center"/>
        <w:rPr>
          <w:rFonts w:ascii="Arial" w:eastAsia="Times New Roman" w:hAnsi="Arial" w:cs="Times New Roman"/>
          <w:b/>
          <w:bCs/>
          <w:sz w:val="18"/>
          <w:szCs w:val="18"/>
          <w:lang w:val="en-GB"/>
        </w:rPr>
      </w:pPr>
    </w:p>
    <w:p w14:paraId="538A3DB1" w14:textId="77777777" w:rsidR="00143BAA" w:rsidRDefault="00143BAA" w:rsidP="00143BAA">
      <w:pPr>
        <w:spacing w:after="0" w:line="240" w:lineRule="auto"/>
        <w:rPr>
          <w:rFonts w:ascii="Arial" w:eastAsia="Times New Roman" w:hAnsi="Arial"/>
          <w:bCs/>
          <w:szCs w:val="20"/>
          <w:lang w:val="en-GB"/>
        </w:rPr>
      </w:pPr>
      <w:r w:rsidRPr="00C97F56">
        <w:rPr>
          <w:noProof/>
        </w:rPr>
        <w:drawing>
          <wp:anchor distT="0" distB="0" distL="114300" distR="114300" simplePos="0" relativeHeight="251863040" behindDoc="0" locked="0" layoutInCell="1" allowOverlap="1" wp14:anchorId="66856387" wp14:editId="26481480">
            <wp:simplePos x="0" y="0"/>
            <wp:positionH relativeFrom="column">
              <wp:posOffset>1263650</wp:posOffset>
            </wp:positionH>
            <wp:positionV relativeFrom="paragraph">
              <wp:posOffset>228600</wp:posOffset>
            </wp:positionV>
            <wp:extent cx="2971800" cy="181419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1800" cy="18141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sz w:val="18"/>
          <w:szCs w:val="18"/>
          <w:lang w:val="en-GB"/>
        </w:rPr>
        <w:t>New Zealand has had the largest rise in house prices (in real terms) in the OECD, 2000 to 2020</w:t>
      </w:r>
    </w:p>
    <w:p w14:paraId="796D823E" w14:textId="77777777" w:rsidR="00143BAA" w:rsidRDefault="00143BAA" w:rsidP="00143BAA">
      <w:pPr>
        <w:spacing w:after="0" w:line="240" w:lineRule="auto"/>
        <w:jc w:val="center"/>
        <w:rPr>
          <w:rFonts w:ascii="Arial" w:eastAsia="Times New Roman" w:hAnsi="Arial"/>
          <w:b/>
          <w:sz w:val="18"/>
          <w:szCs w:val="20"/>
        </w:rPr>
      </w:pPr>
    </w:p>
    <w:p w14:paraId="792A87A5" w14:textId="77777777" w:rsidR="00143BAA" w:rsidRDefault="00143BAA" w:rsidP="00143BAA">
      <w:pPr>
        <w:spacing w:after="0" w:line="240" w:lineRule="auto"/>
        <w:rPr>
          <w:rFonts w:ascii="Arial" w:eastAsia="Times New Roman" w:hAnsi="Arial"/>
          <w:b/>
          <w:sz w:val="18"/>
          <w:szCs w:val="20"/>
        </w:rPr>
      </w:pPr>
    </w:p>
    <w:p w14:paraId="6FA2C059" w14:textId="77777777" w:rsidR="00143BAA" w:rsidRDefault="00143BAA" w:rsidP="00143BAA">
      <w:pPr>
        <w:spacing w:after="0" w:line="240" w:lineRule="auto"/>
        <w:rPr>
          <w:rFonts w:ascii="Arial" w:eastAsia="Times New Roman" w:hAnsi="Arial"/>
          <w:b/>
          <w:sz w:val="18"/>
          <w:szCs w:val="20"/>
        </w:rPr>
      </w:pPr>
      <w:r w:rsidRPr="0039730C">
        <w:rPr>
          <w:rFonts w:ascii="Arial" w:eastAsia="Times New Roman" w:hAnsi="Arial"/>
          <w:b/>
          <w:sz w:val="18"/>
          <w:szCs w:val="20"/>
        </w:rPr>
        <w:t>New Zealand has</w:t>
      </w:r>
      <w:r>
        <w:rPr>
          <w:rFonts w:ascii="Arial" w:eastAsia="Times New Roman" w:hAnsi="Arial"/>
          <w:b/>
          <w:sz w:val="18"/>
          <w:szCs w:val="20"/>
        </w:rPr>
        <w:t xml:space="preserve"> a long-run trend of increasing housing (un)affordability for low-income households</w:t>
      </w:r>
    </w:p>
    <w:p w14:paraId="51B9F677" w14:textId="36358743" w:rsidR="00143BAA" w:rsidRPr="0039730C" w:rsidRDefault="00143BAA" w:rsidP="00143BAA">
      <w:pPr>
        <w:pStyle w:val="ListParagraph"/>
        <w:numPr>
          <w:ilvl w:val="0"/>
          <w:numId w:val="41"/>
        </w:numPr>
        <w:spacing w:before="120" w:after="0" w:line="240" w:lineRule="auto"/>
        <w:ind w:left="714" w:hanging="357"/>
        <w:contextualSpacing w:val="0"/>
        <w:rPr>
          <w:rFonts w:ascii="Arial" w:eastAsia="Times New Roman" w:hAnsi="Arial"/>
          <w:bCs/>
          <w:sz w:val="18"/>
          <w:szCs w:val="20"/>
        </w:rPr>
      </w:pPr>
      <w:r w:rsidRPr="0039730C">
        <w:rPr>
          <w:rFonts w:ascii="Arial" w:eastAsia="Times New Roman" w:hAnsi="Arial"/>
          <w:bCs/>
          <w:sz w:val="18"/>
          <w:szCs w:val="20"/>
        </w:rPr>
        <w:t xml:space="preserve">This trend has been sustained for those with </w:t>
      </w:r>
      <w:r>
        <w:rPr>
          <w:rFonts w:ascii="Arial" w:eastAsia="Times New Roman" w:hAnsi="Arial"/>
          <w:bCs/>
          <w:sz w:val="18"/>
          <w:szCs w:val="20"/>
        </w:rPr>
        <w:t>housing costs</w:t>
      </w:r>
      <w:r w:rsidRPr="0039730C">
        <w:rPr>
          <w:rFonts w:ascii="Arial" w:eastAsia="Times New Roman" w:hAnsi="Arial"/>
          <w:bCs/>
          <w:sz w:val="18"/>
          <w:szCs w:val="20"/>
        </w:rPr>
        <w:t xml:space="preserve"> &gt; 50% </w:t>
      </w:r>
      <w:r>
        <w:rPr>
          <w:rFonts w:ascii="Arial" w:eastAsia="Times New Roman" w:hAnsi="Arial"/>
          <w:bCs/>
          <w:sz w:val="18"/>
          <w:szCs w:val="20"/>
        </w:rPr>
        <w:t xml:space="preserve">of income </w:t>
      </w:r>
      <w:r w:rsidRPr="0039730C">
        <w:rPr>
          <w:rFonts w:ascii="Arial" w:eastAsia="Times New Roman" w:hAnsi="Arial"/>
          <w:bCs/>
          <w:sz w:val="18"/>
          <w:szCs w:val="20"/>
        </w:rPr>
        <w:t xml:space="preserve">even when the less stringent measures (&gt;30%, &gt;40%) showed signs of </w:t>
      </w:r>
      <w:r>
        <w:rPr>
          <w:rFonts w:ascii="Arial" w:eastAsia="Times New Roman" w:hAnsi="Arial"/>
          <w:bCs/>
          <w:sz w:val="18"/>
          <w:szCs w:val="20"/>
        </w:rPr>
        <w:t>plateauing</w:t>
      </w:r>
      <w:r w:rsidRPr="0039730C">
        <w:rPr>
          <w:rFonts w:ascii="Arial" w:eastAsia="Times New Roman" w:hAnsi="Arial"/>
          <w:bCs/>
          <w:sz w:val="18"/>
          <w:szCs w:val="20"/>
        </w:rPr>
        <w:t xml:space="preserve"> in more recent years. </w:t>
      </w:r>
    </w:p>
    <w:p w14:paraId="66310EDE" w14:textId="77777777" w:rsidR="00143BAA" w:rsidRPr="0039730C" w:rsidRDefault="00143BAA" w:rsidP="00143BAA">
      <w:pPr>
        <w:pStyle w:val="ListParagraph"/>
        <w:numPr>
          <w:ilvl w:val="0"/>
          <w:numId w:val="41"/>
        </w:numPr>
        <w:spacing w:before="120" w:after="0" w:line="240" w:lineRule="auto"/>
        <w:ind w:left="714" w:hanging="357"/>
        <w:contextualSpacing w:val="0"/>
        <w:rPr>
          <w:rFonts w:ascii="Arial" w:eastAsia="Times New Roman" w:hAnsi="Arial"/>
          <w:bCs/>
          <w:sz w:val="18"/>
          <w:szCs w:val="20"/>
        </w:rPr>
      </w:pPr>
      <w:r w:rsidRPr="0039730C">
        <w:rPr>
          <w:rFonts w:ascii="Arial" w:eastAsia="Times New Roman" w:hAnsi="Arial"/>
          <w:bCs/>
          <w:sz w:val="18"/>
          <w:szCs w:val="20"/>
        </w:rPr>
        <w:t xml:space="preserve">The chart </w:t>
      </w:r>
      <w:r>
        <w:rPr>
          <w:rFonts w:ascii="Arial" w:eastAsia="Times New Roman" w:hAnsi="Arial"/>
          <w:bCs/>
          <w:sz w:val="18"/>
          <w:szCs w:val="20"/>
        </w:rPr>
        <w:t xml:space="preserve">(from the Incomes Report) </w:t>
      </w:r>
      <w:r w:rsidRPr="0039730C">
        <w:rPr>
          <w:rFonts w:ascii="Arial" w:eastAsia="Times New Roman" w:hAnsi="Arial"/>
          <w:bCs/>
          <w:sz w:val="18"/>
          <w:szCs w:val="20"/>
        </w:rPr>
        <w:t xml:space="preserve">shows trends for </w:t>
      </w:r>
      <w:r>
        <w:rPr>
          <w:rFonts w:ascii="Arial" w:eastAsia="Times New Roman" w:hAnsi="Arial"/>
          <w:bCs/>
          <w:sz w:val="18"/>
          <w:szCs w:val="20"/>
        </w:rPr>
        <w:t xml:space="preserve">low-income </w:t>
      </w:r>
      <w:r w:rsidRPr="0039730C">
        <w:rPr>
          <w:rFonts w:ascii="Arial" w:eastAsia="Times New Roman" w:hAnsi="Arial"/>
          <w:bCs/>
          <w:sz w:val="18"/>
          <w:szCs w:val="20"/>
        </w:rPr>
        <w:t>under-65 households with housing costs greater than 30%, 40% and 50% of HH income</w:t>
      </w:r>
      <w:r>
        <w:rPr>
          <w:rFonts w:ascii="Arial" w:eastAsia="Times New Roman" w:hAnsi="Arial"/>
          <w:bCs/>
          <w:sz w:val="18"/>
          <w:szCs w:val="20"/>
        </w:rPr>
        <w:t>. Low-income households here refers to households with income in the bottom quintile (Q1).</w:t>
      </w:r>
    </w:p>
    <w:p w14:paraId="03143A1C" w14:textId="77777777" w:rsidR="00143BAA" w:rsidRDefault="00143BAA" w:rsidP="00143BAA">
      <w:pPr>
        <w:spacing w:after="0" w:line="240" w:lineRule="auto"/>
        <w:jc w:val="center"/>
        <w:rPr>
          <w:rFonts w:ascii="Arial" w:eastAsia="Times New Roman" w:hAnsi="Arial"/>
          <w:bCs/>
          <w:sz w:val="18"/>
          <w:szCs w:val="20"/>
        </w:rPr>
      </w:pPr>
      <w:r w:rsidRPr="00375322">
        <w:rPr>
          <w:rFonts w:ascii="Arial" w:eastAsia="Times New Roman" w:hAnsi="Arial" w:cs="Times New Roman"/>
          <w:noProof/>
          <w:sz w:val="22"/>
          <w:szCs w:val="20"/>
          <w:lang w:val="en-GB"/>
        </w:rPr>
        <w:drawing>
          <wp:anchor distT="0" distB="0" distL="114300" distR="114300" simplePos="0" relativeHeight="251864064" behindDoc="1" locked="0" layoutInCell="1" allowOverlap="1" wp14:anchorId="36473FE7" wp14:editId="666B4CBE">
            <wp:simplePos x="0" y="0"/>
            <wp:positionH relativeFrom="column">
              <wp:posOffset>1181100</wp:posOffset>
            </wp:positionH>
            <wp:positionV relativeFrom="paragraph">
              <wp:posOffset>146050</wp:posOffset>
            </wp:positionV>
            <wp:extent cx="3270250" cy="1983105"/>
            <wp:effectExtent l="0" t="0" r="635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25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0762" w14:textId="77777777" w:rsidR="00143BAA" w:rsidRPr="0039730C" w:rsidRDefault="00143BAA" w:rsidP="00143BAA">
      <w:pPr>
        <w:spacing w:after="0" w:line="240" w:lineRule="auto"/>
        <w:jc w:val="center"/>
        <w:rPr>
          <w:rFonts w:ascii="Arial" w:eastAsia="Times New Roman" w:hAnsi="Arial"/>
          <w:bCs/>
          <w:sz w:val="18"/>
          <w:szCs w:val="20"/>
        </w:rPr>
      </w:pPr>
    </w:p>
    <w:p w14:paraId="145611D3" w14:textId="77777777" w:rsidR="00143BAA" w:rsidRDefault="00143BAA" w:rsidP="00143BAA">
      <w:pPr>
        <w:spacing w:after="0" w:line="240" w:lineRule="auto"/>
        <w:rPr>
          <w:rFonts w:ascii="Arial" w:hAnsi="Arial"/>
          <w:b/>
          <w:bCs/>
          <w:sz w:val="18"/>
          <w:szCs w:val="18"/>
        </w:rPr>
      </w:pPr>
    </w:p>
    <w:p w14:paraId="44F68041" w14:textId="77777777" w:rsidR="00143BAA" w:rsidRDefault="00143BAA" w:rsidP="00143BAA">
      <w:pPr>
        <w:spacing w:after="0" w:line="240" w:lineRule="auto"/>
        <w:rPr>
          <w:rFonts w:ascii="Arial" w:hAnsi="Arial"/>
          <w:b/>
          <w:bCs/>
          <w:sz w:val="18"/>
          <w:szCs w:val="18"/>
        </w:rPr>
      </w:pPr>
      <w:r w:rsidRPr="003F22F5">
        <w:rPr>
          <w:noProof/>
        </w:rPr>
        <w:drawing>
          <wp:anchor distT="0" distB="0" distL="114300" distR="114300" simplePos="0" relativeHeight="251866112" behindDoc="0" locked="0" layoutInCell="1" allowOverlap="1" wp14:anchorId="3D6C0E55" wp14:editId="756EAFA3">
            <wp:simplePos x="0" y="0"/>
            <wp:positionH relativeFrom="column">
              <wp:posOffset>1155700</wp:posOffset>
            </wp:positionH>
            <wp:positionV relativeFrom="paragraph">
              <wp:posOffset>367030</wp:posOffset>
            </wp:positionV>
            <wp:extent cx="3297555" cy="21526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7555" cy="2152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 xml:space="preserve">60% of </w:t>
      </w:r>
      <w:r w:rsidRPr="00CD6281">
        <w:rPr>
          <w:rFonts w:ascii="Arial" w:hAnsi="Arial"/>
          <w:b/>
          <w:bCs/>
          <w:sz w:val="18"/>
          <w:szCs w:val="18"/>
          <w:u w:val="single"/>
        </w:rPr>
        <w:t>low-income private renters</w:t>
      </w:r>
      <w:r>
        <w:rPr>
          <w:rFonts w:ascii="Arial" w:hAnsi="Arial"/>
          <w:b/>
          <w:bCs/>
          <w:sz w:val="18"/>
          <w:szCs w:val="18"/>
        </w:rPr>
        <w:t xml:space="preserve"> (Q1) are in households that spend more than 40% of their income on rent, the highest rate in the OECD</w:t>
      </w:r>
    </w:p>
    <w:p w14:paraId="3FA304B8" w14:textId="77777777" w:rsidR="00143BAA" w:rsidRDefault="00143BAA" w:rsidP="00143BAA">
      <w:pPr>
        <w:spacing w:after="0" w:line="240" w:lineRule="auto"/>
        <w:jc w:val="center"/>
        <w:rPr>
          <w:rFonts w:ascii="Arial" w:hAnsi="Arial"/>
          <w:b/>
          <w:sz w:val="18"/>
          <w:szCs w:val="18"/>
        </w:rPr>
      </w:pPr>
    </w:p>
    <w:p w14:paraId="6BF8EF24" w14:textId="77777777" w:rsidR="00143BAA" w:rsidRDefault="00143BAA" w:rsidP="00143BAA">
      <w:pPr>
        <w:spacing w:after="0" w:line="240" w:lineRule="auto"/>
        <w:rPr>
          <w:rFonts w:ascii="Arial" w:hAnsi="Arial"/>
          <w:b/>
          <w:sz w:val="18"/>
          <w:szCs w:val="18"/>
        </w:rPr>
      </w:pPr>
      <w:r>
        <w:rPr>
          <w:rFonts w:ascii="Arial" w:hAnsi="Arial"/>
          <w:b/>
          <w:sz w:val="18"/>
          <w:szCs w:val="18"/>
        </w:rPr>
        <w:br w:type="page"/>
      </w:r>
    </w:p>
    <w:p w14:paraId="47FB3249" w14:textId="77777777" w:rsidR="00143BAA" w:rsidRDefault="00143BAA" w:rsidP="00143BAA">
      <w:pPr>
        <w:spacing w:after="0" w:line="240" w:lineRule="auto"/>
        <w:rPr>
          <w:rFonts w:ascii="Arial" w:hAnsi="Arial"/>
          <w:b/>
          <w:bCs/>
          <w:sz w:val="18"/>
          <w:szCs w:val="18"/>
        </w:rPr>
      </w:pPr>
      <w:r w:rsidRPr="003F22F5">
        <w:rPr>
          <w:noProof/>
        </w:rPr>
        <w:lastRenderedPageBreak/>
        <w:drawing>
          <wp:anchor distT="0" distB="0" distL="114300" distR="114300" simplePos="0" relativeHeight="251865088" behindDoc="0" locked="0" layoutInCell="1" allowOverlap="1" wp14:anchorId="3254FB79" wp14:editId="01402328">
            <wp:simplePos x="0" y="0"/>
            <wp:positionH relativeFrom="column">
              <wp:posOffset>1251585</wp:posOffset>
            </wp:positionH>
            <wp:positionV relativeFrom="paragraph">
              <wp:posOffset>336550</wp:posOffset>
            </wp:positionV>
            <wp:extent cx="3327400" cy="2171700"/>
            <wp:effectExtent l="0" t="0" r="635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7400" cy="2171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 xml:space="preserve">17% of those living in </w:t>
      </w:r>
      <w:r w:rsidRPr="00CD6281">
        <w:rPr>
          <w:rFonts w:ascii="Arial" w:hAnsi="Arial"/>
          <w:b/>
          <w:bCs/>
          <w:sz w:val="18"/>
          <w:szCs w:val="18"/>
          <w:u w:val="single"/>
        </w:rPr>
        <w:t>low-income mortgaged households</w:t>
      </w:r>
      <w:r>
        <w:rPr>
          <w:rFonts w:ascii="Arial" w:hAnsi="Arial"/>
          <w:b/>
          <w:bCs/>
          <w:sz w:val="18"/>
          <w:szCs w:val="18"/>
        </w:rPr>
        <w:t xml:space="preserve"> (Q2) spend more than 40% of their income on the mortgage, the highest rate in the OECD</w:t>
      </w:r>
    </w:p>
    <w:p w14:paraId="0AC4FE41" w14:textId="77777777" w:rsidR="00143BAA" w:rsidRDefault="00143BAA" w:rsidP="00143BAA">
      <w:pPr>
        <w:spacing w:after="0" w:line="240" w:lineRule="auto"/>
        <w:rPr>
          <w:rFonts w:ascii="Arial" w:hAnsi="Arial"/>
          <w:b/>
          <w:bCs/>
          <w:sz w:val="18"/>
          <w:szCs w:val="18"/>
        </w:rPr>
      </w:pPr>
    </w:p>
    <w:p w14:paraId="425AAE06" w14:textId="77777777" w:rsidR="00143BAA" w:rsidRDefault="00143BAA" w:rsidP="00143BAA">
      <w:pPr>
        <w:spacing w:after="0" w:line="240" w:lineRule="auto"/>
        <w:rPr>
          <w:rFonts w:ascii="Arial" w:hAnsi="Arial"/>
          <w:b/>
          <w:bCs/>
          <w:sz w:val="18"/>
          <w:szCs w:val="18"/>
        </w:rPr>
      </w:pPr>
      <w:r w:rsidRPr="00CD6281">
        <w:rPr>
          <w:noProof/>
        </w:rPr>
        <w:drawing>
          <wp:anchor distT="0" distB="0" distL="114300" distR="114300" simplePos="0" relativeHeight="251867136" behindDoc="0" locked="0" layoutInCell="1" allowOverlap="1" wp14:anchorId="149172FA" wp14:editId="2AF49233">
            <wp:simplePos x="0" y="0"/>
            <wp:positionH relativeFrom="column">
              <wp:posOffset>1342390</wp:posOffset>
            </wp:positionH>
            <wp:positionV relativeFrom="paragraph">
              <wp:posOffset>398145</wp:posOffset>
            </wp:positionV>
            <wp:extent cx="3190875" cy="20828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875" cy="2082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 xml:space="preserve">14% of </w:t>
      </w:r>
      <w:r w:rsidRPr="00CD6281">
        <w:rPr>
          <w:rFonts w:ascii="Arial" w:hAnsi="Arial"/>
          <w:b/>
          <w:bCs/>
          <w:sz w:val="18"/>
          <w:szCs w:val="18"/>
          <w:u w:val="single"/>
        </w:rPr>
        <w:t>all households</w:t>
      </w:r>
      <w:r>
        <w:rPr>
          <w:rFonts w:ascii="Arial" w:hAnsi="Arial"/>
          <w:b/>
          <w:bCs/>
          <w:sz w:val="18"/>
          <w:szCs w:val="18"/>
        </w:rPr>
        <w:t xml:space="preserve"> paying a mortgage or renting spend more than 40% of their income on housing costs the highest rate in the OECD after Iceland, and the same as Chile and Greece</w:t>
      </w:r>
    </w:p>
    <w:p w14:paraId="2BD2EEAD" w14:textId="77777777" w:rsidR="00143BAA" w:rsidRDefault="00143BAA" w:rsidP="00143BAA">
      <w:pPr>
        <w:spacing w:after="0" w:line="240" w:lineRule="auto"/>
        <w:jc w:val="center"/>
        <w:rPr>
          <w:rFonts w:ascii="Arial" w:hAnsi="Arial"/>
          <w:b/>
          <w:bCs/>
          <w:sz w:val="18"/>
          <w:szCs w:val="18"/>
        </w:rPr>
      </w:pPr>
    </w:p>
    <w:p w14:paraId="561B3C29" w14:textId="77777777" w:rsidR="00143BAA" w:rsidRDefault="00143BAA" w:rsidP="00143BAA">
      <w:pPr>
        <w:spacing w:after="0" w:line="240" w:lineRule="auto"/>
        <w:jc w:val="center"/>
        <w:rPr>
          <w:rFonts w:ascii="Arial" w:hAnsi="Arial"/>
          <w:b/>
          <w:bCs/>
          <w:sz w:val="18"/>
          <w:szCs w:val="18"/>
        </w:rPr>
      </w:pPr>
    </w:p>
    <w:p w14:paraId="6DDFDE83" w14:textId="77777777" w:rsidR="00143BAA" w:rsidRDefault="00143BAA" w:rsidP="00143BAA">
      <w:pPr>
        <w:spacing w:after="0" w:line="240" w:lineRule="auto"/>
        <w:rPr>
          <w:rFonts w:ascii="Arial" w:hAnsi="Arial"/>
          <w:b/>
          <w:bCs/>
          <w:sz w:val="18"/>
          <w:szCs w:val="18"/>
        </w:rPr>
      </w:pPr>
      <w:r>
        <w:rPr>
          <w:rFonts w:ascii="Arial" w:hAnsi="Arial"/>
          <w:b/>
          <w:bCs/>
          <w:sz w:val="18"/>
          <w:szCs w:val="18"/>
        </w:rPr>
        <w:t xml:space="preserve">On the EU approach (which includes those households owning outright), </w:t>
      </w:r>
      <w:r w:rsidRPr="00784673">
        <w:rPr>
          <w:rFonts w:ascii="Arial" w:hAnsi="Arial"/>
          <w:b/>
          <w:bCs/>
          <w:sz w:val="18"/>
          <w:szCs w:val="18"/>
          <w:u w:val="single"/>
        </w:rPr>
        <w:t xml:space="preserve">NZ children </w:t>
      </w:r>
      <w:r>
        <w:rPr>
          <w:rFonts w:ascii="Arial" w:hAnsi="Arial"/>
          <w:b/>
          <w:bCs/>
          <w:sz w:val="18"/>
          <w:szCs w:val="18"/>
          <w:u w:val="single"/>
        </w:rPr>
        <w:t xml:space="preserve">overall </w:t>
      </w:r>
      <w:r w:rsidRPr="00784673">
        <w:rPr>
          <w:rFonts w:ascii="Arial" w:hAnsi="Arial"/>
          <w:b/>
          <w:bCs/>
          <w:sz w:val="18"/>
          <w:szCs w:val="18"/>
          <w:u w:val="single"/>
        </w:rPr>
        <w:t xml:space="preserve">are more than twice as likely as older </w:t>
      </w:r>
      <w:proofErr w:type="spellStart"/>
      <w:r w:rsidRPr="00784673">
        <w:rPr>
          <w:rFonts w:ascii="Arial" w:hAnsi="Arial"/>
          <w:b/>
          <w:bCs/>
          <w:sz w:val="18"/>
          <w:szCs w:val="18"/>
          <w:u w:val="single"/>
        </w:rPr>
        <w:t>NZers</w:t>
      </w:r>
      <w:proofErr w:type="spellEnd"/>
      <w:r>
        <w:rPr>
          <w:rFonts w:ascii="Arial" w:hAnsi="Arial"/>
          <w:b/>
          <w:bCs/>
          <w:sz w:val="18"/>
          <w:szCs w:val="18"/>
        </w:rPr>
        <w:t xml:space="preserve"> (65+) to be living in households spending more than 40% of their income on housing costs (9% v 4%), higher than almost all European countries </w:t>
      </w:r>
    </w:p>
    <w:p w14:paraId="1A0CBEE4" w14:textId="4CAAD129" w:rsidR="00143BAA" w:rsidRDefault="00143BAA" w:rsidP="00143BAA">
      <w:pPr>
        <w:pStyle w:val="ListParagraph"/>
        <w:numPr>
          <w:ilvl w:val="0"/>
          <w:numId w:val="42"/>
        </w:numPr>
        <w:spacing w:before="120" w:after="0" w:line="240" w:lineRule="auto"/>
        <w:ind w:left="714" w:hanging="357"/>
        <w:contextualSpacing w:val="0"/>
        <w:rPr>
          <w:rFonts w:ascii="Arial" w:hAnsi="Arial"/>
          <w:sz w:val="18"/>
          <w:szCs w:val="18"/>
        </w:rPr>
      </w:pPr>
      <w:r w:rsidRPr="003873DC">
        <w:rPr>
          <w:noProof/>
        </w:rPr>
        <w:drawing>
          <wp:anchor distT="0" distB="0" distL="114300" distR="114300" simplePos="0" relativeHeight="251868160" behindDoc="0" locked="0" layoutInCell="1" allowOverlap="1" wp14:anchorId="03998868" wp14:editId="301C4374">
            <wp:simplePos x="0" y="0"/>
            <wp:positionH relativeFrom="column">
              <wp:posOffset>1435100</wp:posOffset>
            </wp:positionH>
            <wp:positionV relativeFrom="paragraph">
              <wp:posOffset>627380</wp:posOffset>
            </wp:positionV>
            <wp:extent cx="3143250" cy="205041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2050415"/>
                    </a:xfrm>
                    <a:prstGeom prst="rect">
                      <a:avLst/>
                    </a:prstGeom>
                  </pic:spPr>
                </pic:pic>
              </a:graphicData>
            </a:graphic>
            <wp14:sizeRelH relativeFrom="margin">
              <wp14:pctWidth>0</wp14:pctWidth>
            </wp14:sizeRelH>
            <wp14:sizeRelV relativeFrom="margin">
              <wp14:pctHeight>0</wp14:pctHeight>
            </wp14:sizeRelV>
          </wp:anchor>
        </w:drawing>
      </w:r>
      <w:r w:rsidRPr="003873DC">
        <w:rPr>
          <w:rFonts w:ascii="Arial" w:hAnsi="Arial"/>
          <w:sz w:val="18"/>
          <w:szCs w:val="18"/>
        </w:rPr>
        <w:t xml:space="preserve">The relativity between children and those aged 65+ varies considerably across European countries. </w:t>
      </w:r>
      <w:r>
        <w:rPr>
          <w:rFonts w:ascii="Arial" w:hAnsi="Arial"/>
          <w:sz w:val="18"/>
          <w:szCs w:val="18"/>
        </w:rPr>
        <w:t>This means that</w:t>
      </w:r>
      <w:r w:rsidRPr="003873DC">
        <w:rPr>
          <w:rFonts w:ascii="Arial" w:hAnsi="Arial"/>
          <w:sz w:val="18"/>
          <w:szCs w:val="18"/>
        </w:rPr>
        <w:t xml:space="preserve"> it</w:t>
      </w:r>
      <w:r>
        <w:rPr>
          <w:rFonts w:ascii="Arial" w:hAnsi="Arial"/>
          <w:sz w:val="18"/>
          <w:szCs w:val="18"/>
        </w:rPr>
        <w:t xml:space="preserve"> is</w:t>
      </w:r>
      <w:r w:rsidRPr="003873DC">
        <w:rPr>
          <w:rFonts w:ascii="Arial" w:hAnsi="Arial"/>
          <w:sz w:val="18"/>
          <w:szCs w:val="18"/>
        </w:rPr>
        <w:t xml:space="preserve"> not simply a life-stage phenomenon; the relativities can be impacted by policy differences and cultural norms and expectations. </w:t>
      </w:r>
    </w:p>
    <w:p w14:paraId="7A18B9C4" w14:textId="66B76092" w:rsidR="00143BAA" w:rsidRPr="0049283D" w:rsidRDefault="00143BAA" w:rsidP="0049283D">
      <w:pPr>
        <w:spacing w:before="120" w:after="0" w:line="240" w:lineRule="auto"/>
        <w:ind w:left="1701" w:right="662"/>
        <w:rPr>
          <w:rFonts w:ascii="Arial" w:hAnsi="Arial"/>
          <w:color w:val="000000" w:themeColor="text1"/>
          <w:sz w:val="16"/>
          <w:szCs w:val="16"/>
        </w:rPr>
      </w:pPr>
      <w:r w:rsidRPr="0049283D">
        <w:rPr>
          <w:rFonts w:ascii="Arial" w:hAnsi="Arial"/>
          <w:color w:val="000000" w:themeColor="text1"/>
          <w:sz w:val="16"/>
          <w:szCs w:val="16"/>
        </w:rPr>
        <w:t>Note: the horizontal dashed line at value ‘1.0’ indicates where the ratio would be if children and those aged 65+ had the same chance of having housing costs greater than 40%.</w:t>
      </w:r>
    </w:p>
    <w:p w14:paraId="219B868C" w14:textId="77777777" w:rsidR="00143BAA" w:rsidRDefault="00143BAA" w:rsidP="00143BAA">
      <w:pPr>
        <w:spacing w:after="0" w:line="240" w:lineRule="auto"/>
        <w:rPr>
          <w:rFonts w:ascii="Arial" w:eastAsia="Times New Roman" w:hAnsi="Arial"/>
          <w:bCs/>
          <w:szCs w:val="20"/>
          <w:lang w:val="en-GB"/>
        </w:rPr>
      </w:pPr>
    </w:p>
    <w:p w14:paraId="5AEA0E04" w14:textId="77777777" w:rsidR="00A319FC" w:rsidRPr="006E6B58" w:rsidRDefault="00A319FC" w:rsidP="00A319FC">
      <w:pPr>
        <w:spacing w:after="0" w:line="240" w:lineRule="auto"/>
        <w:ind w:left="360" w:hanging="360"/>
        <w:rPr>
          <w:rFonts w:ascii="Arial" w:eastAsia="Times New Roman" w:hAnsi="Arial"/>
          <w:b/>
          <w:color w:val="FF0000"/>
          <w:sz w:val="14"/>
          <w:szCs w:val="14"/>
          <w:lang w:val="en-GB"/>
        </w:rPr>
      </w:pPr>
      <w:bookmarkStart w:id="2" w:name="_Hlk69436109"/>
      <w:bookmarkEnd w:id="0"/>
      <w:bookmarkEnd w:id="1"/>
      <w:r w:rsidRPr="003473FD">
        <w:rPr>
          <w:rFonts w:ascii="Arial" w:eastAsia="Times New Roman" w:hAnsi="Arial"/>
          <w:b/>
          <w:sz w:val="32"/>
          <w:szCs w:val="32"/>
          <w:lang w:val="en-GB"/>
        </w:rPr>
        <w:lastRenderedPageBreak/>
        <w:t>Contents</w:t>
      </w:r>
    </w:p>
    <w:p w14:paraId="60289BFC" w14:textId="77777777" w:rsidR="00A319FC" w:rsidRPr="000D7A23" w:rsidRDefault="00A319FC" w:rsidP="00A319FC">
      <w:pPr>
        <w:spacing w:after="0" w:line="240" w:lineRule="auto"/>
        <w:jc w:val="both"/>
        <w:rPr>
          <w:rFonts w:ascii="Arial" w:eastAsia="Times New Roman" w:hAnsi="Arial"/>
          <w:sz w:val="22"/>
          <w:lang w:val="en-GB"/>
        </w:rPr>
      </w:pPr>
    </w:p>
    <w:p w14:paraId="10F503B1" w14:textId="77777777" w:rsidR="00A319FC" w:rsidRDefault="00A319FC" w:rsidP="00A319FC">
      <w:pPr>
        <w:keepNext/>
        <w:tabs>
          <w:tab w:val="left" w:pos="1800"/>
          <w:tab w:val="right" w:pos="9000"/>
        </w:tabs>
        <w:spacing w:after="0" w:line="240" w:lineRule="auto"/>
        <w:outlineLvl w:val="0"/>
        <w:rPr>
          <w:rFonts w:ascii="Arial" w:eastAsia="Times New Roman" w:hAnsi="Arial" w:cs="Times New Roman"/>
          <w:sz w:val="22"/>
          <w:szCs w:val="20"/>
        </w:rPr>
      </w:pPr>
    </w:p>
    <w:p w14:paraId="229B5B6B" w14:textId="2DD006B2" w:rsidR="00A319FC" w:rsidRPr="000D7A23" w:rsidRDefault="00A319FC" w:rsidP="00A319FC">
      <w:pPr>
        <w:keepNext/>
        <w:tabs>
          <w:tab w:val="left" w:pos="1800"/>
          <w:tab w:val="right" w:pos="8280"/>
          <w:tab w:val="right" w:pos="9000"/>
        </w:tabs>
        <w:spacing w:after="0" w:line="240" w:lineRule="auto"/>
        <w:outlineLvl w:val="0"/>
        <w:rPr>
          <w:rFonts w:ascii="Arial" w:eastAsia="Times New Roman" w:hAnsi="Arial"/>
          <w:b/>
          <w:bCs/>
          <w:kern w:val="32"/>
          <w:sz w:val="22"/>
        </w:rPr>
      </w:pPr>
      <w:r>
        <w:rPr>
          <w:rFonts w:ascii="Arial" w:eastAsia="Times New Roman" w:hAnsi="Arial"/>
          <w:b/>
          <w:bCs/>
          <w:kern w:val="32"/>
          <w:sz w:val="22"/>
        </w:rPr>
        <w:t xml:space="preserve">Glossary and </w:t>
      </w:r>
      <w:r w:rsidRPr="000D7A23">
        <w:rPr>
          <w:rFonts w:ascii="Arial" w:eastAsia="Times New Roman" w:hAnsi="Arial"/>
          <w:b/>
          <w:bCs/>
          <w:kern w:val="32"/>
          <w:sz w:val="22"/>
        </w:rPr>
        <w:t>Abbreviations</w:t>
      </w:r>
      <w:r>
        <w:rPr>
          <w:rFonts w:ascii="Arial" w:eastAsia="Times New Roman" w:hAnsi="Arial"/>
          <w:kern w:val="32"/>
          <w:sz w:val="22"/>
        </w:rPr>
        <w:tab/>
        <w:t>…………</w:t>
      </w:r>
      <w:r w:rsidRPr="000D7A23">
        <w:rPr>
          <w:rFonts w:ascii="Arial" w:eastAsia="Times New Roman" w:hAnsi="Arial"/>
          <w:bCs/>
          <w:kern w:val="32"/>
          <w:sz w:val="22"/>
        </w:rPr>
        <w:t>……</w:t>
      </w:r>
      <w:r w:rsidRPr="000D7A23">
        <w:rPr>
          <w:rFonts w:ascii="Arial" w:eastAsia="Times New Roman" w:hAnsi="Arial"/>
          <w:bCs/>
          <w:kern w:val="32"/>
        </w:rPr>
        <w:t>…………………………………………………..</w:t>
      </w:r>
      <w:r w:rsidRPr="000D7A23">
        <w:rPr>
          <w:rFonts w:ascii="Arial" w:eastAsia="Times New Roman" w:hAnsi="Arial"/>
          <w:bCs/>
          <w:kern w:val="32"/>
        </w:rPr>
        <w:tab/>
      </w:r>
      <w:r w:rsidR="00FF4BB5">
        <w:rPr>
          <w:rFonts w:ascii="Arial" w:eastAsia="Times New Roman" w:hAnsi="Arial"/>
          <w:bCs/>
          <w:kern w:val="32"/>
          <w:sz w:val="18"/>
          <w:szCs w:val="18"/>
        </w:rPr>
        <w:t>10</w:t>
      </w:r>
    </w:p>
    <w:p w14:paraId="3D0EE19A" w14:textId="77777777" w:rsidR="00A319FC" w:rsidRPr="000D7A23" w:rsidRDefault="00A319FC" w:rsidP="00A319FC">
      <w:pPr>
        <w:keepNext/>
        <w:tabs>
          <w:tab w:val="left" w:pos="1800"/>
          <w:tab w:val="right" w:pos="9000"/>
        </w:tabs>
        <w:spacing w:after="0" w:line="240" w:lineRule="auto"/>
        <w:ind w:left="360"/>
        <w:outlineLvl w:val="0"/>
        <w:rPr>
          <w:rFonts w:ascii="Arial" w:eastAsia="Times New Roman" w:hAnsi="Arial"/>
          <w:b/>
          <w:bCs/>
          <w:kern w:val="32"/>
          <w:sz w:val="22"/>
        </w:rPr>
      </w:pPr>
    </w:p>
    <w:p w14:paraId="7EF1A097" w14:textId="77777777" w:rsidR="00A319FC" w:rsidRDefault="00A319FC" w:rsidP="00A319FC">
      <w:pPr>
        <w:keepNext/>
        <w:tabs>
          <w:tab w:val="left" w:pos="1800"/>
          <w:tab w:val="right" w:pos="9000"/>
        </w:tabs>
        <w:spacing w:after="0" w:line="240" w:lineRule="auto"/>
        <w:outlineLvl w:val="0"/>
        <w:rPr>
          <w:rFonts w:ascii="Arial" w:eastAsia="Times New Roman" w:hAnsi="Arial" w:cs="Times New Roman"/>
          <w:sz w:val="22"/>
          <w:szCs w:val="20"/>
        </w:rPr>
      </w:pPr>
    </w:p>
    <w:p w14:paraId="16AAC448" w14:textId="77777777" w:rsidR="00A319FC" w:rsidRPr="006C6B8C" w:rsidRDefault="00A319FC" w:rsidP="00A319FC">
      <w:pPr>
        <w:keepNext/>
        <w:tabs>
          <w:tab w:val="right" w:pos="8222"/>
          <w:tab w:val="right" w:pos="9000"/>
        </w:tabs>
        <w:spacing w:after="0" w:line="240" w:lineRule="auto"/>
        <w:ind w:left="1134" w:hanging="1134"/>
        <w:outlineLvl w:val="0"/>
        <w:rPr>
          <w:rFonts w:ascii="Arial" w:eastAsia="Times New Roman" w:hAnsi="Arial"/>
          <w:bCs/>
          <w:kern w:val="32"/>
          <w:sz w:val="28"/>
          <w:szCs w:val="28"/>
        </w:rPr>
      </w:pPr>
      <w:bookmarkStart w:id="3" w:name="_Hlk66340634"/>
      <w:r w:rsidRPr="00442009">
        <w:rPr>
          <w:rFonts w:ascii="Arial" w:eastAsia="Times New Roman" w:hAnsi="Arial"/>
          <w:b/>
          <w:bCs/>
          <w:kern w:val="32"/>
          <w:sz w:val="24"/>
          <w:szCs w:val="24"/>
        </w:rPr>
        <w:t>PART 1</w:t>
      </w:r>
      <w:r>
        <w:rPr>
          <w:rFonts w:ascii="Arial" w:eastAsia="Times New Roman" w:hAnsi="Arial"/>
          <w:b/>
          <w:bCs/>
          <w:kern w:val="32"/>
          <w:sz w:val="24"/>
          <w:szCs w:val="24"/>
        </w:rPr>
        <w:t>:</w:t>
      </w:r>
      <w:r>
        <w:rPr>
          <w:rFonts w:ascii="Arial" w:eastAsia="Times New Roman" w:hAnsi="Arial"/>
          <w:b/>
          <w:bCs/>
          <w:kern w:val="32"/>
          <w:sz w:val="24"/>
          <w:szCs w:val="24"/>
        </w:rPr>
        <w:tab/>
      </w:r>
      <w:r w:rsidRPr="00442009">
        <w:rPr>
          <w:rFonts w:ascii="Arial" w:eastAsia="Times New Roman" w:hAnsi="Arial" w:cs="Times New Roman"/>
          <w:b/>
          <w:sz w:val="24"/>
          <w:szCs w:val="24"/>
          <w:lang w:val="en-GB"/>
        </w:rPr>
        <w:t>Definitions and other contextual information</w:t>
      </w:r>
      <w:r w:rsidRPr="006C6B8C">
        <w:rPr>
          <w:rFonts w:ascii="Arial" w:eastAsia="Times New Roman" w:hAnsi="Arial"/>
          <w:b/>
          <w:bCs/>
          <w:kern w:val="32"/>
          <w:sz w:val="28"/>
          <w:szCs w:val="28"/>
        </w:rPr>
        <w:tab/>
      </w:r>
    </w:p>
    <w:p w14:paraId="3038C8B6" w14:textId="77777777" w:rsidR="00A319FC"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bookmarkStart w:id="4" w:name="_Hlk66340675"/>
      <w:bookmarkEnd w:id="3"/>
      <w:r w:rsidRPr="00BD4AC3">
        <w:rPr>
          <w:rFonts w:ascii="Arial" w:eastAsia="Times New Roman" w:hAnsi="Arial" w:cs="Times New Roman"/>
          <w:bCs/>
          <w:sz w:val="18"/>
          <w:szCs w:val="18"/>
          <w:lang w:val="en-GB"/>
        </w:rPr>
        <w:t>The different tenures used in housing affordability reports</w:t>
      </w:r>
      <w:r>
        <w:rPr>
          <w:rFonts w:ascii="Arial" w:eastAsia="Times New Roman" w:hAnsi="Arial" w:cs="Times New Roman"/>
          <w:bCs/>
          <w:sz w:val="18"/>
          <w:szCs w:val="18"/>
          <w:lang w:val="en-GB"/>
        </w:rPr>
        <w:tab/>
      </w:r>
      <w:r>
        <w:rPr>
          <w:rFonts w:ascii="Arial" w:eastAsia="Times New Roman" w:hAnsi="Arial"/>
          <w:color w:val="000000"/>
          <w:sz w:val="18"/>
          <w:szCs w:val="18"/>
          <w:lang w:val="en-GB"/>
        </w:rPr>
        <w:t>…..………………….</w:t>
      </w:r>
      <w:r w:rsidRPr="000B3F73">
        <w:rPr>
          <w:rFonts w:ascii="Arial" w:eastAsia="Times New Roman" w:hAnsi="Arial"/>
          <w:color w:val="000000"/>
          <w:sz w:val="18"/>
          <w:szCs w:val="18"/>
          <w:lang w:val="en-GB"/>
        </w:rPr>
        <w:t>…………….………</w:t>
      </w:r>
      <w:r w:rsidRPr="000B3F73">
        <w:rPr>
          <w:rFonts w:ascii="Arial" w:eastAsia="Times New Roman" w:hAnsi="Arial"/>
          <w:color w:val="000000"/>
          <w:sz w:val="18"/>
          <w:szCs w:val="18"/>
          <w:lang w:val="en-GB"/>
        </w:rPr>
        <w:tab/>
      </w:r>
      <w:r>
        <w:rPr>
          <w:rFonts w:ascii="Arial" w:eastAsia="Times New Roman" w:hAnsi="Arial"/>
          <w:color w:val="000000"/>
          <w:sz w:val="18"/>
          <w:szCs w:val="18"/>
          <w:lang w:val="en-GB"/>
        </w:rPr>
        <w:t>11</w:t>
      </w:r>
    </w:p>
    <w:p w14:paraId="0D78BDB2" w14:textId="77777777" w:rsidR="00A319FC"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sz w:val="18"/>
          <w:szCs w:val="18"/>
          <w:lang w:val="en-GB"/>
        </w:rPr>
        <w:t>Tenure</w:t>
      </w:r>
      <w:r w:rsidRPr="00315C3F">
        <w:rPr>
          <w:rFonts w:ascii="Arial" w:eastAsia="Times New Roman" w:hAnsi="Arial" w:cs="Times New Roman"/>
          <w:sz w:val="18"/>
          <w:szCs w:val="18"/>
          <w:lang w:val="en-GB"/>
        </w:rPr>
        <w:t xml:space="preserve"> distribution for OECD countries</w:t>
      </w:r>
      <w:r w:rsidRPr="00315C3F">
        <w:rPr>
          <w:rFonts w:ascii="Arial" w:eastAsia="Times New Roman" w:hAnsi="Arial" w:cs="Times New Roman"/>
          <w:sz w:val="18"/>
          <w:szCs w:val="18"/>
          <w:lang w:val="en-GB"/>
        </w:rPr>
        <w:tab/>
      </w:r>
      <w:r>
        <w:rPr>
          <w:rFonts w:ascii="Arial" w:eastAsia="Times New Roman" w:hAnsi="Arial" w:cs="Times New Roman"/>
          <w:sz w:val="18"/>
          <w:szCs w:val="18"/>
          <w:lang w:val="en-GB"/>
        </w:rPr>
        <w:t>………………..</w:t>
      </w:r>
      <w:r w:rsidRPr="00315C3F">
        <w:rPr>
          <w:rFonts w:ascii="Arial" w:eastAsia="Times New Roman" w:hAnsi="Arial" w:cs="Times New Roman"/>
          <w:sz w:val="18"/>
          <w:szCs w:val="18"/>
          <w:lang w:val="en-GB"/>
        </w:rPr>
        <w:t>……….……….….……………………………</w:t>
      </w:r>
      <w:r w:rsidRPr="00315C3F">
        <w:rPr>
          <w:rFonts w:ascii="Arial" w:eastAsia="Times New Roman" w:hAnsi="Arial" w:cs="Times New Roman"/>
          <w:sz w:val="18"/>
          <w:szCs w:val="18"/>
          <w:lang w:val="en-GB"/>
        </w:rPr>
        <w:tab/>
        <w:t>1</w:t>
      </w:r>
      <w:r>
        <w:rPr>
          <w:rFonts w:ascii="Arial" w:eastAsia="Times New Roman" w:hAnsi="Arial" w:cs="Times New Roman"/>
          <w:sz w:val="18"/>
          <w:szCs w:val="18"/>
          <w:lang w:val="en-GB"/>
        </w:rPr>
        <w:t>2</w:t>
      </w:r>
    </w:p>
    <w:p w14:paraId="6C120564" w14:textId="77777777" w:rsidR="00A319FC" w:rsidRPr="00BD4AC3"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bCs/>
          <w:sz w:val="18"/>
          <w:szCs w:val="18"/>
          <w:lang w:val="en-GB"/>
        </w:rPr>
        <w:t>Tenure distribution across household income quintiles and age groups for New Zealand</w:t>
      </w:r>
      <w:r w:rsidRPr="000B3F73">
        <w:rPr>
          <w:rFonts w:ascii="Arial" w:eastAsia="Times New Roman" w:hAnsi="Arial"/>
          <w:color w:val="000000"/>
          <w:sz w:val="18"/>
          <w:szCs w:val="18"/>
          <w:lang w:val="en-GB"/>
        </w:rPr>
        <w:t xml:space="preserve"> </w:t>
      </w:r>
      <w:r w:rsidRPr="000B3F73">
        <w:rPr>
          <w:rFonts w:ascii="Arial" w:eastAsia="Times New Roman" w:hAnsi="Arial"/>
          <w:color w:val="000000"/>
          <w:sz w:val="18"/>
          <w:szCs w:val="18"/>
          <w:lang w:val="en-GB"/>
        </w:rPr>
        <w:tab/>
      </w:r>
      <w:r>
        <w:rPr>
          <w:rFonts w:ascii="Arial" w:eastAsia="Times New Roman" w:hAnsi="Arial"/>
          <w:color w:val="000000"/>
          <w:sz w:val="18"/>
          <w:szCs w:val="18"/>
          <w:lang w:val="en-GB"/>
        </w:rPr>
        <w:t>.</w:t>
      </w:r>
      <w:r w:rsidRPr="000B3F73">
        <w:rPr>
          <w:rFonts w:ascii="Arial" w:eastAsia="Times New Roman" w:hAnsi="Arial"/>
          <w:color w:val="000000"/>
          <w:sz w:val="18"/>
          <w:szCs w:val="18"/>
          <w:lang w:val="en-GB"/>
        </w:rPr>
        <w:t>….………</w:t>
      </w:r>
      <w:r w:rsidRPr="000B3F73">
        <w:rPr>
          <w:rFonts w:ascii="Arial" w:eastAsia="Times New Roman" w:hAnsi="Arial"/>
          <w:color w:val="000000"/>
          <w:sz w:val="18"/>
          <w:szCs w:val="18"/>
          <w:lang w:val="en-GB"/>
        </w:rPr>
        <w:tab/>
        <w:t>1</w:t>
      </w:r>
      <w:r>
        <w:rPr>
          <w:rFonts w:ascii="Arial" w:eastAsia="Times New Roman" w:hAnsi="Arial"/>
          <w:color w:val="000000"/>
          <w:sz w:val="18"/>
          <w:szCs w:val="18"/>
          <w:lang w:val="en-GB"/>
        </w:rPr>
        <w:t>2</w:t>
      </w:r>
    </w:p>
    <w:p w14:paraId="0A65C238" w14:textId="77777777" w:rsidR="00A319FC" w:rsidRPr="00363FC8"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sidRPr="00363FC8">
        <w:rPr>
          <w:rFonts w:ascii="Arial" w:eastAsia="Times New Roman" w:hAnsi="Arial" w:cs="Times New Roman"/>
          <w:sz w:val="18"/>
          <w:szCs w:val="18"/>
          <w:lang w:val="en-GB"/>
        </w:rPr>
        <w:t>Unit for presentation: individuals or households?</w:t>
      </w:r>
      <w:r w:rsidRPr="00363FC8">
        <w:rPr>
          <w:rFonts w:ascii="Arial" w:eastAsia="Times New Roman" w:hAnsi="Arial" w:cs="Times New Roman"/>
          <w:sz w:val="18"/>
          <w:szCs w:val="18"/>
          <w:lang w:val="en-GB"/>
        </w:rPr>
        <w:tab/>
      </w:r>
      <w:r>
        <w:rPr>
          <w:rFonts w:ascii="Arial" w:eastAsia="Times New Roman" w:hAnsi="Arial" w:cs="Times New Roman"/>
          <w:sz w:val="18"/>
          <w:szCs w:val="18"/>
          <w:lang w:val="en-GB"/>
        </w:rPr>
        <w:t>……….</w:t>
      </w:r>
      <w:r w:rsidRPr="00363FC8">
        <w:rPr>
          <w:rFonts w:ascii="Arial" w:eastAsia="Times New Roman" w:hAnsi="Arial" w:cs="Times New Roman"/>
          <w:sz w:val="18"/>
          <w:szCs w:val="18"/>
          <w:lang w:val="en-GB"/>
        </w:rPr>
        <w:t>……………..…………………………………</w:t>
      </w:r>
      <w:r w:rsidRPr="00363FC8">
        <w:rPr>
          <w:rFonts w:ascii="Arial" w:eastAsia="Times New Roman" w:hAnsi="Arial" w:cs="Times New Roman"/>
          <w:sz w:val="18"/>
          <w:szCs w:val="18"/>
          <w:lang w:val="en-GB"/>
        </w:rPr>
        <w:tab/>
      </w:r>
      <w:r>
        <w:rPr>
          <w:rFonts w:ascii="Arial" w:eastAsia="Times New Roman" w:hAnsi="Arial" w:cs="Times New Roman"/>
          <w:sz w:val="18"/>
          <w:szCs w:val="18"/>
          <w:lang w:val="en-GB"/>
        </w:rPr>
        <w:t>14</w:t>
      </w:r>
    </w:p>
    <w:p w14:paraId="7CD89F9A" w14:textId="77777777" w:rsidR="00A319FC" w:rsidRPr="000B3F73"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sz w:val="18"/>
          <w:szCs w:val="18"/>
          <w:lang w:val="en-GB"/>
        </w:rPr>
        <w:t>Defining housing costs</w:t>
      </w:r>
      <w:r w:rsidRPr="000B3F73">
        <w:rPr>
          <w:rFonts w:ascii="Arial" w:eastAsia="Times New Roman" w:hAnsi="Arial" w:cs="Times New Roman"/>
          <w:sz w:val="18"/>
          <w:szCs w:val="18"/>
          <w:lang w:val="en-GB"/>
        </w:rPr>
        <w:t xml:space="preserve">   </w:t>
      </w:r>
      <w:r w:rsidRPr="000B3F73">
        <w:rPr>
          <w:rFonts w:ascii="Arial" w:eastAsia="Times New Roman" w:hAnsi="Arial" w:cs="Times New Roman"/>
          <w:sz w:val="18"/>
          <w:szCs w:val="18"/>
          <w:lang w:val="en-GB"/>
        </w:rPr>
        <w:tab/>
      </w:r>
      <w:r>
        <w:rPr>
          <w:rFonts w:ascii="Arial" w:eastAsia="Times New Roman" w:hAnsi="Arial" w:cs="Times New Roman"/>
          <w:sz w:val="18"/>
          <w:szCs w:val="18"/>
          <w:lang w:val="en-GB"/>
        </w:rPr>
        <w:t>………………..…………</w:t>
      </w:r>
      <w:r w:rsidRPr="000B3F73">
        <w:rPr>
          <w:rFonts w:ascii="Arial" w:eastAsia="Times New Roman" w:hAnsi="Arial" w:cs="Times New Roman"/>
          <w:sz w:val="18"/>
          <w:szCs w:val="18"/>
          <w:lang w:val="en-GB"/>
        </w:rPr>
        <w:t>…………………………………………………………</w:t>
      </w:r>
      <w:r w:rsidRPr="000B3F73">
        <w:rPr>
          <w:rFonts w:ascii="Arial" w:eastAsia="Times New Roman" w:hAnsi="Arial" w:cs="Times New Roman"/>
          <w:sz w:val="18"/>
          <w:szCs w:val="18"/>
          <w:lang w:val="en-GB"/>
        </w:rPr>
        <w:tab/>
        <w:t>1</w:t>
      </w:r>
      <w:r>
        <w:rPr>
          <w:rFonts w:ascii="Arial" w:eastAsia="Times New Roman" w:hAnsi="Arial" w:cs="Times New Roman"/>
          <w:sz w:val="18"/>
          <w:szCs w:val="18"/>
          <w:lang w:val="en-GB"/>
        </w:rPr>
        <w:t>5</w:t>
      </w:r>
    </w:p>
    <w:p w14:paraId="1D6FDF2B" w14:textId="77777777" w:rsidR="00A319FC" w:rsidRPr="000B3F73"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sz w:val="18"/>
          <w:szCs w:val="18"/>
          <w:lang w:val="en-GB"/>
        </w:rPr>
        <w:t>Interpreting the rankings</w:t>
      </w:r>
      <w:r>
        <w:rPr>
          <w:rFonts w:ascii="Arial" w:eastAsia="Times New Roman" w:hAnsi="Arial" w:cs="Times New Roman"/>
          <w:sz w:val="18"/>
          <w:szCs w:val="18"/>
          <w:lang w:val="en-GB"/>
        </w:rPr>
        <w:tab/>
        <w:t>..…………………………………………………………………………………..</w:t>
      </w:r>
      <w:r>
        <w:rPr>
          <w:rFonts w:ascii="Arial" w:eastAsia="Times New Roman" w:hAnsi="Arial" w:cs="Times New Roman"/>
          <w:sz w:val="18"/>
          <w:szCs w:val="18"/>
          <w:lang w:val="en-GB"/>
        </w:rPr>
        <w:tab/>
        <w:t>15</w:t>
      </w:r>
    </w:p>
    <w:p w14:paraId="67D130C9" w14:textId="77777777" w:rsidR="00A319FC"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sz w:val="18"/>
          <w:szCs w:val="18"/>
          <w:lang w:val="en-GB"/>
        </w:rPr>
        <w:t xml:space="preserve">House prices in New Zealand: trends relative to other OECD countries </w:t>
      </w:r>
      <w:r>
        <w:rPr>
          <w:rFonts w:ascii="Arial" w:eastAsia="Times New Roman" w:hAnsi="Arial" w:cs="Times New Roman"/>
          <w:sz w:val="18"/>
          <w:szCs w:val="18"/>
          <w:lang w:val="en-GB"/>
        </w:rPr>
        <w:tab/>
        <w:t>…………….…………………</w:t>
      </w:r>
      <w:r w:rsidRPr="000B3F73">
        <w:rPr>
          <w:rFonts w:ascii="Arial" w:eastAsia="Times New Roman" w:hAnsi="Arial" w:cs="Times New Roman"/>
          <w:sz w:val="18"/>
          <w:szCs w:val="18"/>
          <w:lang w:val="en-GB"/>
        </w:rPr>
        <w:tab/>
        <w:t>1</w:t>
      </w:r>
      <w:bookmarkEnd w:id="4"/>
      <w:r>
        <w:rPr>
          <w:rFonts w:ascii="Arial" w:eastAsia="Times New Roman" w:hAnsi="Arial" w:cs="Times New Roman"/>
          <w:sz w:val="18"/>
          <w:szCs w:val="18"/>
          <w:lang w:val="en-GB"/>
        </w:rPr>
        <w:t>6</w:t>
      </w:r>
    </w:p>
    <w:p w14:paraId="5F4989C0" w14:textId="77777777" w:rsidR="00A319FC" w:rsidRPr="00C60281"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sidRPr="00C60281">
        <w:rPr>
          <w:rFonts w:ascii="Arial" w:hAnsi="Arial"/>
          <w:sz w:val="18"/>
          <w:szCs w:val="20"/>
        </w:rPr>
        <w:t>Timeframe for survey and other data used for the Findings in this report</w:t>
      </w:r>
      <w:r>
        <w:rPr>
          <w:rFonts w:ascii="Arial" w:hAnsi="Arial"/>
          <w:sz w:val="18"/>
          <w:szCs w:val="20"/>
        </w:rPr>
        <w:tab/>
        <w:t>……………………………</w:t>
      </w:r>
      <w:r>
        <w:rPr>
          <w:rFonts w:ascii="Arial" w:hAnsi="Arial"/>
          <w:sz w:val="18"/>
          <w:szCs w:val="20"/>
        </w:rPr>
        <w:tab/>
        <w:t>16</w:t>
      </w:r>
    </w:p>
    <w:p w14:paraId="233678D2" w14:textId="77777777" w:rsidR="00A319FC" w:rsidRDefault="00A319FC" w:rsidP="00A319FC">
      <w:pPr>
        <w:keepNext/>
        <w:tabs>
          <w:tab w:val="left" w:pos="1276"/>
        </w:tabs>
        <w:spacing w:after="0" w:line="240" w:lineRule="auto"/>
        <w:ind w:left="1276" w:hanging="1276"/>
        <w:outlineLvl w:val="0"/>
        <w:rPr>
          <w:rFonts w:ascii="Arial" w:eastAsia="Times New Roman" w:hAnsi="Arial"/>
          <w:b/>
          <w:bCs/>
          <w:kern w:val="32"/>
          <w:sz w:val="24"/>
          <w:szCs w:val="24"/>
        </w:rPr>
      </w:pPr>
    </w:p>
    <w:p w14:paraId="7BC5E39B" w14:textId="77777777" w:rsidR="00A319FC" w:rsidRDefault="00A319FC" w:rsidP="00A319FC">
      <w:pPr>
        <w:keepNext/>
        <w:spacing w:after="0" w:line="240" w:lineRule="auto"/>
        <w:ind w:left="1134" w:hanging="1134"/>
        <w:outlineLvl w:val="0"/>
        <w:rPr>
          <w:rFonts w:ascii="Arial" w:eastAsia="Times New Roman" w:hAnsi="Arial"/>
          <w:b/>
          <w:bCs/>
          <w:kern w:val="32"/>
          <w:sz w:val="24"/>
          <w:szCs w:val="24"/>
        </w:rPr>
      </w:pPr>
    </w:p>
    <w:p w14:paraId="71B9B0E9" w14:textId="77777777" w:rsidR="00A319FC" w:rsidRPr="00442009" w:rsidRDefault="00A319FC" w:rsidP="00A319FC">
      <w:pPr>
        <w:keepNext/>
        <w:spacing w:after="0" w:line="240" w:lineRule="auto"/>
        <w:ind w:left="1134" w:hanging="1134"/>
        <w:outlineLvl w:val="0"/>
        <w:rPr>
          <w:rFonts w:ascii="Arial" w:eastAsia="Times New Roman" w:hAnsi="Arial"/>
          <w:b/>
          <w:bCs/>
          <w:kern w:val="32"/>
          <w:sz w:val="24"/>
          <w:szCs w:val="24"/>
        </w:rPr>
      </w:pPr>
      <w:r w:rsidRPr="00442009">
        <w:rPr>
          <w:rFonts w:ascii="Arial" w:eastAsia="Times New Roman" w:hAnsi="Arial"/>
          <w:b/>
          <w:bCs/>
          <w:kern w:val="32"/>
          <w:sz w:val="24"/>
          <w:szCs w:val="24"/>
        </w:rPr>
        <w:t>PART 2</w:t>
      </w:r>
      <w:r>
        <w:rPr>
          <w:rFonts w:ascii="Arial" w:eastAsia="Times New Roman" w:hAnsi="Arial"/>
          <w:b/>
          <w:bCs/>
          <w:kern w:val="32"/>
          <w:sz w:val="24"/>
          <w:szCs w:val="24"/>
        </w:rPr>
        <w:t>:</w:t>
      </w:r>
      <w:r w:rsidRPr="00442009">
        <w:rPr>
          <w:rFonts w:ascii="Arial" w:eastAsia="Times New Roman" w:hAnsi="Arial"/>
          <w:b/>
          <w:bCs/>
          <w:kern w:val="32"/>
          <w:sz w:val="24"/>
          <w:szCs w:val="24"/>
        </w:rPr>
        <w:tab/>
      </w:r>
      <w:r w:rsidRPr="00442009">
        <w:rPr>
          <w:rFonts w:ascii="Arial" w:eastAsia="Times New Roman" w:hAnsi="Arial" w:cs="Times New Roman"/>
          <w:b/>
          <w:sz w:val="24"/>
          <w:szCs w:val="24"/>
          <w:lang w:val="en-GB"/>
        </w:rPr>
        <w:t>Findings</w:t>
      </w:r>
    </w:p>
    <w:p w14:paraId="7BC4C15E" w14:textId="77777777" w:rsidR="00A319FC" w:rsidRDefault="00A319FC" w:rsidP="00A319FC">
      <w:pPr>
        <w:keepNext/>
        <w:tabs>
          <w:tab w:val="left" w:pos="1440"/>
        </w:tabs>
        <w:spacing w:after="0" w:line="240" w:lineRule="auto"/>
        <w:ind w:left="1440" w:hanging="1440"/>
        <w:outlineLvl w:val="0"/>
        <w:rPr>
          <w:rFonts w:ascii="Arial" w:eastAsia="Times New Roman" w:hAnsi="Arial"/>
          <w:b/>
          <w:bCs/>
          <w:kern w:val="32"/>
          <w:sz w:val="24"/>
          <w:szCs w:val="28"/>
        </w:rPr>
      </w:pPr>
    </w:p>
    <w:p w14:paraId="463B348D" w14:textId="77777777" w:rsidR="00A319FC" w:rsidRPr="00442009" w:rsidRDefault="00A319FC" w:rsidP="00A319FC">
      <w:pPr>
        <w:keepNext/>
        <w:tabs>
          <w:tab w:val="left" w:pos="1440"/>
        </w:tabs>
        <w:spacing w:after="0" w:line="240" w:lineRule="auto"/>
        <w:ind w:left="1440" w:hanging="1440"/>
        <w:outlineLvl w:val="0"/>
        <w:rPr>
          <w:rFonts w:ascii="Arial" w:eastAsia="Times New Roman" w:hAnsi="Arial"/>
          <w:b/>
          <w:bCs/>
          <w:kern w:val="32"/>
          <w:szCs w:val="20"/>
        </w:rPr>
      </w:pPr>
      <w:r w:rsidRPr="00442009">
        <w:rPr>
          <w:rFonts w:ascii="Arial" w:eastAsia="Times New Roman" w:hAnsi="Arial"/>
          <w:b/>
          <w:bCs/>
          <w:kern w:val="32"/>
          <w:szCs w:val="20"/>
        </w:rPr>
        <w:t>OECD comparisons</w:t>
      </w:r>
    </w:p>
    <w:p w14:paraId="685BD35F" w14:textId="77777777" w:rsidR="00A319FC" w:rsidRDefault="00A319FC" w:rsidP="00A319FC">
      <w:pPr>
        <w:tabs>
          <w:tab w:val="right" w:pos="8280"/>
          <w:tab w:val="right" w:pos="9000"/>
        </w:tabs>
        <w:spacing w:before="80" w:after="0" w:line="240" w:lineRule="auto"/>
        <w:ind w:left="357"/>
        <w:rPr>
          <w:rFonts w:ascii="Arial" w:eastAsia="Times New Roman" w:hAnsi="Arial" w:cs="Times New Roman"/>
          <w:sz w:val="18"/>
          <w:szCs w:val="18"/>
          <w:lang w:val="en-GB"/>
        </w:rPr>
      </w:pPr>
      <w:r>
        <w:rPr>
          <w:rFonts w:ascii="Arial" w:eastAsia="Times New Roman" w:hAnsi="Arial" w:cs="Times New Roman"/>
          <w:sz w:val="18"/>
          <w:szCs w:val="20"/>
          <w:lang w:val="en-GB"/>
        </w:rPr>
        <w:t>Introduction</w:t>
      </w:r>
      <w:r>
        <w:rPr>
          <w:rFonts w:ascii="Arial" w:eastAsia="Times New Roman" w:hAnsi="Arial" w:cs="Times New Roman"/>
          <w:sz w:val="18"/>
          <w:szCs w:val="20"/>
          <w:lang w:val="en-GB"/>
        </w:rPr>
        <w:tab/>
        <w:t>……………………………………………….</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r>
      <w:r>
        <w:rPr>
          <w:rFonts w:ascii="Arial" w:eastAsia="Times New Roman" w:hAnsi="Arial" w:cs="Times New Roman"/>
          <w:sz w:val="18"/>
          <w:szCs w:val="18"/>
          <w:lang w:val="en-GB"/>
        </w:rPr>
        <w:t>17</w:t>
      </w:r>
    </w:p>
    <w:p w14:paraId="25C8CEA9" w14:textId="77777777" w:rsidR="00A319FC" w:rsidRDefault="00A319FC" w:rsidP="00A319FC">
      <w:pPr>
        <w:tabs>
          <w:tab w:val="right" w:pos="8280"/>
          <w:tab w:val="right" w:pos="9000"/>
        </w:tabs>
        <w:spacing w:before="80" w:after="0" w:line="240" w:lineRule="auto"/>
        <w:ind w:left="357"/>
        <w:rPr>
          <w:rFonts w:ascii="Arial" w:eastAsia="Times New Roman" w:hAnsi="Arial" w:cs="Times New Roman"/>
          <w:sz w:val="18"/>
          <w:szCs w:val="18"/>
        </w:rPr>
      </w:pPr>
      <w:r w:rsidRPr="00BD4AC3">
        <w:rPr>
          <w:rFonts w:ascii="Arial" w:eastAsia="Times New Roman" w:hAnsi="Arial" w:cs="Times New Roman"/>
          <w:sz w:val="18"/>
          <w:szCs w:val="18"/>
        </w:rPr>
        <w:t xml:space="preserve">Individuals in </w:t>
      </w:r>
      <w:r>
        <w:rPr>
          <w:rFonts w:ascii="Arial" w:eastAsia="Times New Roman" w:hAnsi="Arial" w:cs="Times New Roman"/>
          <w:sz w:val="18"/>
          <w:szCs w:val="18"/>
        </w:rPr>
        <w:t xml:space="preserve">low-income </w:t>
      </w:r>
      <w:r w:rsidRPr="00BD4AC3">
        <w:rPr>
          <w:rFonts w:ascii="Arial" w:eastAsia="Times New Roman" w:hAnsi="Arial" w:cs="Times New Roman"/>
          <w:sz w:val="18"/>
          <w:szCs w:val="18"/>
        </w:rPr>
        <w:t xml:space="preserve">households spending more than 40% of their income on housing costs </w:t>
      </w:r>
    </w:p>
    <w:p w14:paraId="23ACF97F" w14:textId="77777777" w:rsidR="00A319FC" w:rsidRDefault="00A319FC" w:rsidP="00A319FC">
      <w:pPr>
        <w:tabs>
          <w:tab w:val="right" w:pos="8280"/>
          <w:tab w:val="right" w:pos="9000"/>
        </w:tabs>
        <w:spacing w:after="0" w:line="240" w:lineRule="auto"/>
        <w:ind w:left="357"/>
        <w:rPr>
          <w:rFonts w:ascii="Arial" w:eastAsia="Times New Roman" w:hAnsi="Arial" w:cs="Times New Roman"/>
          <w:sz w:val="18"/>
          <w:szCs w:val="20"/>
          <w:lang w:val="en-GB"/>
        </w:rPr>
      </w:pPr>
      <w:r w:rsidRPr="00BD4AC3">
        <w:rPr>
          <w:rFonts w:ascii="Arial" w:eastAsia="Times New Roman" w:hAnsi="Arial" w:cs="Times New Roman"/>
          <w:sz w:val="18"/>
          <w:szCs w:val="18"/>
        </w:rPr>
        <w:t>(private rent and mortgage)</w:t>
      </w:r>
      <w:r>
        <w:rPr>
          <w:rFonts w:ascii="Arial" w:eastAsia="Times New Roman" w:hAnsi="Arial" w:cs="Times New Roman"/>
          <w:sz w:val="18"/>
          <w:szCs w:val="18"/>
        </w:rPr>
        <w:t xml:space="preserve">    </w:t>
      </w:r>
      <w:r>
        <w:rPr>
          <w:rFonts w:ascii="Arial" w:eastAsia="Times New Roman" w:hAnsi="Arial" w:cs="Times New Roman"/>
          <w:sz w:val="18"/>
          <w:szCs w:val="20"/>
          <w:lang w:val="en-GB"/>
        </w:rPr>
        <w:t>………………………………………………………………………………..</w:t>
      </w:r>
      <w:r>
        <w:rPr>
          <w:rFonts w:ascii="Arial" w:eastAsia="Times New Roman" w:hAnsi="Arial" w:cs="Times New Roman"/>
          <w:sz w:val="18"/>
          <w:szCs w:val="20"/>
          <w:lang w:val="en-GB"/>
        </w:rPr>
        <w:tab/>
      </w:r>
      <w:r>
        <w:rPr>
          <w:rFonts w:ascii="Arial" w:eastAsia="Times New Roman" w:hAnsi="Arial" w:cs="Times New Roman"/>
          <w:sz w:val="18"/>
          <w:szCs w:val="20"/>
          <w:lang w:val="en-GB"/>
        </w:rPr>
        <w:tab/>
        <w:t>18</w:t>
      </w:r>
    </w:p>
    <w:p w14:paraId="3DEC3748" w14:textId="77777777" w:rsidR="00A319FC" w:rsidRDefault="00A319FC" w:rsidP="00A319FC">
      <w:pPr>
        <w:tabs>
          <w:tab w:val="right" w:pos="8280"/>
          <w:tab w:val="right" w:pos="9000"/>
        </w:tabs>
        <w:spacing w:before="80" w:after="0" w:line="240" w:lineRule="auto"/>
        <w:ind w:left="357"/>
        <w:rPr>
          <w:rFonts w:ascii="Arial" w:eastAsia="Times New Roman" w:hAnsi="Arial" w:cs="Times New Roman"/>
          <w:sz w:val="18"/>
          <w:szCs w:val="20"/>
          <w:lang w:val="en-GB"/>
        </w:rPr>
      </w:pPr>
      <w:r w:rsidRPr="00BD4AC3">
        <w:rPr>
          <w:rFonts w:ascii="Arial" w:eastAsia="Times New Roman" w:hAnsi="Arial" w:cs="Times New Roman"/>
          <w:sz w:val="18"/>
          <w:szCs w:val="18"/>
        </w:rPr>
        <w:t xml:space="preserve">Individuals in </w:t>
      </w:r>
      <w:r>
        <w:rPr>
          <w:rFonts w:ascii="Arial" w:eastAsia="Times New Roman" w:hAnsi="Arial" w:cs="Times New Roman"/>
          <w:sz w:val="18"/>
          <w:szCs w:val="18"/>
        </w:rPr>
        <w:t xml:space="preserve">all </w:t>
      </w:r>
      <w:r w:rsidRPr="00BD4AC3">
        <w:rPr>
          <w:rFonts w:ascii="Arial" w:eastAsia="Times New Roman" w:hAnsi="Arial" w:cs="Times New Roman"/>
          <w:sz w:val="18"/>
          <w:szCs w:val="18"/>
        </w:rPr>
        <w:t>households spending more than 40% of their income on housing costs (private rent and mortgage, all incom</w:t>
      </w:r>
      <w:r>
        <w:rPr>
          <w:rFonts w:ascii="Arial" w:eastAsia="Times New Roman" w:hAnsi="Arial" w:cs="Times New Roman"/>
          <w:sz w:val="18"/>
          <w:szCs w:val="18"/>
        </w:rPr>
        <w:t>es)</w:t>
      </w:r>
      <w:r>
        <w:rPr>
          <w:rFonts w:ascii="Arial" w:eastAsia="Times New Roman" w:hAnsi="Arial" w:cs="Times New Roman"/>
          <w:sz w:val="18"/>
          <w:szCs w:val="20"/>
          <w:lang w:val="en-GB"/>
        </w:rPr>
        <w:tab/>
        <w:t>…………………………………………………………………………………..….</w:t>
      </w:r>
      <w:r>
        <w:rPr>
          <w:rFonts w:ascii="Arial" w:eastAsia="Times New Roman" w:hAnsi="Arial" w:cs="Times New Roman"/>
          <w:sz w:val="18"/>
          <w:szCs w:val="20"/>
          <w:lang w:val="en-GB"/>
        </w:rPr>
        <w:tab/>
        <w:t>20</w:t>
      </w:r>
    </w:p>
    <w:p w14:paraId="2A119D33" w14:textId="77777777" w:rsidR="00A319FC" w:rsidRDefault="00A319FC" w:rsidP="00A319FC">
      <w:pPr>
        <w:tabs>
          <w:tab w:val="right" w:pos="8280"/>
          <w:tab w:val="right" w:pos="9000"/>
        </w:tabs>
        <w:spacing w:before="80" w:after="0" w:line="240" w:lineRule="auto"/>
        <w:ind w:left="360"/>
        <w:rPr>
          <w:rFonts w:ascii="Arial" w:eastAsia="Times New Roman" w:hAnsi="Arial" w:cs="Times New Roman"/>
          <w:sz w:val="18"/>
          <w:szCs w:val="18"/>
          <w:lang w:val="en-GB"/>
        </w:rPr>
      </w:pPr>
      <w:r>
        <w:rPr>
          <w:rFonts w:ascii="Arial" w:eastAsia="Times New Roman" w:hAnsi="Arial" w:cs="Times New Roman"/>
          <w:sz w:val="18"/>
          <w:szCs w:val="18"/>
          <w:lang w:val="en-GB"/>
        </w:rPr>
        <w:t>Housing costs as % of income for each quintile by rent and mortgage and overall – median OTIs ....</w:t>
      </w:r>
      <w:r>
        <w:rPr>
          <w:rFonts w:ascii="Arial" w:eastAsia="Times New Roman" w:hAnsi="Arial" w:cs="Times New Roman"/>
          <w:sz w:val="18"/>
          <w:szCs w:val="18"/>
          <w:lang w:val="en-GB"/>
        </w:rPr>
        <w:tab/>
      </w:r>
      <w:r>
        <w:rPr>
          <w:rFonts w:ascii="Arial" w:eastAsia="Times New Roman" w:hAnsi="Arial" w:cs="Times New Roman"/>
          <w:sz w:val="18"/>
          <w:szCs w:val="18"/>
          <w:lang w:val="en-GB"/>
        </w:rPr>
        <w:tab/>
        <w:t>21</w:t>
      </w:r>
    </w:p>
    <w:p w14:paraId="00C8716B" w14:textId="77777777" w:rsidR="00A319FC" w:rsidRDefault="00A319FC" w:rsidP="00A319FC">
      <w:pPr>
        <w:keepNext/>
        <w:tabs>
          <w:tab w:val="left" w:pos="1440"/>
        </w:tabs>
        <w:spacing w:after="0" w:line="240" w:lineRule="auto"/>
        <w:ind w:left="1440" w:hanging="1440"/>
        <w:outlineLvl w:val="0"/>
        <w:rPr>
          <w:rFonts w:ascii="Arial" w:eastAsia="Times New Roman" w:hAnsi="Arial"/>
          <w:b/>
          <w:bCs/>
          <w:kern w:val="32"/>
          <w:sz w:val="24"/>
          <w:szCs w:val="28"/>
        </w:rPr>
      </w:pPr>
    </w:p>
    <w:p w14:paraId="24B3B8B7" w14:textId="77777777" w:rsidR="00A319FC" w:rsidRPr="00442009" w:rsidRDefault="00A319FC" w:rsidP="00A319FC">
      <w:pPr>
        <w:spacing w:after="0" w:line="240" w:lineRule="auto"/>
        <w:jc w:val="both"/>
        <w:rPr>
          <w:rFonts w:ascii="Arial" w:eastAsia="Times New Roman" w:hAnsi="Arial"/>
          <w:b/>
          <w:szCs w:val="20"/>
        </w:rPr>
      </w:pPr>
      <w:r w:rsidRPr="00442009">
        <w:rPr>
          <w:rFonts w:ascii="Arial" w:eastAsia="Times New Roman" w:hAnsi="Arial"/>
          <w:b/>
          <w:szCs w:val="20"/>
        </w:rPr>
        <w:t>Comparisons with European countries</w:t>
      </w:r>
    </w:p>
    <w:p w14:paraId="1DC209B8" w14:textId="77777777" w:rsidR="00A319FC" w:rsidRDefault="00A319FC" w:rsidP="00A319FC">
      <w:pPr>
        <w:tabs>
          <w:tab w:val="right" w:pos="8280"/>
          <w:tab w:val="right" w:pos="9000"/>
        </w:tabs>
        <w:spacing w:before="80" w:after="0" w:line="240" w:lineRule="auto"/>
        <w:ind w:left="357"/>
        <w:rPr>
          <w:rFonts w:ascii="Arial" w:eastAsia="Times New Roman" w:hAnsi="Arial" w:cs="Times New Roman"/>
          <w:sz w:val="18"/>
          <w:szCs w:val="18"/>
          <w:lang w:val="en-GB"/>
        </w:rPr>
      </w:pPr>
      <w:r>
        <w:rPr>
          <w:rFonts w:ascii="Arial" w:eastAsia="Times New Roman" w:hAnsi="Arial" w:cs="Times New Roman"/>
          <w:sz w:val="18"/>
          <w:szCs w:val="20"/>
          <w:lang w:val="en-GB"/>
        </w:rPr>
        <w:t xml:space="preserve">Whole population and selected age groups </w:t>
      </w:r>
      <w:r>
        <w:rPr>
          <w:rFonts w:ascii="Arial" w:eastAsia="Times New Roman" w:hAnsi="Arial" w:cs="Times New Roman"/>
          <w:sz w:val="18"/>
          <w:szCs w:val="20"/>
          <w:lang w:val="en-GB"/>
        </w:rPr>
        <w:tab/>
        <w:t xml:space="preserve"> ……………..</w:t>
      </w:r>
      <w:r w:rsidRPr="00BC4427">
        <w:rPr>
          <w:rFonts w:ascii="Arial" w:eastAsia="Times New Roman" w:hAnsi="Arial" w:cs="Times New Roman"/>
          <w:sz w:val="18"/>
          <w:szCs w:val="20"/>
          <w:lang w:val="en-GB"/>
        </w:rPr>
        <w:t>………………………………………………..</w:t>
      </w:r>
      <w:r w:rsidRPr="00BC4427">
        <w:rPr>
          <w:rFonts w:ascii="Arial" w:eastAsia="Times New Roman" w:hAnsi="Arial" w:cs="Times New Roman"/>
          <w:sz w:val="18"/>
          <w:szCs w:val="20"/>
          <w:lang w:val="en-GB"/>
        </w:rPr>
        <w:tab/>
      </w:r>
      <w:r>
        <w:rPr>
          <w:rFonts w:ascii="Arial" w:eastAsia="Times New Roman" w:hAnsi="Arial" w:cs="Times New Roman"/>
          <w:sz w:val="18"/>
          <w:szCs w:val="18"/>
          <w:lang w:val="en-GB"/>
        </w:rPr>
        <w:t>28</w:t>
      </w:r>
    </w:p>
    <w:p w14:paraId="37FB9087" w14:textId="77777777" w:rsidR="00A319FC" w:rsidRDefault="00A319FC" w:rsidP="00A319FC">
      <w:pPr>
        <w:tabs>
          <w:tab w:val="right" w:pos="8280"/>
          <w:tab w:val="right" w:pos="9000"/>
        </w:tabs>
        <w:spacing w:before="80" w:after="0" w:line="240" w:lineRule="auto"/>
        <w:ind w:left="357"/>
        <w:rPr>
          <w:rFonts w:ascii="Arial" w:eastAsia="Times New Roman" w:hAnsi="Arial" w:cs="Times New Roman"/>
          <w:sz w:val="18"/>
          <w:szCs w:val="18"/>
          <w:lang w:val="en-GB"/>
        </w:rPr>
      </w:pPr>
      <w:r>
        <w:rPr>
          <w:rFonts w:ascii="Arial" w:eastAsia="Times New Roman" w:hAnsi="Arial" w:cs="Times New Roman"/>
          <w:sz w:val="18"/>
          <w:szCs w:val="18"/>
          <w:lang w:val="en-GB"/>
        </w:rPr>
        <w:t>Household income quintiles</w:t>
      </w:r>
      <w:r>
        <w:rPr>
          <w:rFonts w:ascii="Arial" w:eastAsia="Times New Roman" w:hAnsi="Arial" w:cs="Times New Roman"/>
          <w:sz w:val="18"/>
          <w:szCs w:val="18"/>
          <w:lang w:val="en-GB"/>
        </w:rPr>
        <w:tab/>
        <w:t>………………………………………………………………………………..</w:t>
      </w:r>
      <w:r>
        <w:rPr>
          <w:rFonts w:ascii="Arial" w:eastAsia="Times New Roman" w:hAnsi="Arial" w:cs="Times New Roman"/>
          <w:sz w:val="18"/>
          <w:szCs w:val="18"/>
          <w:lang w:val="en-GB"/>
        </w:rPr>
        <w:tab/>
        <w:t>30</w:t>
      </w:r>
    </w:p>
    <w:p w14:paraId="48E46179" w14:textId="77777777" w:rsidR="00A319FC" w:rsidRDefault="00A319FC" w:rsidP="00A319FC">
      <w:pPr>
        <w:tabs>
          <w:tab w:val="right" w:pos="8280"/>
          <w:tab w:val="right" w:pos="9000"/>
        </w:tabs>
        <w:spacing w:before="60" w:after="0" w:line="240" w:lineRule="auto"/>
        <w:ind w:left="360"/>
        <w:rPr>
          <w:rFonts w:ascii="Arial" w:eastAsia="Times New Roman" w:hAnsi="Arial" w:cs="Times New Roman"/>
          <w:lang w:val="en-GB"/>
        </w:rPr>
      </w:pPr>
    </w:p>
    <w:p w14:paraId="7C7C399E" w14:textId="77777777" w:rsidR="00A319FC" w:rsidRDefault="00A319FC" w:rsidP="00A319FC">
      <w:pPr>
        <w:tabs>
          <w:tab w:val="right" w:pos="8280"/>
          <w:tab w:val="right" w:pos="9000"/>
        </w:tabs>
        <w:spacing w:before="60" w:after="0" w:line="240" w:lineRule="auto"/>
        <w:ind w:left="360"/>
        <w:rPr>
          <w:rFonts w:ascii="Arial" w:eastAsia="Times New Roman" w:hAnsi="Arial" w:cs="Times New Roman"/>
          <w:szCs w:val="20"/>
          <w:lang w:val="en-GB"/>
        </w:rPr>
      </w:pPr>
    </w:p>
    <w:p w14:paraId="44BB5A5C" w14:textId="77777777" w:rsidR="00A319FC" w:rsidRPr="000D7A23" w:rsidRDefault="00A319FC" w:rsidP="00A319FC">
      <w:pPr>
        <w:tabs>
          <w:tab w:val="right" w:pos="8370"/>
          <w:tab w:val="right" w:pos="9000"/>
        </w:tabs>
        <w:spacing w:after="0" w:line="240" w:lineRule="auto"/>
        <w:rPr>
          <w:rFonts w:ascii="Arial" w:eastAsia="Times New Roman" w:hAnsi="Arial" w:cs="Times New Roman"/>
          <w:b/>
          <w:szCs w:val="20"/>
          <w:lang w:val="en-GB"/>
        </w:rPr>
      </w:pPr>
      <w:r w:rsidRPr="000D7A23">
        <w:rPr>
          <w:rFonts w:ascii="Arial" w:eastAsia="Times New Roman" w:hAnsi="Arial" w:cs="Times New Roman"/>
          <w:b/>
          <w:sz w:val="24"/>
          <w:szCs w:val="24"/>
          <w:lang w:val="en-GB"/>
        </w:rPr>
        <w:t>References</w:t>
      </w:r>
      <w:r w:rsidRPr="000D7A23">
        <w:rPr>
          <w:rFonts w:ascii="Arial" w:eastAsia="Times New Roman" w:hAnsi="Arial" w:cs="Times New Roman"/>
          <w:b/>
          <w:sz w:val="24"/>
          <w:szCs w:val="24"/>
          <w:lang w:val="en-GB"/>
        </w:rPr>
        <w:tab/>
      </w:r>
      <w:r w:rsidRPr="000D7A23">
        <w:rPr>
          <w:rFonts w:ascii="Arial" w:eastAsia="Times New Roman" w:hAnsi="Arial" w:cs="Times New Roman"/>
          <w:szCs w:val="20"/>
          <w:lang w:val="en-GB"/>
        </w:rPr>
        <w:tab/>
      </w:r>
      <w:r>
        <w:rPr>
          <w:rFonts w:ascii="Arial" w:eastAsia="Times New Roman" w:hAnsi="Arial" w:cs="Times New Roman"/>
          <w:sz w:val="18"/>
          <w:szCs w:val="18"/>
          <w:lang w:val="en-GB"/>
        </w:rPr>
        <w:t>32</w:t>
      </w:r>
    </w:p>
    <w:p w14:paraId="62864DEB" w14:textId="77777777" w:rsidR="00A319FC" w:rsidRPr="000D7A23" w:rsidRDefault="00A319FC" w:rsidP="00A319FC">
      <w:pPr>
        <w:spacing w:after="0" w:line="240" w:lineRule="auto"/>
        <w:rPr>
          <w:rFonts w:ascii="Arial" w:eastAsia="Times New Roman" w:hAnsi="Arial" w:cs="Times New Roman"/>
          <w:b/>
          <w:sz w:val="24"/>
          <w:szCs w:val="24"/>
          <w:lang w:val="en-GB"/>
        </w:rPr>
      </w:pPr>
    </w:p>
    <w:p w14:paraId="556809AF" w14:textId="77777777" w:rsidR="00A319FC" w:rsidRPr="000D7A23" w:rsidRDefault="00A319FC" w:rsidP="00A319FC">
      <w:pPr>
        <w:spacing w:after="0" w:line="240" w:lineRule="auto"/>
        <w:rPr>
          <w:rFonts w:ascii="Arial" w:eastAsia="Times New Roman" w:hAnsi="Arial" w:cs="Times New Roman"/>
          <w:b/>
          <w:sz w:val="24"/>
          <w:szCs w:val="28"/>
          <w:lang w:val="en-GB"/>
        </w:rPr>
      </w:pPr>
    </w:p>
    <w:p w14:paraId="13486C33" w14:textId="77777777" w:rsidR="00A319FC" w:rsidRPr="000D7A23" w:rsidRDefault="00A319FC" w:rsidP="00A319FC">
      <w:pPr>
        <w:tabs>
          <w:tab w:val="right" w:pos="8370"/>
          <w:tab w:val="right" w:pos="9000"/>
        </w:tabs>
        <w:spacing w:after="0" w:line="240" w:lineRule="auto"/>
        <w:rPr>
          <w:rFonts w:ascii="Arial" w:eastAsia="Times New Roman" w:hAnsi="Arial" w:cs="Times New Roman"/>
          <w:szCs w:val="20"/>
          <w:lang w:val="en-GB"/>
        </w:rPr>
      </w:pPr>
      <w:r w:rsidRPr="000D7A23">
        <w:rPr>
          <w:rFonts w:ascii="Arial" w:eastAsia="Times New Roman" w:hAnsi="Arial" w:cs="Times New Roman"/>
          <w:b/>
          <w:sz w:val="24"/>
          <w:szCs w:val="28"/>
          <w:lang w:val="en-GB"/>
        </w:rPr>
        <w:t>Appendices</w:t>
      </w:r>
      <w:r w:rsidRPr="000D7A23">
        <w:rPr>
          <w:rFonts w:ascii="Arial" w:eastAsia="Times New Roman" w:hAnsi="Arial" w:cs="Times New Roman"/>
          <w:b/>
          <w:sz w:val="24"/>
          <w:szCs w:val="28"/>
          <w:lang w:val="en-GB"/>
        </w:rPr>
        <w:tab/>
      </w:r>
      <w:r w:rsidRPr="000D7A23">
        <w:rPr>
          <w:rFonts w:ascii="Arial" w:eastAsia="Times New Roman" w:hAnsi="Arial" w:cs="Times New Roman"/>
          <w:szCs w:val="20"/>
          <w:lang w:val="en-GB"/>
        </w:rPr>
        <w:tab/>
      </w:r>
      <w:r>
        <w:rPr>
          <w:rFonts w:ascii="Arial" w:eastAsia="Times New Roman" w:hAnsi="Arial" w:cs="Times New Roman"/>
          <w:sz w:val="18"/>
          <w:szCs w:val="18"/>
          <w:lang w:val="en-GB"/>
        </w:rPr>
        <w:t>33</w:t>
      </w:r>
    </w:p>
    <w:p w14:paraId="5C6B8A09" w14:textId="77777777" w:rsidR="00A319FC" w:rsidRPr="000D7A23" w:rsidRDefault="00A319FC" w:rsidP="00A319FC">
      <w:pPr>
        <w:spacing w:after="0" w:line="240" w:lineRule="auto"/>
        <w:rPr>
          <w:rFonts w:ascii="Arial" w:eastAsia="Times New Roman" w:hAnsi="Arial" w:cs="Times New Roman"/>
          <w:b/>
          <w:sz w:val="24"/>
          <w:szCs w:val="28"/>
          <w:lang w:val="en-GB"/>
        </w:rPr>
      </w:pPr>
    </w:p>
    <w:p w14:paraId="249B6D3D" w14:textId="77777777" w:rsidR="00A319FC" w:rsidRPr="00AB3D71" w:rsidRDefault="00A319FC" w:rsidP="00A319FC">
      <w:pPr>
        <w:spacing w:after="0" w:line="240" w:lineRule="auto"/>
        <w:ind w:left="1560" w:right="662" w:hanging="1276"/>
        <w:rPr>
          <w:rFonts w:ascii="Arial" w:hAnsi="Arial"/>
          <w:bCs/>
          <w:szCs w:val="20"/>
        </w:rPr>
      </w:pPr>
      <w:r w:rsidRPr="000D7A23">
        <w:rPr>
          <w:rFonts w:ascii="Arial" w:eastAsia="Times New Roman" w:hAnsi="Arial" w:cs="Times New Roman"/>
          <w:lang w:val="en-GB"/>
        </w:rPr>
        <w:t>Appendix 1</w:t>
      </w:r>
      <w:r w:rsidRPr="000D7A23">
        <w:rPr>
          <w:rFonts w:ascii="Arial" w:eastAsia="Times New Roman" w:hAnsi="Arial" w:cs="Times New Roman"/>
          <w:lang w:val="en-GB"/>
        </w:rPr>
        <w:tab/>
      </w:r>
      <w:r w:rsidRPr="00AB3D71">
        <w:rPr>
          <w:rFonts w:ascii="Arial" w:hAnsi="Arial"/>
          <w:bCs/>
          <w:szCs w:val="20"/>
        </w:rPr>
        <w:t>Higher OTIs for lower income households mean a higher likelihood of higher levels of material and financial hardship</w:t>
      </w:r>
    </w:p>
    <w:p w14:paraId="79BA7B33" w14:textId="77777777" w:rsidR="00A319FC" w:rsidRPr="000D7A23" w:rsidRDefault="00A319FC" w:rsidP="00A319FC">
      <w:pPr>
        <w:spacing w:after="0" w:line="240" w:lineRule="auto"/>
        <w:ind w:left="1560" w:right="662" w:hanging="1276"/>
        <w:rPr>
          <w:rFonts w:ascii="Arial" w:eastAsia="Times New Roman" w:hAnsi="Arial" w:cs="Times New Roman"/>
          <w:lang w:val="en-GB"/>
        </w:rPr>
      </w:pPr>
    </w:p>
    <w:p w14:paraId="02153CA8" w14:textId="77777777" w:rsidR="00A319FC" w:rsidRPr="00AB3D71" w:rsidRDefault="00A319FC" w:rsidP="00A319FC">
      <w:pPr>
        <w:spacing w:after="0" w:line="240" w:lineRule="auto"/>
        <w:ind w:left="1560" w:right="662" w:hanging="1276"/>
        <w:rPr>
          <w:rFonts w:ascii="Arial" w:eastAsia="Times New Roman" w:hAnsi="Arial" w:cs="Times New Roman"/>
          <w:szCs w:val="20"/>
          <w:lang w:val="en-GB"/>
        </w:rPr>
      </w:pPr>
      <w:r w:rsidRPr="000D7A23">
        <w:rPr>
          <w:rFonts w:ascii="Arial" w:eastAsia="Times New Roman" w:hAnsi="Arial" w:cs="Times New Roman"/>
          <w:lang w:val="en-GB"/>
        </w:rPr>
        <w:t>Appendix 2</w:t>
      </w:r>
      <w:r w:rsidRPr="000D7A23">
        <w:rPr>
          <w:rFonts w:ascii="Arial" w:eastAsia="Times New Roman" w:hAnsi="Arial" w:cs="Times New Roman"/>
          <w:lang w:val="en-GB"/>
        </w:rPr>
        <w:tab/>
      </w:r>
      <w:r w:rsidRPr="00AB3D71">
        <w:rPr>
          <w:rFonts w:ascii="Arial" w:hAnsi="Arial"/>
          <w:bCs/>
          <w:szCs w:val="20"/>
        </w:rPr>
        <w:t>Comparison of information sent to OECD by Stats NZ in 2018 and the information in this report, reflecting differences in methodology and a wider range of reporting by MSD</w:t>
      </w:r>
    </w:p>
    <w:p w14:paraId="03C4A684" w14:textId="77777777" w:rsidR="00A319FC" w:rsidRPr="000D7A23" w:rsidRDefault="00A319FC" w:rsidP="00A319FC">
      <w:pPr>
        <w:spacing w:after="0" w:line="240" w:lineRule="auto"/>
        <w:ind w:left="1560" w:right="662" w:hanging="1276"/>
        <w:rPr>
          <w:rFonts w:ascii="Arial" w:eastAsia="Times New Roman" w:hAnsi="Arial" w:cs="Times New Roman"/>
          <w:lang w:val="en-GB"/>
        </w:rPr>
      </w:pPr>
    </w:p>
    <w:p w14:paraId="2A34D340" w14:textId="77777777" w:rsidR="00A319FC" w:rsidRDefault="00A319FC" w:rsidP="00A319FC">
      <w:pPr>
        <w:spacing w:after="0" w:line="240" w:lineRule="auto"/>
        <w:ind w:left="1560" w:right="662" w:hanging="1276"/>
        <w:rPr>
          <w:rFonts w:ascii="Arial" w:eastAsia="Times New Roman" w:hAnsi="Arial" w:cs="Times New Roman"/>
          <w:lang w:val="en-GB"/>
        </w:rPr>
      </w:pPr>
      <w:r w:rsidRPr="000D7A23">
        <w:rPr>
          <w:rFonts w:ascii="Arial" w:eastAsia="Times New Roman" w:hAnsi="Arial" w:cs="Times New Roman"/>
          <w:lang w:val="en-GB"/>
        </w:rPr>
        <w:t>Appendix 3</w:t>
      </w:r>
      <w:r w:rsidRPr="000D7A23">
        <w:rPr>
          <w:rFonts w:ascii="Arial" w:eastAsia="Times New Roman" w:hAnsi="Arial" w:cs="Times New Roman"/>
          <w:b/>
          <w:lang w:val="en-GB"/>
        </w:rPr>
        <w:tab/>
      </w:r>
      <w:r>
        <w:rPr>
          <w:rFonts w:ascii="Arial" w:eastAsia="Times New Roman" w:hAnsi="Arial" w:cs="Times New Roman"/>
          <w:lang w:val="en-GB"/>
        </w:rPr>
        <w:t>Social Housing Stock in OECD countries</w:t>
      </w:r>
    </w:p>
    <w:p w14:paraId="4798F8AF" w14:textId="77777777" w:rsidR="00A319FC" w:rsidRDefault="00A319FC" w:rsidP="00A319FC">
      <w:pPr>
        <w:spacing w:after="0" w:line="240" w:lineRule="auto"/>
        <w:ind w:left="1560" w:right="662" w:hanging="1276"/>
        <w:rPr>
          <w:rFonts w:ascii="Arial" w:eastAsia="Times New Roman" w:hAnsi="Arial" w:cs="Times New Roman"/>
          <w:lang w:val="en-GB"/>
        </w:rPr>
      </w:pPr>
    </w:p>
    <w:p w14:paraId="5289363D" w14:textId="77777777" w:rsidR="00A319FC" w:rsidRDefault="00A319FC" w:rsidP="00A319FC">
      <w:pPr>
        <w:spacing w:after="0" w:line="240" w:lineRule="auto"/>
        <w:ind w:left="1560" w:right="662" w:hanging="1276"/>
        <w:rPr>
          <w:rFonts w:ascii="Arial" w:eastAsia="Times New Roman" w:hAnsi="Arial" w:cs="Times New Roman"/>
          <w:lang w:val="en-GB"/>
        </w:rPr>
      </w:pPr>
      <w:r w:rsidRPr="005E19FC">
        <w:rPr>
          <w:rFonts w:ascii="Arial" w:eastAsia="Times New Roman" w:hAnsi="Arial" w:cs="Times New Roman"/>
          <w:lang w:val="en-GB"/>
        </w:rPr>
        <w:t>Appendix 4</w:t>
      </w:r>
      <w:r w:rsidRPr="005E19FC">
        <w:rPr>
          <w:rFonts w:ascii="Arial" w:eastAsia="Times New Roman" w:hAnsi="Arial" w:cs="Times New Roman"/>
          <w:lang w:val="en-GB"/>
        </w:rPr>
        <w:tab/>
        <w:t>Tenure Distribution –  Supplementary Tables</w:t>
      </w:r>
    </w:p>
    <w:p w14:paraId="74F2B074" w14:textId="77777777" w:rsidR="00A319FC" w:rsidRDefault="00A319FC" w:rsidP="00A319FC">
      <w:pPr>
        <w:spacing w:after="0" w:line="240" w:lineRule="auto"/>
        <w:ind w:left="1560" w:right="662" w:hanging="1276"/>
        <w:rPr>
          <w:rFonts w:ascii="Arial" w:eastAsia="Times New Roman" w:hAnsi="Arial" w:cs="Times New Roman"/>
          <w:lang w:val="en-GB"/>
        </w:rPr>
      </w:pPr>
    </w:p>
    <w:p w14:paraId="1D683A5E" w14:textId="77777777" w:rsidR="00A319FC" w:rsidRDefault="00A319FC" w:rsidP="00A319FC">
      <w:pPr>
        <w:spacing w:after="0" w:line="240" w:lineRule="auto"/>
        <w:ind w:left="1560" w:right="662" w:hanging="1276"/>
        <w:rPr>
          <w:rFonts w:ascii="Arial" w:eastAsia="Times New Roman" w:hAnsi="Arial" w:cs="Times New Roman"/>
          <w:lang w:val="en-GB"/>
        </w:rPr>
      </w:pPr>
      <w:r>
        <w:rPr>
          <w:rFonts w:ascii="Arial" w:eastAsia="Times New Roman" w:hAnsi="Arial" w:cs="Times New Roman"/>
          <w:lang w:val="en-GB"/>
        </w:rPr>
        <w:t>Appendix 5</w:t>
      </w:r>
      <w:r>
        <w:rPr>
          <w:rFonts w:ascii="Arial" w:eastAsia="Times New Roman" w:hAnsi="Arial" w:cs="Times New Roman"/>
          <w:lang w:val="en-GB"/>
        </w:rPr>
        <w:tab/>
      </w:r>
      <w:r w:rsidRPr="00E00599">
        <w:rPr>
          <w:rFonts w:ascii="Arial" w:eastAsia="Times New Roman" w:hAnsi="Arial" w:cs="Times New Roman"/>
          <w:lang w:val="en-GB"/>
        </w:rPr>
        <w:t>Sensitivity of Findings to treatment applied to VLIs</w:t>
      </w:r>
    </w:p>
    <w:p w14:paraId="4293F51A" w14:textId="77777777" w:rsidR="00A319FC" w:rsidRDefault="00A319FC" w:rsidP="00A319FC">
      <w:pPr>
        <w:spacing w:after="0" w:line="240" w:lineRule="auto"/>
        <w:ind w:left="1560" w:right="662" w:hanging="1276"/>
        <w:rPr>
          <w:rFonts w:ascii="Arial" w:eastAsia="Times New Roman" w:hAnsi="Arial" w:cs="Times New Roman"/>
          <w:lang w:val="en-GB"/>
        </w:rPr>
      </w:pPr>
    </w:p>
    <w:p w14:paraId="412EAED4" w14:textId="77777777" w:rsidR="00A319FC" w:rsidRPr="000D7A23" w:rsidRDefault="00A319FC" w:rsidP="00A319FC">
      <w:pPr>
        <w:spacing w:after="0" w:line="240" w:lineRule="auto"/>
        <w:ind w:left="1560" w:right="662" w:hanging="1276"/>
        <w:rPr>
          <w:rFonts w:ascii="Arial" w:eastAsia="Times New Roman" w:hAnsi="Arial" w:cs="Times New Roman"/>
          <w:lang w:val="en-GB"/>
        </w:rPr>
      </w:pPr>
      <w:r>
        <w:rPr>
          <w:rFonts w:ascii="Arial" w:eastAsia="Times New Roman" w:hAnsi="Arial" w:cs="Times New Roman"/>
          <w:lang w:val="en-GB"/>
        </w:rPr>
        <w:t>Appendix 6</w:t>
      </w:r>
      <w:r>
        <w:rPr>
          <w:rFonts w:ascii="Arial" w:eastAsia="Times New Roman" w:hAnsi="Arial" w:cs="Times New Roman"/>
          <w:lang w:val="en-GB"/>
        </w:rPr>
        <w:tab/>
        <w:t>Upper quintile income boundaries</w:t>
      </w:r>
    </w:p>
    <w:p w14:paraId="36F5C053" w14:textId="77777777" w:rsidR="00A319FC" w:rsidRDefault="00A319FC" w:rsidP="00A319FC">
      <w:pPr>
        <w:spacing w:after="0" w:line="240" w:lineRule="auto"/>
        <w:rPr>
          <w:rFonts w:ascii="Arial" w:eastAsia="Times New Roman" w:hAnsi="Arial" w:cs="Times New Roman"/>
          <w:b/>
          <w:sz w:val="24"/>
          <w:szCs w:val="24"/>
          <w:lang w:val="en-GB"/>
        </w:rPr>
      </w:pPr>
      <w:r>
        <w:rPr>
          <w:rFonts w:ascii="Arial" w:eastAsia="Times New Roman" w:hAnsi="Arial" w:cs="Times New Roman"/>
          <w:b/>
          <w:sz w:val="24"/>
          <w:szCs w:val="24"/>
          <w:lang w:val="en-GB"/>
        </w:rPr>
        <w:br w:type="page"/>
      </w:r>
    </w:p>
    <w:p w14:paraId="6E0B7DE9" w14:textId="616ED5C1" w:rsidR="00407F85" w:rsidRPr="00FC19A7" w:rsidRDefault="00407F85" w:rsidP="00407F85">
      <w:pPr>
        <w:spacing w:after="0" w:line="240" w:lineRule="auto"/>
        <w:rPr>
          <w:rFonts w:ascii="Arial" w:eastAsia="Times New Roman" w:hAnsi="Arial" w:cs="Times New Roman"/>
          <w:b/>
          <w:color w:val="FF0000"/>
          <w:sz w:val="24"/>
          <w:szCs w:val="24"/>
          <w:lang w:val="en-GB"/>
        </w:rPr>
      </w:pPr>
      <w:r w:rsidRPr="009B28A9">
        <w:rPr>
          <w:rFonts w:ascii="Arial" w:eastAsia="Times New Roman" w:hAnsi="Arial" w:cs="Times New Roman"/>
          <w:b/>
          <w:sz w:val="24"/>
          <w:szCs w:val="24"/>
          <w:lang w:val="en-GB"/>
        </w:rPr>
        <w:lastRenderedPageBreak/>
        <w:t>Glossary and Abbreviations</w:t>
      </w:r>
    </w:p>
    <w:p w14:paraId="49EA4F0D" w14:textId="77777777" w:rsidR="00407F85" w:rsidRPr="009B28A9" w:rsidRDefault="00407F85" w:rsidP="00407F85">
      <w:pPr>
        <w:spacing w:after="0" w:line="240" w:lineRule="auto"/>
        <w:rPr>
          <w:rFonts w:ascii="Arial" w:eastAsia="Times New Roman" w:hAnsi="Arial" w:cs="Times New Roman"/>
          <w:szCs w:val="20"/>
          <w:lang w:val="en-GB"/>
        </w:rPr>
      </w:pPr>
    </w:p>
    <w:p w14:paraId="3CE785DB" w14:textId="77777777" w:rsidR="00407F85" w:rsidRDefault="00407F85" w:rsidP="00407F85">
      <w:pPr>
        <w:spacing w:after="60" w:line="240" w:lineRule="auto"/>
        <w:ind w:left="2127" w:hanging="1679"/>
        <w:rPr>
          <w:rFonts w:ascii="Arial" w:eastAsia="Times New Roman" w:hAnsi="Arial" w:cs="Times New Roman"/>
          <w:sz w:val="18"/>
          <w:szCs w:val="18"/>
          <w:lang w:val="en-GB"/>
        </w:rPr>
      </w:pPr>
      <w:r>
        <w:rPr>
          <w:rFonts w:ascii="Arial" w:eastAsia="Times New Roman" w:hAnsi="Arial" w:cs="Times New Roman"/>
          <w:sz w:val="18"/>
          <w:szCs w:val="18"/>
          <w:lang w:val="en-GB"/>
        </w:rPr>
        <w:t>HES</w:t>
      </w:r>
      <w:r>
        <w:rPr>
          <w:rFonts w:ascii="Arial" w:eastAsia="Times New Roman" w:hAnsi="Arial" w:cs="Times New Roman"/>
          <w:sz w:val="18"/>
          <w:szCs w:val="18"/>
          <w:lang w:val="en-GB"/>
        </w:rPr>
        <w:tab/>
        <w:t>Stats NZ’s Household Economic Survey</w:t>
      </w:r>
    </w:p>
    <w:p w14:paraId="1906FE20" w14:textId="77777777" w:rsidR="00407F85" w:rsidRPr="009B28A9" w:rsidRDefault="00407F85" w:rsidP="00407F85">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AHC</w:t>
      </w:r>
      <w:r w:rsidRPr="009B28A9">
        <w:rPr>
          <w:rFonts w:ascii="Arial" w:eastAsia="Times New Roman" w:hAnsi="Arial" w:cs="Times New Roman"/>
          <w:sz w:val="18"/>
          <w:szCs w:val="18"/>
          <w:lang w:val="en-GB"/>
        </w:rPr>
        <w:tab/>
        <w:t>After (deducting) housing costs</w:t>
      </w:r>
    </w:p>
    <w:p w14:paraId="3C4FC3C1" w14:textId="77777777" w:rsidR="00407F85" w:rsidRPr="009B28A9" w:rsidRDefault="00407F85" w:rsidP="00407F85">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BHC</w:t>
      </w:r>
      <w:r w:rsidRPr="009B28A9">
        <w:rPr>
          <w:rFonts w:ascii="Arial" w:eastAsia="Times New Roman" w:hAnsi="Arial" w:cs="Times New Roman"/>
          <w:sz w:val="18"/>
          <w:szCs w:val="18"/>
          <w:lang w:val="en-GB"/>
        </w:rPr>
        <w:tab/>
        <w:t>Before (deducting) housing costs</w:t>
      </w:r>
    </w:p>
    <w:p w14:paraId="5B158A72" w14:textId="77777777" w:rsidR="00407F85" w:rsidRDefault="00407F85" w:rsidP="00407F85">
      <w:pPr>
        <w:spacing w:after="60" w:line="240" w:lineRule="auto"/>
        <w:ind w:left="2127" w:hanging="1679"/>
        <w:rPr>
          <w:rFonts w:ascii="Arial" w:eastAsia="Times New Roman" w:hAnsi="Arial" w:cs="Times New Roman"/>
          <w:sz w:val="18"/>
          <w:szCs w:val="18"/>
          <w:lang w:val="en-US"/>
        </w:rPr>
      </w:pPr>
      <w:r>
        <w:rPr>
          <w:rFonts w:ascii="Arial" w:eastAsia="Times New Roman" w:hAnsi="Arial" w:cs="Times New Roman"/>
          <w:sz w:val="18"/>
          <w:szCs w:val="18"/>
          <w:lang w:val="en-US"/>
        </w:rPr>
        <w:t>BHC 60</w:t>
      </w:r>
      <w:r>
        <w:rPr>
          <w:rFonts w:ascii="Arial" w:eastAsia="Times New Roman" w:hAnsi="Arial" w:cs="Times New Roman"/>
          <w:sz w:val="18"/>
          <w:szCs w:val="18"/>
          <w:lang w:val="en-US"/>
        </w:rPr>
        <w:tab/>
        <w:t>Low-income threshold or income poverty line = 60% of the BHC median</w:t>
      </w:r>
    </w:p>
    <w:p w14:paraId="46C8C175" w14:textId="77777777" w:rsidR="00407F85" w:rsidRPr="009B28A9" w:rsidRDefault="00407F85" w:rsidP="00407F85">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REL</w:t>
      </w:r>
      <w:r w:rsidRPr="009B28A9">
        <w:rPr>
          <w:rFonts w:ascii="Arial" w:eastAsia="Times New Roman" w:hAnsi="Arial" w:cs="Times New Roman"/>
          <w:sz w:val="18"/>
          <w:szCs w:val="18"/>
          <w:lang w:val="en-US"/>
        </w:rPr>
        <w:tab/>
        <w:t>Relative-to-contemporary-median (referring to low-income thresholds or ‘poverty lines’ that are calculated as a proportion of the median for the survey year in question) = ‘moving lines’</w:t>
      </w:r>
    </w:p>
    <w:p w14:paraId="06FB2AA1" w14:textId="5145C718" w:rsidR="00CB6CBF" w:rsidRPr="002A6603" w:rsidRDefault="00CB6CBF" w:rsidP="00407F85">
      <w:pPr>
        <w:spacing w:after="60" w:line="240" w:lineRule="auto"/>
        <w:ind w:left="2127" w:hanging="1679"/>
        <w:rPr>
          <w:rFonts w:ascii="Arial" w:eastAsia="Times New Roman" w:hAnsi="Arial" w:cs="Times New Roman"/>
          <w:sz w:val="18"/>
          <w:szCs w:val="18"/>
          <w:lang w:val="en-GB"/>
        </w:rPr>
      </w:pPr>
      <w:r w:rsidRPr="002A6603">
        <w:rPr>
          <w:rFonts w:ascii="Arial" w:eastAsia="Times New Roman" w:hAnsi="Arial" w:cs="Times New Roman"/>
          <w:sz w:val="18"/>
          <w:szCs w:val="18"/>
          <w:lang w:val="en-GB"/>
        </w:rPr>
        <w:t>OTI</w:t>
      </w:r>
      <w:r w:rsidR="00CE3036" w:rsidRPr="002A6603">
        <w:rPr>
          <w:rFonts w:ascii="Arial" w:eastAsia="Times New Roman" w:hAnsi="Arial" w:cs="Times New Roman"/>
          <w:sz w:val="18"/>
          <w:szCs w:val="18"/>
          <w:lang w:val="en-GB"/>
        </w:rPr>
        <w:tab/>
        <w:t>the ratio of housing outgoings-to-income for households</w:t>
      </w:r>
    </w:p>
    <w:p w14:paraId="4E05E4AD" w14:textId="3E49D88E" w:rsidR="002B20B0" w:rsidRPr="002A6603" w:rsidRDefault="00CB6CBF" w:rsidP="002B20B0">
      <w:pPr>
        <w:spacing w:after="60" w:line="240" w:lineRule="auto"/>
        <w:ind w:left="2127" w:hanging="1679"/>
        <w:rPr>
          <w:rFonts w:ascii="Arial" w:eastAsia="Times New Roman" w:hAnsi="Arial" w:cs="Times New Roman"/>
          <w:sz w:val="18"/>
          <w:szCs w:val="18"/>
          <w:lang w:val="en-GB"/>
        </w:rPr>
      </w:pPr>
      <w:r w:rsidRPr="002A6603">
        <w:rPr>
          <w:rFonts w:ascii="Arial" w:eastAsia="Times New Roman" w:hAnsi="Arial" w:cs="Times New Roman"/>
          <w:sz w:val="18"/>
          <w:szCs w:val="18"/>
          <w:lang w:val="en-GB"/>
        </w:rPr>
        <w:t>HCO</w:t>
      </w:r>
      <w:r w:rsidR="00CE3036" w:rsidRPr="002A6603">
        <w:rPr>
          <w:rFonts w:ascii="Arial" w:eastAsia="Times New Roman" w:hAnsi="Arial" w:cs="Times New Roman"/>
          <w:sz w:val="18"/>
          <w:szCs w:val="18"/>
          <w:lang w:val="en-GB"/>
        </w:rPr>
        <w:tab/>
      </w:r>
      <w:r w:rsidR="002B20B0" w:rsidRPr="002A6603">
        <w:rPr>
          <w:rFonts w:ascii="Arial" w:eastAsia="Times New Roman" w:hAnsi="Arial" w:cs="Times New Roman"/>
          <w:sz w:val="18"/>
          <w:szCs w:val="18"/>
          <w:lang w:val="en-GB"/>
        </w:rPr>
        <w:t xml:space="preserve">for EU statistics, </w:t>
      </w:r>
      <w:r w:rsidR="00CE3036" w:rsidRPr="002A6603">
        <w:rPr>
          <w:rFonts w:ascii="Arial" w:eastAsia="Times New Roman" w:hAnsi="Arial" w:cs="Times New Roman"/>
          <w:sz w:val="18"/>
          <w:szCs w:val="18"/>
          <w:lang w:val="en-GB"/>
        </w:rPr>
        <w:t>the housing costs overburden</w:t>
      </w:r>
      <w:r w:rsidR="002B20B0" w:rsidRPr="002A6603">
        <w:rPr>
          <w:rFonts w:ascii="Arial" w:eastAsia="Times New Roman" w:hAnsi="Arial" w:cs="Times New Roman"/>
          <w:sz w:val="18"/>
          <w:szCs w:val="18"/>
          <w:lang w:val="en-GB"/>
        </w:rPr>
        <w:t xml:space="preserve"> </w:t>
      </w:r>
      <w:r w:rsidR="002B20B0" w:rsidRPr="002A6603">
        <w:rPr>
          <w:rFonts w:ascii="Arial" w:hAnsi="Arial"/>
          <w:color w:val="333333"/>
          <w:sz w:val="18"/>
          <w:szCs w:val="18"/>
          <w:shd w:val="clear" w:color="auto" w:fill="FFFFFF"/>
        </w:rPr>
        <w:t xml:space="preserve">is the percentage of the population living in households where the total housing costs ('net' of housing allowances) </w:t>
      </w:r>
      <w:proofErr w:type="spellStart"/>
      <w:r w:rsidR="002B20B0" w:rsidRPr="002A6603">
        <w:rPr>
          <w:rFonts w:ascii="Arial" w:hAnsi="Arial"/>
          <w:color w:val="333333"/>
          <w:sz w:val="18"/>
          <w:szCs w:val="18"/>
          <w:shd w:val="clear" w:color="auto" w:fill="FFFFFF"/>
        </w:rPr>
        <w:t>aret</w:t>
      </w:r>
      <w:proofErr w:type="spellEnd"/>
      <w:r w:rsidR="002B20B0" w:rsidRPr="002A6603">
        <w:rPr>
          <w:rFonts w:ascii="Arial" w:hAnsi="Arial"/>
          <w:color w:val="333333"/>
          <w:sz w:val="18"/>
          <w:szCs w:val="18"/>
          <w:shd w:val="clear" w:color="auto" w:fill="FFFFFF"/>
        </w:rPr>
        <w:t xml:space="preserve"> more than 40% of disposable income ('net' of housing allowances)</w:t>
      </w:r>
    </w:p>
    <w:p w14:paraId="1EB28A49" w14:textId="2C50CD30" w:rsidR="00407F85" w:rsidRPr="002A6603" w:rsidRDefault="00407F85" w:rsidP="00407F85">
      <w:pPr>
        <w:spacing w:after="60" w:line="240" w:lineRule="auto"/>
        <w:ind w:left="2127" w:hanging="1679"/>
        <w:rPr>
          <w:rFonts w:ascii="Arial" w:eastAsia="Times New Roman" w:hAnsi="Arial" w:cs="Times New Roman"/>
          <w:sz w:val="18"/>
          <w:szCs w:val="18"/>
          <w:lang w:val="en-GB"/>
        </w:rPr>
      </w:pPr>
      <w:r w:rsidRPr="002A6603">
        <w:rPr>
          <w:rFonts w:ascii="Arial" w:eastAsia="Times New Roman" w:hAnsi="Arial" w:cs="Times New Roman"/>
          <w:sz w:val="18"/>
          <w:szCs w:val="18"/>
          <w:lang w:val="en-GB"/>
        </w:rPr>
        <w:t>AS</w:t>
      </w:r>
      <w:r w:rsidRPr="002A6603">
        <w:rPr>
          <w:rFonts w:ascii="Arial" w:eastAsia="Times New Roman" w:hAnsi="Arial" w:cs="Times New Roman"/>
          <w:sz w:val="18"/>
          <w:szCs w:val="18"/>
          <w:lang w:val="en-GB"/>
        </w:rPr>
        <w:tab/>
        <w:t>Accommodation Supplement</w:t>
      </w:r>
    </w:p>
    <w:p w14:paraId="2D468E64" w14:textId="77777777" w:rsidR="00407F85" w:rsidRPr="002A6603" w:rsidRDefault="00407F85" w:rsidP="00407F85">
      <w:pPr>
        <w:spacing w:after="60" w:line="240" w:lineRule="auto"/>
        <w:ind w:left="2127" w:hanging="1679"/>
        <w:rPr>
          <w:rFonts w:ascii="Arial" w:eastAsia="Times New Roman" w:hAnsi="Arial" w:cs="Times New Roman"/>
          <w:sz w:val="18"/>
          <w:szCs w:val="18"/>
          <w:lang w:val="en-GB"/>
        </w:rPr>
      </w:pPr>
      <w:r w:rsidRPr="002A6603">
        <w:rPr>
          <w:rFonts w:ascii="Arial" w:eastAsia="Times New Roman" w:hAnsi="Arial" w:cs="Times New Roman"/>
          <w:sz w:val="18"/>
          <w:szCs w:val="18"/>
          <w:lang w:val="en-GB"/>
        </w:rPr>
        <w:t>HH</w:t>
      </w:r>
      <w:r w:rsidRPr="002A6603">
        <w:rPr>
          <w:rFonts w:ascii="Arial" w:eastAsia="Times New Roman" w:hAnsi="Arial" w:cs="Times New Roman"/>
          <w:sz w:val="18"/>
          <w:szCs w:val="18"/>
          <w:lang w:val="en-GB"/>
        </w:rPr>
        <w:tab/>
        <w:t>Household</w:t>
      </w:r>
    </w:p>
    <w:p w14:paraId="7DCF8039" w14:textId="111AB14C" w:rsidR="00053DD9" w:rsidRDefault="00053DD9" w:rsidP="00407F85">
      <w:pPr>
        <w:spacing w:after="60" w:line="240" w:lineRule="auto"/>
        <w:ind w:left="2127" w:hanging="1679"/>
        <w:rPr>
          <w:rFonts w:ascii="Arial" w:eastAsia="Times New Roman" w:hAnsi="Arial" w:cs="Times New Roman"/>
          <w:sz w:val="18"/>
          <w:szCs w:val="18"/>
          <w:lang w:val="en-US"/>
        </w:rPr>
      </w:pPr>
      <w:r w:rsidRPr="002A6603">
        <w:rPr>
          <w:rFonts w:ascii="Arial" w:eastAsia="Times New Roman" w:hAnsi="Arial" w:cs="Times New Roman"/>
          <w:sz w:val="18"/>
          <w:szCs w:val="18"/>
          <w:lang w:val="en-US"/>
        </w:rPr>
        <w:t>LA rent</w:t>
      </w:r>
      <w:r w:rsidR="002D5A6A" w:rsidRPr="002A6603">
        <w:rPr>
          <w:rFonts w:ascii="Arial" w:eastAsia="Times New Roman" w:hAnsi="Arial" w:cs="Times New Roman"/>
          <w:sz w:val="18"/>
          <w:szCs w:val="18"/>
          <w:lang w:val="en-US"/>
        </w:rPr>
        <w:t>als</w:t>
      </w:r>
      <w:r w:rsidRPr="002A6603">
        <w:rPr>
          <w:rFonts w:ascii="Arial" w:eastAsia="Times New Roman" w:hAnsi="Arial" w:cs="Times New Roman"/>
          <w:sz w:val="18"/>
          <w:szCs w:val="18"/>
          <w:lang w:val="en-US"/>
        </w:rPr>
        <w:tab/>
      </w:r>
      <w:r w:rsidR="002D5A6A" w:rsidRPr="002A6603">
        <w:rPr>
          <w:rFonts w:ascii="Arial" w:eastAsia="Times New Roman" w:hAnsi="Arial" w:cs="Times New Roman"/>
          <w:sz w:val="18"/>
          <w:szCs w:val="18"/>
          <w:lang w:val="en-US"/>
        </w:rPr>
        <w:t>Local Authority rentals – these are provided with varying levels of subsidy</w:t>
      </w:r>
      <w:r w:rsidR="002D5A6A">
        <w:rPr>
          <w:rFonts w:ascii="Arial" w:eastAsia="Times New Roman" w:hAnsi="Arial" w:cs="Times New Roman"/>
          <w:sz w:val="18"/>
          <w:szCs w:val="18"/>
          <w:lang w:val="en-US"/>
        </w:rPr>
        <w:t xml:space="preserve"> </w:t>
      </w:r>
    </w:p>
    <w:p w14:paraId="063057C4" w14:textId="5C7A8AA5" w:rsidR="00A00CAB" w:rsidRPr="0058068D" w:rsidRDefault="00A00CAB" w:rsidP="0058068D">
      <w:pPr>
        <w:spacing w:after="60" w:line="240" w:lineRule="auto"/>
        <w:ind w:left="2127" w:hanging="1679"/>
        <w:rPr>
          <w:rFonts w:ascii="Arial" w:eastAsia="Times New Roman" w:hAnsi="Arial" w:cs="Times New Roman"/>
          <w:sz w:val="18"/>
          <w:szCs w:val="18"/>
          <w:lang w:val="en-US"/>
        </w:rPr>
      </w:pPr>
      <w:r>
        <w:rPr>
          <w:rFonts w:ascii="Arial" w:eastAsia="Times New Roman" w:hAnsi="Arial" w:cs="Times New Roman"/>
          <w:sz w:val="18"/>
          <w:szCs w:val="18"/>
          <w:lang w:val="en-US"/>
        </w:rPr>
        <w:t>HNZ</w:t>
      </w:r>
      <w:r>
        <w:rPr>
          <w:rFonts w:ascii="Arial" w:eastAsia="Times New Roman" w:hAnsi="Arial" w:cs="Times New Roman"/>
          <w:sz w:val="18"/>
          <w:szCs w:val="18"/>
          <w:lang w:val="en-US"/>
        </w:rPr>
        <w:tab/>
      </w:r>
      <w:r w:rsidR="0058068D">
        <w:rPr>
          <w:rFonts w:ascii="Arial" w:eastAsia="Times New Roman" w:hAnsi="Arial" w:cs="Times New Roman"/>
          <w:sz w:val="18"/>
          <w:szCs w:val="18"/>
          <w:lang w:val="en-US"/>
        </w:rPr>
        <w:t xml:space="preserve">Housing New Zealand – in 2019 </w:t>
      </w:r>
      <w:proofErr w:type="spellStart"/>
      <w:r w:rsidR="0058068D" w:rsidRPr="0058068D">
        <w:rPr>
          <w:rFonts w:ascii="Arial" w:hAnsi="Arial"/>
          <w:sz w:val="18"/>
          <w:szCs w:val="18"/>
        </w:rPr>
        <w:t>Kāinga</w:t>
      </w:r>
      <w:proofErr w:type="spellEnd"/>
      <w:r w:rsidR="0058068D" w:rsidRPr="0058068D">
        <w:rPr>
          <w:rFonts w:ascii="Arial" w:hAnsi="Arial"/>
          <w:sz w:val="18"/>
          <w:szCs w:val="18"/>
        </w:rPr>
        <w:t xml:space="preserve"> Ora</w:t>
      </w:r>
      <w:r w:rsidR="0058068D">
        <w:rPr>
          <w:rFonts w:ascii="Arial" w:hAnsi="Arial"/>
          <w:sz w:val="18"/>
          <w:szCs w:val="18"/>
        </w:rPr>
        <w:t xml:space="preserve"> was created as a</w:t>
      </w:r>
      <w:r w:rsidR="0058068D" w:rsidRPr="0058068D">
        <w:rPr>
          <w:rFonts w:ascii="Arial" w:hAnsi="Arial"/>
          <w:sz w:val="18"/>
          <w:szCs w:val="18"/>
        </w:rPr>
        <w:t xml:space="preserve"> Crown agency</w:t>
      </w:r>
      <w:r w:rsidR="0058068D">
        <w:rPr>
          <w:rFonts w:ascii="Arial" w:hAnsi="Arial"/>
          <w:sz w:val="18"/>
          <w:szCs w:val="18"/>
        </w:rPr>
        <w:t xml:space="preserve">, </w:t>
      </w:r>
      <w:r w:rsidR="0058068D" w:rsidRPr="0058068D">
        <w:rPr>
          <w:rFonts w:ascii="Arial" w:hAnsi="Arial"/>
          <w:sz w:val="18"/>
          <w:szCs w:val="18"/>
        </w:rPr>
        <w:t xml:space="preserve">bringing together Housing New Zealand and the </w:t>
      </w:r>
      <w:proofErr w:type="spellStart"/>
      <w:r w:rsidR="0058068D" w:rsidRPr="0058068D">
        <w:rPr>
          <w:rFonts w:ascii="Arial" w:hAnsi="Arial"/>
          <w:sz w:val="18"/>
          <w:szCs w:val="18"/>
        </w:rPr>
        <w:t>KiwiBuild</w:t>
      </w:r>
      <w:proofErr w:type="spellEnd"/>
      <w:r w:rsidR="0058068D" w:rsidRPr="0058068D">
        <w:rPr>
          <w:rFonts w:ascii="Arial" w:hAnsi="Arial"/>
          <w:sz w:val="18"/>
          <w:szCs w:val="18"/>
        </w:rPr>
        <w:t xml:space="preserve"> Unit from the Ministry of Housing.</w:t>
      </w:r>
      <w:r w:rsidR="0058068D">
        <w:rPr>
          <w:rFonts w:ascii="Arial" w:hAnsi="Arial"/>
          <w:sz w:val="18"/>
          <w:szCs w:val="18"/>
        </w:rPr>
        <w:t xml:space="preserve"> </w:t>
      </w:r>
      <w:r w:rsidR="0003075C">
        <w:rPr>
          <w:rFonts w:ascii="Arial" w:hAnsi="Arial"/>
          <w:sz w:val="18"/>
          <w:szCs w:val="18"/>
        </w:rPr>
        <w:t>‘</w:t>
      </w:r>
      <w:r w:rsidR="0058068D">
        <w:rPr>
          <w:rFonts w:ascii="Arial" w:hAnsi="Arial"/>
          <w:sz w:val="18"/>
          <w:szCs w:val="18"/>
        </w:rPr>
        <w:t>HNZ</w:t>
      </w:r>
      <w:r w:rsidR="0003075C">
        <w:rPr>
          <w:rFonts w:ascii="Arial" w:hAnsi="Arial"/>
          <w:sz w:val="18"/>
          <w:szCs w:val="18"/>
        </w:rPr>
        <w:t>’</w:t>
      </w:r>
      <w:r w:rsidR="0058068D">
        <w:rPr>
          <w:rFonts w:ascii="Arial" w:hAnsi="Arial"/>
          <w:sz w:val="18"/>
          <w:szCs w:val="18"/>
        </w:rPr>
        <w:t xml:space="preserve"> is used in this report as the HES data that </w:t>
      </w:r>
      <w:r w:rsidR="0003075C">
        <w:rPr>
          <w:rFonts w:ascii="Arial" w:hAnsi="Arial"/>
          <w:sz w:val="18"/>
          <w:szCs w:val="18"/>
        </w:rPr>
        <w:t>sit behind the numbers</w:t>
      </w:r>
      <w:r w:rsidR="0058068D">
        <w:rPr>
          <w:rFonts w:ascii="Arial" w:hAnsi="Arial"/>
          <w:sz w:val="18"/>
          <w:szCs w:val="18"/>
        </w:rPr>
        <w:t xml:space="preserve"> w</w:t>
      </w:r>
      <w:r w:rsidR="006018F8">
        <w:rPr>
          <w:rFonts w:ascii="Arial" w:hAnsi="Arial"/>
          <w:sz w:val="18"/>
          <w:szCs w:val="18"/>
        </w:rPr>
        <w:t>ere</w:t>
      </w:r>
      <w:r w:rsidR="0058068D">
        <w:rPr>
          <w:rFonts w:ascii="Arial" w:hAnsi="Arial"/>
          <w:sz w:val="18"/>
          <w:szCs w:val="18"/>
        </w:rPr>
        <w:t xml:space="preserve"> collected prior to KO’s creation</w:t>
      </w:r>
      <w:r w:rsidR="0058068D" w:rsidRPr="0058068D">
        <w:rPr>
          <w:rFonts w:ascii="Arial" w:eastAsia="Times New Roman" w:hAnsi="Arial" w:cs="Times New Roman"/>
          <w:sz w:val="18"/>
          <w:szCs w:val="18"/>
          <w:lang w:val="en-US"/>
        </w:rPr>
        <w:t xml:space="preserve"> </w:t>
      </w:r>
    </w:p>
    <w:p w14:paraId="06D16667" w14:textId="4523B700" w:rsidR="00407F85" w:rsidRPr="009B28A9" w:rsidRDefault="00407F85" w:rsidP="00407F85">
      <w:pPr>
        <w:spacing w:after="60" w:line="240" w:lineRule="auto"/>
        <w:ind w:left="2127" w:hanging="1679"/>
        <w:rPr>
          <w:rFonts w:ascii="Arial" w:eastAsia="Times New Roman" w:hAnsi="Arial" w:cs="Times New Roman"/>
          <w:sz w:val="18"/>
          <w:szCs w:val="18"/>
          <w:lang w:val="en-US"/>
        </w:rPr>
      </w:pPr>
      <w:r w:rsidRPr="009B28A9">
        <w:rPr>
          <w:rFonts w:ascii="Arial" w:eastAsia="Times New Roman" w:hAnsi="Arial" w:cs="Times New Roman"/>
          <w:sz w:val="18"/>
          <w:szCs w:val="18"/>
          <w:lang w:val="en-US"/>
        </w:rPr>
        <w:t>SP</w:t>
      </w:r>
      <w:r w:rsidRPr="009B28A9">
        <w:rPr>
          <w:rFonts w:ascii="Arial" w:eastAsia="Times New Roman" w:hAnsi="Arial" w:cs="Times New Roman"/>
          <w:sz w:val="18"/>
          <w:szCs w:val="18"/>
          <w:lang w:val="en-US"/>
        </w:rPr>
        <w:tab/>
        <w:t>Sole parent</w:t>
      </w:r>
    </w:p>
    <w:p w14:paraId="2A522941" w14:textId="77777777" w:rsidR="00407F85" w:rsidRPr="009B28A9" w:rsidRDefault="00407F85" w:rsidP="00407F85">
      <w:pPr>
        <w:spacing w:after="60" w:line="240" w:lineRule="auto"/>
        <w:ind w:left="2127" w:hanging="1679"/>
        <w:rPr>
          <w:rFonts w:ascii="Arial" w:eastAsia="Times New Roman" w:hAnsi="Arial" w:cs="Times New Roman"/>
          <w:sz w:val="18"/>
          <w:szCs w:val="18"/>
          <w:lang w:val="en-GB"/>
        </w:rPr>
      </w:pPr>
      <w:r w:rsidRPr="009B28A9">
        <w:rPr>
          <w:rFonts w:ascii="Arial" w:eastAsia="Times New Roman" w:hAnsi="Arial" w:cs="Times New Roman"/>
          <w:sz w:val="18"/>
          <w:szCs w:val="18"/>
          <w:lang w:val="en-GB"/>
        </w:rPr>
        <w:t>2P</w:t>
      </w:r>
      <w:r w:rsidRPr="009B28A9">
        <w:rPr>
          <w:rFonts w:ascii="Arial" w:eastAsia="Times New Roman" w:hAnsi="Arial" w:cs="Times New Roman"/>
          <w:sz w:val="18"/>
          <w:szCs w:val="18"/>
          <w:lang w:val="en-GB"/>
        </w:rPr>
        <w:tab/>
        <w:t>Two parent</w:t>
      </w:r>
    </w:p>
    <w:p w14:paraId="4242D0D4" w14:textId="3C307F34" w:rsidR="00407F85" w:rsidRPr="00AB1035" w:rsidRDefault="00407F85" w:rsidP="00407F85">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DEP-17</w:t>
      </w:r>
      <w:r w:rsidRPr="00AB1035">
        <w:rPr>
          <w:rFonts w:ascii="Arial" w:eastAsia="Times New Roman" w:hAnsi="Arial" w:cs="Times New Roman"/>
          <w:sz w:val="18"/>
          <w:szCs w:val="18"/>
          <w:lang w:val="en-GB"/>
        </w:rPr>
        <w:tab/>
        <w:t xml:space="preserve">MSD’s 17-item material hardship / deprivation index </w:t>
      </w:r>
      <w:r w:rsidRPr="00AB1035">
        <w:rPr>
          <w:rFonts w:ascii="Arial" w:eastAsia="Times New Roman" w:hAnsi="Arial" w:cs="Times New Roman"/>
          <w:sz w:val="18"/>
          <w:szCs w:val="18"/>
          <w:lang w:val="en-US"/>
        </w:rPr>
        <w:t>–</w:t>
      </w:r>
      <w:r w:rsidRPr="00AB1035">
        <w:rPr>
          <w:rFonts w:ascii="Arial" w:eastAsia="Times New Roman" w:hAnsi="Arial" w:cs="Times New Roman"/>
          <w:sz w:val="18"/>
          <w:szCs w:val="18"/>
          <w:lang w:val="en-GB"/>
        </w:rPr>
        <w:t xml:space="preserve"> also used by Stats NZ for three measures</w:t>
      </w:r>
      <w:r w:rsidR="00CF2986">
        <w:rPr>
          <w:rFonts w:ascii="Arial" w:eastAsia="Times New Roman" w:hAnsi="Arial" w:cs="Times New Roman"/>
          <w:sz w:val="18"/>
          <w:szCs w:val="18"/>
          <w:lang w:val="en-GB"/>
        </w:rPr>
        <w:t xml:space="preserve"> in the official Child Poverty suite</w:t>
      </w:r>
    </w:p>
    <w:p w14:paraId="6F42BC8D" w14:textId="790943AD" w:rsidR="00407F85" w:rsidRPr="00AB1035" w:rsidRDefault="00407F85" w:rsidP="00407F85">
      <w:pPr>
        <w:spacing w:after="60" w:line="240" w:lineRule="auto"/>
        <w:ind w:left="2127" w:hanging="1679"/>
        <w:rPr>
          <w:rFonts w:ascii="Arial" w:eastAsia="Times New Roman" w:hAnsi="Arial" w:cs="Times New Roman"/>
          <w:sz w:val="18"/>
          <w:szCs w:val="18"/>
          <w:lang w:val="en-GB"/>
        </w:rPr>
      </w:pPr>
      <w:r w:rsidRPr="00AB1035">
        <w:rPr>
          <w:rFonts w:ascii="Arial" w:eastAsia="Times New Roman" w:hAnsi="Arial" w:cs="Times New Roman"/>
          <w:sz w:val="18"/>
          <w:szCs w:val="18"/>
          <w:lang w:val="en-GB"/>
        </w:rPr>
        <w:t>EU-SILC</w:t>
      </w:r>
      <w:r w:rsidRPr="00AB1035">
        <w:rPr>
          <w:rFonts w:ascii="Arial" w:eastAsia="Times New Roman" w:hAnsi="Arial" w:cs="Times New Roman"/>
          <w:sz w:val="18"/>
          <w:szCs w:val="18"/>
          <w:lang w:val="en-GB"/>
        </w:rPr>
        <w:tab/>
        <w:t>The European Union’s Survey of Income and Living Conditions</w:t>
      </w:r>
    </w:p>
    <w:p w14:paraId="318F1174" w14:textId="6425D64C" w:rsidR="006018F8" w:rsidRDefault="006018F8" w:rsidP="00407F85">
      <w:pPr>
        <w:spacing w:after="60" w:line="240" w:lineRule="auto"/>
        <w:ind w:left="2127" w:hanging="1679"/>
        <w:rPr>
          <w:rFonts w:ascii="Arial" w:hAnsi="Arial"/>
          <w:sz w:val="18"/>
          <w:szCs w:val="18"/>
        </w:rPr>
      </w:pPr>
      <w:r>
        <w:rPr>
          <w:rFonts w:ascii="Arial" w:hAnsi="Arial"/>
          <w:sz w:val="18"/>
          <w:szCs w:val="18"/>
        </w:rPr>
        <w:t>HBAI</w:t>
      </w:r>
      <w:r>
        <w:rPr>
          <w:rFonts w:ascii="Arial" w:hAnsi="Arial"/>
          <w:sz w:val="18"/>
          <w:szCs w:val="18"/>
        </w:rPr>
        <w:tab/>
        <w:t>The Households Below Average Income report provides statistics on low incomes in the UK</w:t>
      </w:r>
    </w:p>
    <w:p w14:paraId="6705F51B" w14:textId="1A9B1334" w:rsidR="00407F85" w:rsidRPr="00AB1035" w:rsidRDefault="00407F85" w:rsidP="00407F85">
      <w:pPr>
        <w:spacing w:after="60" w:line="240" w:lineRule="auto"/>
        <w:ind w:left="2127" w:hanging="1679"/>
        <w:rPr>
          <w:rFonts w:ascii="Arial" w:hAnsi="Arial"/>
          <w:sz w:val="18"/>
          <w:szCs w:val="18"/>
        </w:rPr>
      </w:pPr>
      <w:r w:rsidRPr="00AB1035">
        <w:rPr>
          <w:rFonts w:ascii="Arial" w:hAnsi="Arial"/>
          <w:sz w:val="18"/>
          <w:szCs w:val="18"/>
        </w:rPr>
        <w:t>Quintile</w:t>
      </w:r>
      <w:r w:rsidRPr="00AB1035">
        <w:rPr>
          <w:rFonts w:ascii="Arial" w:hAnsi="Arial"/>
          <w:sz w:val="18"/>
          <w:szCs w:val="18"/>
        </w:rPr>
        <w:tab/>
        <w:t>One fifth or 20% of a ranked group of individuals or households</w:t>
      </w:r>
    </w:p>
    <w:p w14:paraId="6A990D02" w14:textId="4A3C7374" w:rsidR="00407F85" w:rsidRPr="00AB1035" w:rsidRDefault="00407F85" w:rsidP="00407F85">
      <w:pPr>
        <w:spacing w:after="60" w:line="240" w:lineRule="auto"/>
        <w:ind w:left="2127" w:hanging="1679"/>
        <w:rPr>
          <w:rFonts w:ascii="Arial" w:hAnsi="Arial"/>
          <w:sz w:val="18"/>
          <w:szCs w:val="18"/>
        </w:rPr>
      </w:pPr>
      <w:r w:rsidRPr="00AB1035">
        <w:rPr>
          <w:rFonts w:ascii="Arial" w:hAnsi="Arial"/>
          <w:sz w:val="18"/>
          <w:szCs w:val="18"/>
        </w:rPr>
        <w:t xml:space="preserve">Decile </w:t>
      </w:r>
      <w:r w:rsidRPr="00AB1035">
        <w:rPr>
          <w:rFonts w:ascii="Arial" w:hAnsi="Arial"/>
          <w:sz w:val="18"/>
          <w:szCs w:val="18"/>
        </w:rPr>
        <w:tab/>
        <w:t>One tenth or 10% of a ranked group of individuals or households</w:t>
      </w:r>
    </w:p>
    <w:p w14:paraId="0C94FDC4" w14:textId="0C260083" w:rsidR="00407F85" w:rsidRDefault="00407F85" w:rsidP="00407F85">
      <w:pPr>
        <w:spacing w:after="60" w:line="240" w:lineRule="auto"/>
        <w:ind w:left="2127" w:hanging="1679"/>
        <w:rPr>
          <w:rFonts w:ascii="Arial" w:hAnsi="Arial"/>
          <w:sz w:val="18"/>
          <w:szCs w:val="18"/>
        </w:rPr>
      </w:pPr>
      <w:proofErr w:type="spellStart"/>
      <w:r w:rsidRPr="00AB1035">
        <w:rPr>
          <w:rFonts w:ascii="Arial" w:eastAsia="Times New Roman" w:hAnsi="Arial" w:cs="Times New Roman"/>
          <w:sz w:val="18"/>
          <w:szCs w:val="18"/>
          <w:lang w:val="en-GB"/>
        </w:rPr>
        <w:t>Ventile</w:t>
      </w:r>
      <w:proofErr w:type="spellEnd"/>
      <w:r w:rsidRPr="00AB1035">
        <w:rPr>
          <w:rFonts w:ascii="Arial" w:hAnsi="Arial"/>
          <w:sz w:val="18"/>
          <w:szCs w:val="18"/>
        </w:rPr>
        <w:t xml:space="preserve"> </w:t>
      </w:r>
      <w:r w:rsidRPr="00AB1035">
        <w:rPr>
          <w:rFonts w:ascii="Arial" w:hAnsi="Arial"/>
          <w:sz w:val="18"/>
          <w:szCs w:val="18"/>
        </w:rPr>
        <w:tab/>
        <w:t>One twentieth or 5% of a ranked group of individuals or households</w:t>
      </w:r>
    </w:p>
    <w:p w14:paraId="37550E81" w14:textId="69C07948" w:rsidR="00532FFE" w:rsidRPr="00AB1035" w:rsidRDefault="00532FFE" w:rsidP="00407F85">
      <w:pPr>
        <w:spacing w:after="60" w:line="240" w:lineRule="auto"/>
        <w:ind w:left="2127" w:hanging="1679"/>
        <w:rPr>
          <w:rFonts w:ascii="Arial" w:hAnsi="Arial"/>
          <w:sz w:val="18"/>
          <w:szCs w:val="18"/>
        </w:rPr>
      </w:pPr>
      <w:r>
        <w:rPr>
          <w:rFonts w:ascii="Arial" w:hAnsi="Arial"/>
          <w:sz w:val="18"/>
          <w:szCs w:val="18"/>
        </w:rPr>
        <w:t>VLI households</w:t>
      </w:r>
      <w:r>
        <w:rPr>
          <w:rFonts w:ascii="Arial" w:hAnsi="Arial"/>
          <w:sz w:val="18"/>
          <w:szCs w:val="18"/>
        </w:rPr>
        <w:tab/>
        <w:t>Very</w:t>
      </w:r>
      <w:r w:rsidR="00CF2986">
        <w:rPr>
          <w:rFonts w:ascii="Arial" w:hAnsi="Arial"/>
          <w:sz w:val="18"/>
          <w:szCs w:val="18"/>
        </w:rPr>
        <w:t>-</w:t>
      </w:r>
      <w:r>
        <w:rPr>
          <w:rFonts w:ascii="Arial" w:hAnsi="Arial"/>
          <w:sz w:val="18"/>
          <w:szCs w:val="18"/>
        </w:rPr>
        <w:t>Low</w:t>
      </w:r>
      <w:r w:rsidR="00CF2986">
        <w:rPr>
          <w:rFonts w:ascii="Arial" w:hAnsi="Arial"/>
          <w:sz w:val="18"/>
          <w:szCs w:val="18"/>
        </w:rPr>
        <w:t>-</w:t>
      </w:r>
      <w:r>
        <w:rPr>
          <w:rFonts w:ascii="Arial" w:hAnsi="Arial"/>
          <w:sz w:val="18"/>
          <w:szCs w:val="18"/>
        </w:rPr>
        <w:t xml:space="preserve">Income households (typically those with reported </w:t>
      </w:r>
      <w:r w:rsidR="00126D6C">
        <w:rPr>
          <w:rFonts w:ascii="Arial" w:hAnsi="Arial"/>
          <w:sz w:val="18"/>
          <w:szCs w:val="18"/>
        </w:rPr>
        <w:t xml:space="preserve">BHC </w:t>
      </w:r>
      <w:r>
        <w:rPr>
          <w:rFonts w:ascii="Arial" w:hAnsi="Arial"/>
          <w:sz w:val="18"/>
          <w:szCs w:val="18"/>
        </w:rPr>
        <w:t>incomes of less than $6000 pa (equivalised)</w:t>
      </w:r>
      <w:r w:rsidR="009A6D51">
        <w:rPr>
          <w:rFonts w:ascii="Arial" w:hAnsi="Arial"/>
          <w:sz w:val="18"/>
          <w:szCs w:val="18"/>
        </w:rPr>
        <w:t>)</w:t>
      </w:r>
    </w:p>
    <w:p w14:paraId="5ACDD4A8" w14:textId="77777777" w:rsidR="00407F85" w:rsidRPr="00AB1035" w:rsidRDefault="00407F85" w:rsidP="00407F85">
      <w:pPr>
        <w:spacing w:after="60" w:line="240" w:lineRule="auto"/>
        <w:ind w:left="1973" w:hanging="1525"/>
        <w:rPr>
          <w:rFonts w:ascii="Arial" w:hAnsi="Arial"/>
          <w:sz w:val="18"/>
          <w:szCs w:val="18"/>
        </w:rPr>
      </w:pPr>
    </w:p>
    <w:bookmarkEnd w:id="2"/>
    <w:p w14:paraId="50022BA7" w14:textId="77777777" w:rsidR="00407F85" w:rsidRDefault="00407F85" w:rsidP="007C6A13">
      <w:r>
        <w:br w:type="page"/>
      </w:r>
    </w:p>
    <w:p w14:paraId="188862B4" w14:textId="176F6EF9" w:rsidR="00336252" w:rsidRPr="00120707" w:rsidRDefault="00F925A2">
      <w:pPr>
        <w:spacing w:after="0" w:line="240" w:lineRule="auto"/>
        <w:rPr>
          <w:rFonts w:ascii="Arial" w:eastAsia="Times New Roman" w:hAnsi="Arial" w:cs="Times New Roman"/>
          <w:b/>
          <w:sz w:val="32"/>
          <w:szCs w:val="32"/>
          <w:lang w:val="en-GB"/>
        </w:rPr>
      </w:pPr>
      <w:r w:rsidRPr="00120707">
        <w:rPr>
          <w:rFonts w:ascii="Arial" w:eastAsia="Times New Roman" w:hAnsi="Arial" w:cs="Times New Roman"/>
          <w:b/>
          <w:sz w:val="32"/>
          <w:szCs w:val="32"/>
          <w:lang w:val="en-GB"/>
        </w:rPr>
        <w:lastRenderedPageBreak/>
        <w:t xml:space="preserve">Part 1: </w:t>
      </w:r>
      <w:bookmarkStart w:id="5" w:name="_Hlk81824943"/>
      <w:r w:rsidR="007217FB" w:rsidRPr="00120707">
        <w:rPr>
          <w:rFonts w:ascii="Arial" w:eastAsia="Times New Roman" w:hAnsi="Arial" w:cs="Times New Roman"/>
          <w:b/>
          <w:sz w:val="32"/>
          <w:szCs w:val="32"/>
          <w:lang w:val="en-GB"/>
        </w:rPr>
        <w:t>Definitions and other c</w:t>
      </w:r>
      <w:r w:rsidR="006C3020" w:rsidRPr="00120707">
        <w:rPr>
          <w:rFonts w:ascii="Arial" w:eastAsia="Times New Roman" w:hAnsi="Arial" w:cs="Times New Roman"/>
          <w:b/>
          <w:sz w:val="32"/>
          <w:szCs w:val="32"/>
          <w:lang w:val="en-GB"/>
        </w:rPr>
        <w:t xml:space="preserve">ontextual information </w:t>
      </w:r>
      <w:bookmarkEnd w:id="5"/>
      <w:r w:rsidR="006C3020" w:rsidRPr="00120707">
        <w:rPr>
          <w:rFonts w:ascii="Arial" w:eastAsia="Times New Roman" w:hAnsi="Arial" w:cs="Times New Roman"/>
          <w:b/>
          <w:sz w:val="32"/>
          <w:szCs w:val="32"/>
          <w:lang w:val="en-GB"/>
        </w:rPr>
        <w:t xml:space="preserve">to assist with interpreting the </w:t>
      </w:r>
      <w:r w:rsidR="00A65F53" w:rsidRPr="00120707">
        <w:rPr>
          <w:rFonts w:ascii="Arial" w:eastAsia="Times New Roman" w:hAnsi="Arial" w:cs="Times New Roman"/>
          <w:b/>
          <w:sz w:val="32"/>
          <w:szCs w:val="32"/>
          <w:lang w:val="en-GB"/>
        </w:rPr>
        <w:t>findings</w:t>
      </w:r>
      <w:r w:rsidR="006C3020" w:rsidRPr="00120707">
        <w:rPr>
          <w:rFonts w:ascii="Arial" w:eastAsia="Times New Roman" w:hAnsi="Arial" w:cs="Times New Roman"/>
          <w:b/>
          <w:sz w:val="32"/>
          <w:szCs w:val="32"/>
          <w:lang w:val="en-GB"/>
        </w:rPr>
        <w:t xml:space="preserve"> that follow</w:t>
      </w:r>
      <w:r w:rsidR="00BA6E96" w:rsidRPr="00120707">
        <w:rPr>
          <w:rFonts w:ascii="Arial" w:eastAsia="Times New Roman" w:hAnsi="Arial" w:cs="Times New Roman"/>
          <w:b/>
          <w:sz w:val="32"/>
          <w:szCs w:val="32"/>
          <w:lang w:val="en-GB"/>
        </w:rPr>
        <w:t xml:space="preserve"> in Part 2</w:t>
      </w:r>
    </w:p>
    <w:p w14:paraId="7E804174" w14:textId="77777777" w:rsidR="006C3020" w:rsidRDefault="006C3020">
      <w:pPr>
        <w:spacing w:after="0" w:line="240" w:lineRule="auto"/>
        <w:rPr>
          <w:rFonts w:ascii="Arial" w:eastAsia="Times New Roman" w:hAnsi="Arial" w:cs="Times New Roman"/>
          <w:bCs/>
          <w:szCs w:val="20"/>
          <w:highlight w:val="yellow"/>
          <w:lang w:val="en-GB"/>
        </w:rPr>
      </w:pPr>
    </w:p>
    <w:p w14:paraId="7DB520A2" w14:textId="77777777" w:rsidR="00315C3F" w:rsidRDefault="00315C3F" w:rsidP="00FB15F7">
      <w:pPr>
        <w:spacing w:after="0" w:line="240" w:lineRule="auto"/>
        <w:rPr>
          <w:rFonts w:ascii="Arial" w:eastAsia="Times New Roman" w:hAnsi="Arial" w:cs="Times New Roman"/>
          <w:b/>
          <w:sz w:val="24"/>
          <w:szCs w:val="24"/>
          <w:lang w:val="en-GB"/>
        </w:rPr>
      </w:pPr>
    </w:p>
    <w:p w14:paraId="6FEE8375" w14:textId="7C48536B" w:rsidR="00FB15F7" w:rsidRPr="00315C3F" w:rsidRDefault="00FB15F7" w:rsidP="00FB15F7">
      <w:pPr>
        <w:spacing w:after="0" w:line="240" w:lineRule="auto"/>
        <w:rPr>
          <w:rFonts w:ascii="Arial" w:eastAsia="Times New Roman" w:hAnsi="Arial" w:cs="Times New Roman"/>
          <w:b/>
          <w:sz w:val="24"/>
          <w:szCs w:val="24"/>
          <w:lang w:val="en-GB"/>
        </w:rPr>
      </w:pPr>
      <w:r w:rsidRPr="00315C3F">
        <w:rPr>
          <w:rFonts w:ascii="Arial" w:eastAsia="Times New Roman" w:hAnsi="Arial" w:cs="Times New Roman"/>
          <w:b/>
          <w:sz w:val="24"/>
          <w:szCs w:val="24"/>
          <w:lang w:val="en-GB"/>
        </w:rPr>
        <w:t>The different tenures used in housing affordability reports</w:t>
      </w:r>
    </w:p>
    <w:p w14:paraId="2C360DA6" w14:textId="77777777" w:rsidR="00FB15F7" w:rsidRDefault="00FB15F7" w:rsidP="00FB15F7">
      <w:pPr>
        <w:spacing w:after="0" w:line="240" w:lineRule="auto"/>
        <w:rPr>
          <w:rFonts w:ascii="Arial" w:eastAsia="Times New Roman" w:hAnsi="Arial" w:cs="Times New Roman"/>
          <w:bCs/>
          <w:szCs w:val="20"/>
          <w:lang w:val="en-GB"/>
        </w:rPr>
      </w:pPr>
    </w:p>
    <w:p w14:paraId="30B673BF" w14:textId="77777777" w:rsidR="00FB15F7" w:rsidRDefault="00FB15F7" w:rsidP="00FB15F7">
      <w:pPr>
        <w:spacing w:after="0" w:line="240" w:lineRule="auto"/>
        <w:rPr>
          <w:rFonts w:ascii="Arial" w:eastAsia="Times New Roman" w:hAnsi="Arial" w:cs="Times New Roman"/>
          <w:bCs/>
          <w:szCs w:val="20"/>
          <w:lang w:val="en-GB"/>
        </w:rPr>
      </w:pPr>
      <w:r w:rsidRPr="006B449D">
        <w:rPr>
          <w:rFonts w:ascii="Arial" w:eastAsia="Times New Roman" w:hAnsi="Arial" w:cs="Times New Roman"/>
          <w:bCs/>
          <w:szCs w:val="20"/>
          <w:lang w:val="en-GB"/>
        </w:rPr>
        <w:t xml:space="preserve">While renters and owners are the two main </w:t>
      </w:r>
      <w:r>
        <w:rPr>
          <w:rFonts w:ascii="Arial" w:eastAsia="Times New Roman" w:hAnsi="Arial" w:cs="Times New Roman"/>
          <w:bCs/>
          <w:szCs w:val="20"/>
          <w:lang w:val="en-GB"/>
        </w:rPr>
        <w:t xml:space="preserve">tenure </w:t>
      </w:r>
      <w:r w:rsidRPr="006B449D">
        <w:rPr>
          <w:rFonts w:ascii="Arial" w:eastAsia="Times New Roman" w:hAnsi="Arial" w:cs="Times New Roman"/>
          <w:bCs/>
          <w:szCs w:val="20"/>
          <w:lang w:val="en-GB"/>
        </w:rPr>
        <w:t>categories used</w:t>
      </w:r>
      <w:r>
        <w:rPr>
          <w:rFonts w:ascii="Arial" w:eastAsia="Times New Roman" w:hAnsi="Arial" w:cs="Times New Roman"/>
          <w:bCs/>
          <w:szCs w:val="20"/>
          <w:lang w:val="en-GB"/>
        </w:rPr>
        <w:t>, different reporting regimes use different sub-groups and different combinations of these:</w:t>
      </w:r>
    </w:p>
    <w:p w14:paraId="62832314" w14:textId="77777777" w:rsidR="00FB15F7" w:rsidRPr="00C70097" w:rsidRDefault="00FB15F7" w:rsidP="00FB15F7">
      <w:pPr>
        <w:pStyle w:val="ListParagraph"/>
        <w:numPr>
          <w:ilvl w:val="0"/>
          <w:numId w:val="16"/>
        </w:numPr>
        <w:spacing w:before="120" w:after="0" w:line="240" w:lineRule="auto"/>
        <w:ind w:left="567" w:hanging="210"/>
        <w:contextualSpacing w:val="0"/>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Renters</w:t>
      </w:r>
    </w:p>
    <w:p w14:paraId="5BE5950C" w14:textId="7CF830C3" w:rsidR="00FB15F7" w:rsidRPr="0040625D" w:rsidRDefault="00FB15F7" w:rsidP="0040625D">
      <w:pPr>
        <w:pStyle w:val="ListParagraph"/>
        <w:numPr>
          <w:ilvl w:val="1"/>
          <w:numId w:val="16"/>
        </w:numPr>
        <w:spacing w:after="0" w:line="240" w:lineRule="auto"/>
        <w:ind w:left="993" w:hanging="218"/>
        <w:rPr>
          <w:rFonts w:ascii="Arial" w:eastAsia="Times New Roman" w:hAnsi="Arial" w:cs="Times New Roman"/>
          <w:bCs/>
          <w:szCs w:val="20"/>
          <w:lang w:val="en-GB"/>
        </w:rPr>
      </w:pPr>
      <w:r w:rsidRPr="00C70097">
        <w:rPr>
          <w:rFonts w:ascii="Arial" w:eastAsia="Times New Roman" w:hAnsi="Arial" w:cs="Times New Roman"/>
          <w:bCs/>
          <w:sz w:val="18"/>
          <w:szCs w:val="18"/>
          <w:lang w:val="en-GB"/>
        </w:rPr>
        <w:t xml:space="preserve">social / </w:t>
      </w:r>
      <w:r w:rsidR="0040625D">
        <w:rPr>
          <w:rFonts w:ascii="Arial" w:eastAsia="Times New Roman" w:hAnsi="Arial" w:cs="Times New Roman"/>
          <w:bCs/>
          <w:sz w:val="18"/>
          <w:szCs w:val="18"/>
          <w:lang w:val="en-GB"/>
        </w:rPr>
        <w:t xml:space="preserve">public – </w:t>
      </w:r>
      <w:r w:rsidR="0040625D" w:rsidRPr="0040625D">
        <w:rPr>
          <w:rFonts w:ascii="Arial" w:hAnsi="Arial"/>
          <w:i/>
          <w:iCs/>
          <w:color w:val="000000"/>
          <w:sz w:val="18"/>
          <w:szCs w:val="18"/>
        </w:rPr>
        <w:t xml:space="preserve">residential rental accommodation provided at sub-market prices and allocated according to specific rules rather than market mechanisms </w:t>
      </w:r>
      <w:r w:rsidRPr="0040625D">
        <w:rPr>
          <w:rStyle w:val="FootnoteReference"/>
          <w:rFonts w:ascii="Arial" w:eastAsia="Times New Roman" w:hAnsi="Arial" w:cs="Times New Roman"/>
          <w:bCs/>
          <w:szCs w:val="20"/>
          <w:lang w:val="en-GB"/>
        </w:rPr>
        <w:footnoteReference w:id="10"/>
      </w:r>
    </w:p>
    <w:p w14:paraId="1193E4F3"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private</w:t>
      </w:r>
    </w:p>
    <w:p w14:paraId="71C2EDDB"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all renters</w:t>
      </w:r>
    </w:p>
    <w:p w14:paraId="5E2BD182" w14:textId="77777777" w:rsidR="00FB15F7" w:rsidRPr="00C70097" w:rsidRDefault="00FB15F7" w:rsidP="00FB15F7">
      <w:pPr>
        <w:pStyle w:val="ListParagraph"/>
        <w:numPr>
          <w:ilvl w:val="0"/>
          <w:numId w:val="16"/>
        </w:numPr>
        <w:spacing w:before="120" w:after="0" w:line="240" w:lineRule="auto"/>
        <w:ind w:left="567" w:hanging="210"/>
        <w:contextualSpacing w:val="0"/>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Owners</w:t>
      </w:r>
    </w:p>
    <w:p w14:paraId="5211583E"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no mortgage (owners outright)</w:t>
      </w:r>
    </w:p>
    <w:p w14:paraId="7E733190"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with mortgage</w:t>
      </w:r>
    </w:p>
    <w:p w14:paraId="244168DC"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all owners</w:t>
      </w:r>
    </w:p>
    <w:p w14:paraId="7C608A06" w14:textId="77777777" w:rsidR="00FB15F7" w:rsidRPr="00C70097" w:rsidRDefault="00FB15F7" w:rsidP="00FB15F7">
      <w:pPr>
        <w:pStyle w:val="ListParagraph"/>
        <w:numPr>
          <w:ilvl w:val="0"/>
          <w:numId w:val="16"/>
        </w:numPr>
        <w:spacing w:before="120" w:after="0" w:line="240" w:lineRule="auto"/>
        <w:ind w:left="567" w:hanging="210"/>
        <w:contextualSpacing w:val="0"/>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Mixed</w:t>
      </w:r>
    </w:p>
    <w:p w14:paraId="1E9BFAAC"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private renters and mortgaged owners together</w:t>
      </w:r>
    </w:p>
    <w:p w14:paraId="60EC60F0" w14:textId="77777777" w:rsidR="00FB15F7" w:rsidRPr="00C70097" w:rsidRDefault="00FB15F7" w:rsidP="00FB15F7">
      <w:pPr>
        <w:pStyle w:val="ListParagraph"/>
        <w:numPr>
          <w:ilvl w:val="1"/>
          <w:numId w:val="16"/>
        </w:numPr>
        <w:spacing w:after="0" w:line="240" w:lineRule="auto"/>
        <w:ind w:left="993" w:hanging="218"/>
        <w:rPr>
          <w:rFonts w:ascii="Arial" w:eastAsia="Times New Roman" w:hAnsi="Arial" w:cs="Times New Roman"/>
          <w:bCs/>
          <w:sz w:val="18"/>
          <w:szCs w:val="18"/>
          <w:lang w:val="en-GB"/>
        </w:rPr>
      </w:pPr>
      <w:r w:rsidRPr="00C70097">
        <w:rPr>
          <w:rFonts w:ascii="Arial" w:eastAsia="Times New Roman" w:hAnsi="Arial" w:cs="Times New Roman"/>
          <w:bCs/>
          <w:sz w:val="18"/>
          <w:szCs w:val="18"/>
          <w:lang w:val="en-GB"/>
        </w:rPr>
        <w:t>all renters and all owners together</w:t>
      </w:r>
    </w:p>
    <w:p w14:paraId="674FC9D3" w14:textId="77777777" w:rsidR="00FB15F7" w:rsidRDefault="00FB15F7" w:rsidP="00FB15F7">
      <w:pPr>
        <w:spacing w:after="0" w:line="240" w:lineRule="auto"/>
        <w:rPr>
          <w:rFonts w:ascii="Arial" w:eastAsia="Times New Roman" w:hAnsi="Arial" w:cs="Times New Roman"/>
          <w:bCs/>
          <w:szCs w:val="20"/>
          <w:lang w:val="en-GB"/>
        </w:rPr>
      </w:pPr>
    </w:p>
    <w:p w14:paraId="7AFEA068" w14:textId="18EFE873" w:rsidR="00FB15F7" w:rsidRPr="00C70097" w:rsidRDefault="00FB15F7" w:rsidP="00FB15F7">
      <w:pPr>
        <w:spacing w:after="0" w:line="240" w:lineRule="auto"/>
        <w:rPr>
          <w:rFonts w:ascii="Arial" w:hAnsi="Arial"/>
          <w:szCs w:val="20"/>
        </w:rPr>
      </w:pPr>
      <w:r w:rsidRPr="00C70097">
        <w:rPr>
          <w:rFonts w:ascii="Arial" w:hAnsi="Arial"/>
          <w:szCs w:val="20"/>
        </w:rPr>
        <w:t xml:space="preserve">When </w:t>
      </w:r>
      <w:r>
        <w:rPr>
          <w:rFonts w:ascii="Arial" w:hAnsi="Arial"/>
          <w:szCs w:val="20"/>
        </w:rPr>
        <w:t xml:space="preserve">social </w:t>
      </w:r>
      <w:r w:rsidRPr="0050786A">
        <w:rPr>
          <w:rFonts w:ascii="Arial" w:hAnsi="Arial"/>
          <w:szCs w:val="20"/>
        </w:rPr>
        <w:t>renters</w:t>
      </w:r>
      <w:r w:rsidRPr="00C70097">
        <w:rPr>
          <w:rFonts w:ascii="Arial" w:hAnsi="Arial"/>
          <w:szCs w:val="20"/>
        </w:rPr>
        <w:t xml:space="preserve"> are included in</w:t>
      </w:r>
      <w:r>
        <w:rPr>
          <w:rFonts w:ascii="Arial" w:hAnsi="Arial"/>
          <w:szCs w:val="20"/>
        </w:rPr>
        <w:t xml:space="preserve"> </w:t>
      </w:r>
      <w:r w:rsidRPr="0050786A">
        <w:rPr>
          <w:rFonts w:ascii="Arial" w:hAnsi="Arial"/>
          <w:szCs w:val="20"/>
        </w:rPr>
        <w:t xml:space="preserve">analysis for </w:t>
      </w:r>
      <w:r w:rsidRPr="0050786A">
        <w:rPr>
          <w:rFonts w:ascii="Arial" w:hAnsi="Arial"/>
          <w:b/>
          <w:bCs/>
          <w:szCs w:val="20"/>
          <w:u w:val="single"/>
        </w:rPr>
        <w:t>renters</w:t>
      </w:r>
      <w:r w:rsidRPr="00C70097">
        <w:rPr>
          <w:rFonts w:ascii="Arial" w:hAnsi="Arial"/>
          <w:szCs w:val="20"/>
        </w:rPr>
        <w:t xml:space="preserve">, the reported housing unaffordability rates are lower than when </w:t>
      </w:r>
      <w:r>
        <w:rPr>
          <w:rFonts w:ascii="Arial" w:hAnsi="Arial"/>
          <w:szCs w:val="20"/>
        </w:rPr>
        <w:t>only</w:t>
      </w:r>
      <w:r w:rsidRPr="00C70097">
        <w:rPr>
          <w:rFonts w:ascii="Arial" w:hAnsi="Arial"/>
          <w:szCs w:val="20"/>
        </w:rPr>
        <w:t xml:space="preserve"> private renters are included. The size of the reduction depends on the </w:t>
      </w:r>
      <w:r>
        <w:rPr>
          <w:rFonts w:ascii="Arial" w:hAnsi="Arial"/>
          <w:szCs w:val="20"/>
        </w:rPr>
        <w:t xml:space="preserve">definition of </w:t>
      </w:r>
      <w:r w:rsidR="00A62DBD">
        <w:rPr>
          <w:rFonts w:ascii="Arial" w:hAnsi="Arial"/>
          <w:szCs w:val="20"/>
        </w:rPr>
        <w:t>‘</w:t>
      </w:r>
      <w:r>
        <w:rPr>
          <w:rFonts w:ascii="Arial" w:hAnsi="Arial"/>
          <w:szCs w:val="20"/>
        </w:rPr>
        <w:t>social housing</w:t>
      </w:r>
      <w:r w:rsidR="00A62DBD">
        <w:rPr>
          <w:rFonts w:ascii="Arial" w:hAnsi="Arial"/>
          <w:szCs w:val="20"/>
        </w:rPr>
        <w:t>’ that is</w:t>
      </w:r>
      <w:r>
        <w:rPr>
          <w:rFonts w:ascii="Arial" w:hAnsi="Arial"/>
          <w:szCs w:val="20"/>
        </w:rPr>
        <w:t xml:space="preserve"> used, the </w:t>
      </w:r>
      <w:r w:rsidRPr="00C70097">
        <w:rPr>
          <w:rFonts w:ascii="Arial" w:hAnsi="Arial"/>
          <w:szCs w:val="20"/>
        </w:rPr>
        <w:t xml:space="preserve">proportion of </w:t>
      </w:r>
      <w:r>
        <w:rPr>
          <w:rFonts w:ascii="Arial" w:hAnsi="Arial"/>
          <w:szCs w:val="20"/>
        </w:rPr>
        <w:t>renters who are in social housing</w:t>
      </w:r>
      <w:r w:rsidRPr="00C70097">
        <w:rPr>
          <w:rFonts w:ascii="Arial" w:hAnsi="Arial"/>
          <w:szCs w:val="20"/>
        </w:rPr>
        <w:t xml:space="preserve"> and </w:t>
      </w:r>
      <w:r>
        <w:rPr>
          <w:rFonts w:ascii="Arial" w:hAnsi="Arial"/>
          <w:szCs w:val="20"/>
        </w:rPr>
        <w:t xml:space="preserve">on </w:t>
      </w:r>
      <w:r w:rsidRPr="00C70097">
        <w:rPr>
          <w:rFonts w:ascii="Arial" w:hAnsi="Arial"/>
          <w:szCs w:val="20"/>
        </w:rPr>
        <w:t xml:space="preserve">the </w:t>
      </w:r>
      <w:r>
        <w:rPr>
          <w:rFonts w:ascii="Arial" w:hAnsi="Arial"/>
          <w:szCs w:val="20"/>
        </w:rPr>
        <w:t>size</w:t>
      </w:r>
      <w:r w:rsidRPr="00C70097">
        <w:rPr>
          <w:rFonts w:ascii="Arial" w:hAnsi="Arial"/>
          <w:szCs w:val="20"/>
        </w:rPr>
        <w:t xml:space="preserve"> of the </w:t>
      </w:r>
      <w:r w:rsidR="00E3755C">
        <w:rPr>
          <w:rFonts w:ascii="Arial" w:hAnsi="Arial"/>
          <w:szCs w:val="20"/>
        </w:rPr>
        <w:t>rent reduction relative to market prices</w:t>
      </w:r>
      <w:r w:rsidRPr="00C70097">
        <w:rPr>
          <w:rFonts w:ascii="Arial" w:hAnsi="Arial"/>
          <w:szCs w:val="20"/>
        </w:rPr>
        <w:t>.</w:t>
      </w:r>
      <w:r>
        <w:rPr>
          <w:rFonts w:ascii="Arial" w:hAnsi="Arial"/>
          <w:szCs w:val="20"/>
        </w:rPr>
        <w:t xml:space="preserve"> Each measure has its purpose and value: using just low-income private renters gives a picture of the level of housing stress for this important group; using all low-income renting households gives a picture of the overall housing affordability for renters in the country in question, with the size of the decrease from the private rental rate giving an indication of the impact of the social housing programme. </w:t>
      </w:r>
    </w:p>
    <w:p w14:paraId="155CA02F" w14:textId="77777777" w:rsidR="00FB15F7" w:rsidRDefault="00FB15F7" w:rsidP="00FB15F7">
      <w:pPr>
        <w:spacing w:after="0" w:line="240" w:lineRule="auto"/>
        <w:rPr>
          <w:rFonts w:ascii="Arial" w:hAnsi="Arial"/>
          <w:szCs w:val="20"/>
        </w:rPr>
      </w:pPr>
    </w:p>
    <w:p w14:paraId="0A972B13" w14:textId="77777777" w:rsidR="00FB15F7" w:rsidRDefault="00FB15F7" w:rsidP="00FB15F7">
      <w:pPr>
        <w:spacing w:after="0" w:line="240" w:lineRule="auto"/>
        <w:rPr>
          <w:rFonts w:ascii="Arial" w:hAnsi="Arial"/>
          <w:szCs w:val="20"/>
        </w:rPr>
      </w:pPr>
      <w:r>
        <w:rPr>
          <w:rFonts w:ascii="Arial" w:hAnsi="Arial"/>
          <w:szCs w:val="20"/>
        </w:rPr>
        <w:t xml:space="preserve">Similarly, when mortgage-free households are included in analysis for </w:t>
      </w:r>
      <w:r w:rsidRPr="008344BD">
        <w:rPr>
          <w:rFonts w:ascii="Arial" w:hAnsi="Arial"/>
          <w:b/>
          <w:bCs/>
          <w:szCs w:val="20"/>
          <w:u w:val="single"/>
        </w:rPr>
        <w:t>owners</w:t>
      </w:r>
      <w:r>
        <w:rPr>
          <w:rFonts w:ascii="Arial" w:hAnsi="Arial"/>
          <w:szCs w:val="20"/>
        </w:rPr>
        <w:t xml:space="preserve">, the reported unaffordability rates are lower than when just households with a mortgage are included. The size of the reduction depends on the proportion of outright owners among all owners, and this varies considerably across countries </w:t>
      </w:r>
      <w:r w:rsidRPr="00BC1B29">
        <w:rPr>
          <w:rFonts w:ascii="Arial" w:hAnsi="Arial"/>
          <w:szCs w:val="20"/>
        </w:rPr>
        <w:t xml:space="preserve">(see </w:t>
      </w:r>
      <w:r w:rsidRPr="00F610ED">
        <w:rPr>
          <w:rFonts w:ascii="Arial" w:hAnsi="Arial"/>
          <w:szCs w:val="20"/>
        </w:rPr>
        <w:t>Figure 1</w:t>
      </w:r>
      <w:r w:rsidRPr="00BC1B29">
        <w:rPr>
          <w:rFonts w:ascii="Arial" w:hAnsi="Arial"/>
          <w:szCs w:val="20"/>
        </w:rPr>
        <w:t xml:space="preserve"> below).</w:t>
      </w:r>
      <w:r w:rsidRPr="000A48DF">
        <w:rPr>
          <w:rFonts w:ascii="Arial" w:hAnsi="Arial"/>
          <w:szCs w:val="20"/>
        </w:rPr>
        <w:t xml:space="preserve"> </w:t>
      </w:r>
      <w:r>
        <w:rPr>
          <w:rFonts w:ascii="Arial" w:hAnsi="Arial"/>
          <w:szCs w:val="20"/>
        </w:rPr>
        <w:t xml:space="preserve">Each measure has its purpose and value. </w:t>
      </w:r>
    </w:p>
    <w:p w14:paraId="3CD9B25A" w14:textId="77777777" w:rsidR="00FB15F7" w:rsidRDefault="00FB15F7" w:rsidP="00FB15F7">
      <w:pPr>
        <w:spacing w:after="0" w:line="240" w:lineRule="auto"/>
        <w:rPr>
          <w:rFonts w:ascii="Arial" w:hAnsi="Arial"/>
          <w:szCs w:val="20"/>
        </w:rPr>
      </w:pPr>
    </w:p>
    <w:p w14:paraId="2C0E75AD" w14:textId="50D54519" w:rsidR="00E3755C" w:rsidRDefault="00FB15F7" w:rsidP="00FB15F7">
      <w:pPr>
        <w:spacing w:after="0" w:line="240" w:lineRule="auto"/>
        <w:rPr>
          <w:rFonts w:ascii="Arial" w:hAnsi="Arial"/>
          <w:szCs w:val="20"/>
        </w:rPr>
      </w:pPr>
      <w:r>
        <w:rPr>
          <w:rFonts w:ascii="Arial" w:hAnsi="Arial"/>
          <w:szCs w:val="20"/>
        </w:rPr>
        <w:t>Provided the same measure is used for all countries</w:t>
      </w:r>
      <w:r w:rsidR="00A62DBD">
        <w:rPr>
          <w:rFonts w:ascii="Arial" w:hAnsi="Arial"/>
          <w:szCs w:val="20"/>
        </w:rPr>
        <w:t xml:space="preserve"> in a particular report</w:t>
      </w:r>
      <w:r>
        <w:rPr>
          <w:rFonts w:ascii="Arial" w:hAnsi="Arial"/>
          <w:szCs w:val="20"/>
        </w:rPr>
        <w:t>, international league tables can give valid international comparisons for each measure.</w:t>
      </w:r>
    </w:p>
    <w:p w14:paraId="20C8B6D0" w14:textId="4F19FE29" w:rsidR="00577B1D" w:rsidRDefault="00577B1D" w:rsidP="00FB15F7">
      <w:pPr>
        <w:spacing w:after="0" w:line="240" w:lineRule="auto"/>
        <w:rPr>
          <w:rFonts w:ascii="Arial" w:hAnsi="Arial"/>
          <w:szCs w:val="20"/>
        </w:rPr>
      </w:pPr>
    </w:p>
    <w:p w14:paraId="3338585E" w14:textId="77D74FFA" w:rsidR="00577B1D" w:rsidRDefault="00577B1D" w:rsidP="00FB15F7">
      <w:pPr>
        <w:spacing w:after="0" w:line="240" w:lineRule="auto"/>
        <w:rPr>
          <w:rFonts w:ascii="Arial" w:hAnsi="Arial"/>
          <w:szCs w:val="20"/>
        </w:rPr>
      </w:pPr>
      <w:r w:rsidRPr="00995942">
        <w:rPr>
          <w:rFonts w:ascii="Arial" w:hAnsi="Arial"/>
          <w:szCs w:val="20"/>
          <w:u w:val="single"/>
        </w:rPr>
        <w:t>Many countries also provide housing support for lower-income households paying market rents or for owners with mortgages</w:t>
      </w:r>
      <w:r>
        <w:rPr>
          <w:rFonts w:ascii="Arial" w:hAnsi="Arial"/>
          <w:szCs w:val="20"/>
        </w:rPr>
        <w:t>. In New Zealand the mechanism is the Accommodation Supplement (AS). As noted in the Introduction, the OECD and EU treat such support in different ways when assessing housing (un)affordability for renters and owners with mortgages.</w:t>
      </w:r>
    </w:p>
    <w:p w14:paraId="45EC38AC" w14:textId="77777777" w:rsidR="00E3755C" w:rsidRDefault="00E3755C" w:rsidP="00FB15F7">
      <w:pPr>
        <w:spacing w:after="0" w:line="240" w:lineRule="auto"/>
        <w:rPr>
          <w:rFonts w:ascii="Arial" w:hAnsi="Arial"/>
          <w:szCs w:val="20"/>
        </w:rPr>
      </w:pPr>
    </w:p>
    <w:p w14:paraId="1D79DBDB" w14:textId="41C5376D" w:rsidR="00FB15F7" w:rsidRDefault="00FB15F7" w:rsidP="00FB15F7">
      <w:pPr>
        <w:spacing w:after="0" w:line="240" w:lineRule="auto"/>
        <w:rPr>
          <w:rFonts w:ascii="Arial" w:hAnsi="Arial"/>
          <w:szCs w:val="20"/>
        </w:rPr>
      </w:pPr>
      <w:r>
        <w:rPr>
          <w:rFonts w:ascii="Arial" w:hAnsi="Arial"/>
          <w:szCs w:val="20"/>
        </w:rPr>
        <w:t xml:space="preserve"> </w:t>
      </w:r>
    </w:p>
    <w:p w14:paraId="66F41D8C" w14:textId="77777777" w:rsidR="00FB15F7" w:rsidRDefault="00FB15F7" w:rsidP="00FB15F7">
      <w:pPr>
        <w:spacing w:after="0" w:line="240" w:lineRule="auto"/>
        <w:rPr>
          <w:rFonts w:ascii="Arial" w:hAnsi="Arial"/>
          <w:szCs w:val="20"/>
        </w:rPr>
      </w:pPr>
    </w:p>
    <w:p w14:paraId="40A1368C" w14:textId="77777777" w:rsidR="00FB15F7" w:rsidRDefault="00FB15F7">
      <w:pPr>
        <w:spacing w:after="0" w:line="240" w:lineRule="auto"/>
        <w:rPr>
          <w:rFonts w:ascii="Arial" w:hAnsi="Arial"/>
          <w:b/>
          <w:bCs/>
          <w:sz w:val="24"/>
          <w:szCs w:val="24"/>
        </w:rPr>
      </w:pPr>
      <w:r>
        <w:rPr>
          <w:rFonts w:ascii="Arial" w:hAnsi="Arial"/>
          <w:b/>
          <w:bCs/>
          <w:sz w:val="24"/>
          <w:szCs w:val="24"/>
        </w:rPr>
        <w:br w:type="page"/>
      </w:r>
    </w:p>
    <w:p w14:paraId="3E1E7E84" w14:textId="799AFE01" w:rsidR="00FB15F7" w:rsidRPr="00BA6E96" w:rsidRDefault="00F102F5" w:rsidP="00FB15F7">
      <w:pPr>
        <w:spacing w:after="0" w:line="240" w:lineRule="auto"/>
        <w:rPr>
          <w:rFonts w:ascii="Arial" w:hAnsi="Arial"/>
          <w:b/>
          <w:bCs/>
          <w:sz w:val="24"/>
          <w:szCs w:val="24"/>
        </w:rPr>
      </w:pPr>
      <w:r>
        <w:rPr>
          <w:rFonts w:ascii="Arial" w:hAnsi="Arial"/>
          <w:b/>
          <w:bCs/>
          <w:sz w:val="24"/>
          <w:szCs w:val="24"/>
        </w:rPr>
        <w:lastRenderedPageBreak/>
        <w:t>Tenure</w:t>
      </w:r>
      <w:r w:rsidR="00FB15F7" w:rsidRPr="00BA6E96">
        <w:rPr>
          <w:rFonts w:ascii="Arial" w:hAnsi="Arial"/>
          <w:b/>
          <w:bCs/>
          <w:sz w:val="24"/>
          <w:szCs w:val="24"/>
        </w:rPr>
        <w:t xml:space="preserve"> distribution</w:t>
      </w:r>
      <w:r>
        <w:rPr>
          <w:rFonts w:ascii="Arial" w:hAnsi="Arial"/>
          <w:b/>
          <w:bCs/>
          <w:sz w:val="24"/>
          <w:szCs w:val="24"/>
        </w:rPr>
        <w:t xml:space="preserve"> for OECD countries</w:t>
      </w:r>
    </w:p>
    <w:p w14:paraId="32E8750E" w14:textId="77777777" w:rsidR="00FB15F7" w:rsidRDefault="00FB15F7" w:rsidP="00FB15F7">
      <w:pPr>
        <w:spacing w:after="0" w:line="240" w:lineRule="auto"/>
        <w:rPr>
          <w:rFonts w:ascii="Arial" w:hAnsi="Arial"/>
          <w:szCs w:val="20"/>
        </w:rPr>
      </w:pPr>
    </w:p>
    <w:p w14:paraId="1ADF7188" w14:textId="77777777" w:rsidR="00FB15F7" w:rsidRDefault="00FB15F7" w:rsidP="00FB15F7">
      <w:pPr>
        <w:spacing w:after="0" w:line="240" w:lineRule="auto"/>
        <w:rPr>
          <w:rFonts w:ascii="Arial" w:hAnsi="Arial"/>
          <w:szCs w:val="20"/>
        </w:rPr>
      </w:pPr>
      <w:r w:rsidRPr="008C3E43">
        <w:rPr>
          <w:rFonts w:ascii="Arial" w:hAnsi="Arial"/>
          <w:b/>
          <w:bCs/>
          <w:szCs w:val="20"/>
        </w:rPr>
        <w:t>Figure 1</w:t>
      </w:r>
      <w:r>
        <w:rPr>
          <w:rFonts w:ascii="Arial" w:hAnsi="Arial"/>
          <w:szCs w:val="20"/>
        </w:rPr>
        <w:t xml:space="preserve"> shows the wide range of tenure distribution within OECD countries, with countries ranked on the level of outright ownership.  </w:t>
      </w:r>
      <w:r w:rsidRPr="00C33AF6">
        <w:rPr>
          <w:rFonts w:ascii="Arial" w:hAnsi="Arial"/>
          <w:b/>
          <w:bCs/>
          <w:szCs w:val="20"/>
        </w:rPr>
        <w:t>Figure 2</w:t>
      </w:r>
      <w:r>
        <w:rPr>
          <w:rFonts w:ascii="Arial" w:hAnsi="Arial"/>
          <w:szCs w:val="20"/>
        </w:rPr>
        <w:t xml:space="preserve"> combines the information on ownership with and without mortgage and re-ranks by overall ownership, which runs from around 80% to 95% in the former Soviet Bloc / Warsaw Pact countries through to 38% in Switzerland, ‘a nation of tenants’.</w:t>
      </w:r>
    </w:p>
    <w:p w14:paraId="20623576" w14:textId="77777777" w:rsidR="00F70D8F" w:rsidRDefault="00F70D8F" w:rsidP="00F70D8F">
      <w:pPr>
        <w:spacing w:after="0" w:line="240" w:lineRule="auto"/>
        <w:jc w:val="center"/>
        <w:rPr>
          <w:rFonts w:ascii="Arial" w:eastAsia="Times New Roman" w:hAnsi="Arial" w:cs="Times New Roman"/>
          <w:b/>
          <w:sz w:val="18"/>
          <w:szCs w:val="18"/>
          <w:lang w:val="en-GB"/>
        </w:rPr>
      </w:pPr>
    </w:p>
    <w:p w14:paraId="3DE24E75" w14:textId="5D8A5EC3" w:rsidR="00FB15F7" w:rsidRPr="00FF3F3A" w:rsidRDefault="00FB15F7" w:rsidP="00F70D8F">
      <w:pPr>
        <w:spacing w:after="0" w:line="240" w:lineRule="auto"/>
        <w:jc w:val="center"/>
        <w:rPr>
          <w:rFonts w:ascii="Arial" w:eastAsia="Times New Roman" w:hAnsi="Arial" w:cs="Times New Roman"/>
          <w:b/>
          <w:sz w:val="18"/>
          <w:szCs w:val="18"/>
          <w:lang w:val="en-GB"/>
        </w:rPr>
      </w:pPr>
      <w:r>
        <w:rPr>
          <w:rFonts w:ascii="Arial" w:eastAsia="Times New Roman" w:hAnsi="Arial" w:cs="Times New Roman"/>
          <w:b/>
          <w:sz w:val="18"/>
          <w:szCs w:val="18"/>
          <w:lang w:val="en-GB"/>
        </w:rPr>
        <w:t>Figure 1</w:t>
      </w:r>
    </w:p>
    <w:p w14:paraId="2DE8A0BE" w14:textId="77777777" w:rsidR="00FB15F7" w:rsidRDefault="00FB15F7" w:rsidP="00FB15F7">
      <w:pPr>
        <w:spacing w:line="240" w:lineRule="auto"/>
        <w:jc w:val="center"/>
        <w:rPr>
          <w:rFonts w:ascii="Arial" w:hAnsi="Arial"/>
        </w:rPr>
      </w:pPr>
      <w:r w:rsidRPr="008A5630">
        <w:rPr>
          <w:noProof/>
        </w:rPr>
        <w:drawing>
          <wp:anchor distT="0" distB="0" distL="114300" distR="114300" simplePos="0" relativeHeight="251776000" behindDoc="0" locked="0" layoutInCell="1" allowOverlap="1" wp14:anchorId="2F2B157C" wp14:editId="392C39CE">
            <wp:simplePos x="0" y="0"/>
            <wp:positionH relativeFrom="column">
              <wp:posOffset>943610</wp:posOffset>
            </wp:positionH>
            <wp:positionV relativeFrom="paragraph">
              <wp:posOffset>151765</wp:posOffset>
            </wp:positionV>
            <wp:extent cx="3962400" cy="25908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2400" cy="25908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sz w:val="18"/>
          <w:szCs w:val="18"/>
          <w:lang w:val="en-GB"/>
        </w:rPr>
        <w:t>Distribution of housing tenure across OECD countries (ranked by outright ownership), c. 2018</w:t>
      </w:r>
    </w:p>
    <w:p w14:paraId="506B6261" w14:textId="77777777" w:rsidR="00FB15F7" w:rsidRDefault="00FB15F7" w:rsidP="00FB15F7">
      <w:pPr>
        <w:spacing w:before="40" w:after="40" w:line="240" w:lineRule="auto"/>
        <w:jc w:val="center"/>
        <w:rPr>
          <w:rFonts w:ascii="Arial" w:eastAsia="Times New Roman" w:hAnsi="Arial" w:cs="Times New Roman"/>
          <w:b/>
          <w:sz w:val="18"/>
          <w:szCs w:val="18"/>
          <w:lang w:val="en-GB"/>
        </w:rPr>
      </w:pPr>
    </w:p>
    <w:p w14:paraId="42A9F669" w14:textId="50CEDA24" w:rsidR="00FB15F7" w:rsidRPr="00FF3F3A" w:rsidRDefault="00FB15F7" w:rsidP="00FB15F7">
      <w:pPr>
        <w:spacing w:before="40" w:after="40" w:line="240" w:lineRule="auto"/>
        <w:jc w:val="center"/>
        <w:rPr>
          <w:rFonts w:ascii="Arial" w:eastAsia="Times New Roman" w:hAnsi="Arial" w:cs="Times New Roman"/>
          <w:b/>
          <w:sz w:val="18"/>
          <w:szCs w:val="18"/>
          <w:lang w:val="en-GB"/>
        </w:rPr>
      </w:pPr>
      <w:r>
        <w:rPr>
          <w:rFonts w:ascii="Arial" w:eastAsia="Times New Roman" w:hAnsi="Arial" w:cs="Times New Roman"/>
          <w:b/>
          <w:sz w:val="18"/>
          <w:szCs w:val="18"/>
          <w:lang w:val="en-GB"/>
        </w:rPr>
        <w:t>Figure 2</w:t>
      </w:r>
    </w:p>
    <w:p w14:paraId="0D5EE573" w14:textId="2A9367C7" w:rsidR="00FB15F7" w:rsidRDefault="0020042A" w:rsidP="00FB15F7">
      <w:pPr>
        <w:spacing w:after="0" w:line="240" w:lineRule="auto"/>
        <w:jc w:val="center"/>
        <w:rPr>
          <w:rFonts w:ascii="Arial" w:hAnsi="Arial"/>
        </w:rPr>
      </w:pPr>
      <w:r w:rsidRPr="00407BBA">
        <w:rPr>
          <w:noProof/>
        </w:rPr>
        <w:drawing>
          <wp:anchor distT="0" distB="0" distL="114300" distR="114300" simplePos="0" relativeHeight="251777024" behindDoc="0" locked="0" layoutInCell="1" allowOverlap="1" wp14:anchorId="1DECBB0F" wp14:editId="122FE4B3">
            <wp:simplePos x="0" y="0"/>
            <wp:positionH relativeFrom="column">
              <wp:posOffset>1016000</wp:posOffset>
            </wp:positionH>
            <wp:positionV relativeFrom="paragraph">
              <wp:posOffset>145415</wp:posOffset>
            </wp:positionV>
            <wp:extent cx="3879850" cy="2536825"/>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9850" cy="2536825"/>
                    </a:xfrm>
                    <a:prstGeom prst="rect">
                      <a:avLst/>
                    </a:prstGeom>
                  </pic:spPr>
                </pic:pic>
              </a:graphicData>
            </a:graphic>
            <wp14:sizeRelH relativeFrom="margin">
              <wp14:pctWidth>0</wp14:pctWidth>
            </wp14:sizeRelH>
            <wp14:sizeRelV relativeFrom="margin">
              <wp14:pctHeight>0</wp14:pctHeight>
            </wp14:sizeRelV>
          </wp:anchor>
        </w:drawing>
      </w:r>
      <w:r w:rsidR="00FB15F7">
        <w:rPr>
          <w:rFonts w:ascii="Arial" w:eastAsia="Times New Roman" w:hAnsi="Arial" w:cs="Times New Roman"/>
          <w:b/>
          <w:sz w:val="18"/>
          <w:szCs w:val="18"/>
          <w:lang w:val="en-GB"/>
        </w:rPr>
        <w:t>Distribution of home ownership across OECD countries</w:t>
      </w:r>
    </w:p>
    <w:p w14:paraId="58498C60" w14:textId="3359616F" w:rsidR="00FB15F7" w:rsidRDefault="00FB15F7" w:rsidP="00FB15F7">
      <w:pPr>
        <w:spacing w:after="0" w:line="240" w:lineRule="auto"/>
        <w:rPr>
          <w:rFonts w:ascii="Arial" w:hAnsi="Arial"/>
          <w:color w:val="000000" w:themeColor="text1"/>
          <w:szCs w:val="20"/>
        </w:rPr>
      </w:pPr>
    </w:p>
    <w:p w14:paraId="7C810939" w14:textId="5F8D747C" w:rsidR="008C398F" w:rsidRDefault="00FB15F7" w:rsidP="00FB15F7">
      <w:pPr>
        <w:spacing w:after="0" w:line="240" w:lineRule="auto"/>
        <w:rPr>
          <w:rFonts w:ascii="Arial" w:hAnsi="Arial"/>
          <w:color w:val="000000" w:themeColor="text1"/>
          <w:szCs w:val="20"/>
        </w:rPr>
      </w:pPr>
      <w:r w:rsidRPr="00504F7C">
        <w:rPr>
          <w:rFonts w:ascii="Arial" w:hAnsi="Arial"/>
          <w:color w:val="000000" w:themeColor="text1"/>
          <w:szCs w:val="20"/>
        </w:rPr>
        <w:t xml:space="preserve">From a New Zealand perspective, </w:t>
      </w:r>
      <w:r w:rsidRPr="005D1EE4">
        <w:rPr>
          <w:rFonts w:ascii="Arial" w:hAnsi="Arial"/>
          <w:color w:val="000000" w:themeColor="text1"/>
          <w:szCs w:val="20"/>
          <w:u w:val="single"/>
        </w:rPr>
        <w:t>home ownership</w:t>
      </w:r>
      <w:r w:rsidRPr="00504F7C">
        <w:rPr>
          <w:rFonts w:ascii="Arial" w:hAnsi="Arial"/>
          <w:color w:val="000000" w:themeColor="text1"/>
          <w:szCs w:val="20"/>
        </w:rPr>
        <w:t xml:space="preserve"> </w:t>
      </w:r>
      <w:r w:rsidR="00A62DBD">
        <w:rPr>
          <w:rFonts w:ascii="Arial" w:hAnsi="Arial"/>
          <w:color w:val="000000" w:themeColor="text1"/>
          <w:szCs w:val="20"/>
        </w:rPr>
        <w:t>(</w:t>
      </w:r>
      <w:r w:rsidRPr="00504F7C">
        <w:rPr>
          <w:rFonts w:ascii="Arial" w:hAnsi="Arial"/>
          <w:color w:val="000000" w:themeColor="text1"/>
          <w:szCs w:val="20"/>
        </w:rPr>
        <w:t>and especially mortgage-free home ownership</w:t>
      </w:r>
      <w:r w:rsidR="00A62DBD">
        <w:rPr>
          <w:rFonts w:ascii="Arial" w:hAnsi="Arial"/>
          <w:color w:val="000000" w:themeColor="text1"/>
          <w:szCs w:val="20"/>
        </w:rPr>
        <w:t>)</w:t>
      </w:r>
      <w:r>
        <w:rPr>
          <w:rFonts w:ascii="Arial" w:hAnsi="Arial"/>
          <w:color w:val="000000" w:themeColor="text1"/>
          <w:szCs w:val="20"/>
        </w:rPr>
        <w:t xml:space="preserve"> </w:t>
      </w:r>
      <w:r w:rsidR="00A62DBD">
        <w:rPr>
          <w:rFonts w:ascii="Arial" w:hAnsi="Arial"/>
          <w:color w:val="000000" w:themeColor="text1"/>
          <w:szCs w:val="20"/>
        </w:rPr>
        <w:t>is</w:t>
      </w:r>
      <w:r>
        <w:rPr>
          <w:rFonts w:ascii="Arial" w:hAnsi="Arial"/>
          <w:color w:val="000000" w:themeColor="text1"/>
          <w:szCs w:val="20"/>
        </w:rPr>
        <w:t xml:space="preserve"> seen as something to aspire to and </w:t>
      </w:r>
      <w:r w:rsidR="00A62DBD">
        <w:rPr>
          <w:rFonts w:ascii="Arial" w:hAnsi="Arial"/>
          <w:color w:val="000000" w:themeColor="text1"/>
          <w:szCs w:val="20"/>
        </w:rPr>
        <w:t xml:space="preserve">is </w:t>
      </w:r>
      <w:r>
        <w:rPr>
          <w:rFonts w:ascii="Arial" w:hAnsi="Arial"/>
          <w:color w:val="000000" w:themeColor="text1"/>
          <w:szCs w:val="20"/>
        </w:rPr>
        <w:t xml:space="preserve">generally associated with higher living standards and better quality housing than is the case on average for rental accommodation. This is not the case for all countries across the OECD and EU. For example, ‘home ownership’ in the former Soviet Bloc countries is very high but many of these homes are crowded and poorly maintained apartments, purchased relatively cheaply in the1990s from the (previous) communist governments. </w:t>
      </w:r>
    </w:p>
    <w:p w14:paraId="5E1E0A4A" w14:textId="77777777" w:rsidR="008C398F" w:rsidRDefault="008C398F" w:rsidP="00FB15F7">
      <w:pPr>
        <w:spacing w:after="0" w:line="240" w:lineRule="auto"/>
        <w:rPr>
          <w:rFonts w:ascii="Arial" w:hAnsi="Arial"/>
          <w:szCs w:val="20"/>
        </w:rPr>
      </w:pPr>
    </w:p>
    <w:p w14:paraId="30841830" w14:textId="7D4BC052" w:rsidR="00FB15F7" w:rsidRPr="008C398F" w:rsidRDefault="00FB15F7" w:rsidP="00FB15F7">
      <w:pPr>
        <w:spacing w:after="0" w:line="240" w:lineRule="auto"/>
        <w:rPr>
          <w:rFonts w:ascii="Arial" w:hAnsi="Arial"/>
          <w:color w:val="000000" w:themeColor="text1"/>
          <w:szCs w:val="20"/>
        </w:rPr>
      </w:pPr>
      <w:r w:rsidRPr="00230B79">
        <w:rPr>
          <w:rFonts w:ascii="Arial" w:hAnsi="Arial"/>
          <w:szCs w:val="20"/>
        </w:rPr>
        <w:t xml:space="preserve">For </w:t>
      </w:r>
      <w:r w:rsidRPr="00230B79">
        <w:rPr>
          <w:rFonts w:ascii="Arial" w:hAnsi="Arial"/>
          <w:szCs w:val="20"/>
          <w:u w:val="single"/>
        </w:rPr>
        <w:t>social housing</w:t>
      </w:r>
      <w:r w:rsidRPr="00230B79">
        <w:rPr>
          <w:rFonts w:ascii="Arial" w:hAnsi="Arial"/>
          <w:szCs w:val="20"/>
        </w:rPr>
        <w:t xml:space="preserve"> </w:t>
      </w:r>
      <w:r>
        <w:rPr>
          <w:rFonts w:ascii="Arial" w:hAnsi="Arial"/>
          <w:szCs w:val="20"/>
        </w:rPr>
        <w:t>i</w:t>
      </w:r>
      <w:r w:rsidRPr="00230B79">
        <w:rPr>
          <w:rFonts w:ascii="Arial" w:hAnsi="Arial"/>
          <w:szCs w:val="20"/>
        </w:rPr>
        <w:t xml:space="preserve">n the OECD, </w:t>
      </w:r>
      <w:r w:rsidRPr="00230B79">
        <w:rPr>
          <w:rFonts w:ascii="Arial" w:hAnsi="Arial"/>
          <w:color w:val="000000"/>
          <w:szCs w:val="20"/>
        </w:rPr>
        <w:t>there is a considerable variation in the degree of subsidisation, the eligibility criteria and in the range of providers used.</w:t>
      </w:r>
      <w:r w:rsidRPr="009F5056">
        <w:rPr>
          <w:rStyle w:val="FootnoteReference"/>
          <w:rFonts w:ascii="Arial" w:hAnsi="Arial"/>
          <w:szCs w:val="20"/>
        </w:rPr>
        <w:t xml:space="preserve"> </w:t>
      </w:r>
      <w:r>
        <w:rPr>
          <w:rStyle w:val="FootnoteReference"/>
          <w:rFonts w:ascii="Arial" w:hAnsi="Arial"/>
          <w:szCs w:val="20"/>
        </w:rPr>
        <w:footnoteReference w:id="11"/>
      </w:r>
      <w:r>
        <w:rPr>
          <w:rFonts w:ascii="Arial" w:hAnsi="Arial"/>
          <w:szCs w:val="20"/>
        </w:rPr>
        <w:t xml:space="preserve"> </w:t>
      </w:r>
      <w:r w:rsidRPr="00230B79">
        <w:rPr>
          <w:rFonts w:ascii="Arial" w:hAnsi="Arial"/>
          <w:color w:val="000000"/>
          <w:szCs w:val="20"/>
        </w:rPr>
        <w:t xml:space="preserve"> </w:t>
      </w:r>
      <w:r>
        <w:rPr>
          <w:rFonts w:ascii="Arial" w:hAnsi="Arial"/>
          <w:color w:val="000000"/>
          <w:szCs w:val="20"/>
        </w:rPr>
        <w:t xml:space="preserve">At </w:t>
      </w:r>
      <w:r w:rsidRPr="00BC1B29">
        <w:rPr>
          <w:rFonts w:ascii="Arial" w:hAnsi="Arial"/>
          <w:szCs w:val="20"/>
        </w:rPr>
        <w:t xml:space="preserve">one end of the </w:t>
      </w:r>
      <w:r w:rsidRPr="00230B79">
        <w:rPr>
          <w:rFonts w:ascii="Arial" w:hAnsi="Arial"/>
          <w:szCs w:val="20"/>
        </w:rPr>
        <w:t>spectrum social housing</w:t>
      </w:r>
      <w:r w:rsidRPr="00BC1B29">
        <w:rPr>
          <w:rFonts w:ascii="Arial" w:hAnsi="Arial"/>
          <w:szCs w:val="20"/>
        </w:rPr>
        <w:t xml:space="preserve"> </w:t>
      </w:r>
      <w:r w:rsidRPr="00BC1B29">
        <w:rPr>
          <w:rFonts w:ascii="Arial" w:hAnsi="Arial"/>
          <w:szCs w:val="20"/>
        </w:rPr>
        <w:lastRenderedPageBreak/>
        <w:t xml:space="preserve">accounts for more than 20% of dwellings for three countries (Netherlands, Denmark and Austria). A little further down are Ireland, the UK and France in the 10-20% range. For Australia, Canada, New Zealand, Norway, Italy and Belgium, social housing stock is </w:t>
      </w:r>
      <w:r w:rsidRPr="00712C75">
        <w:rPr>
          <w:rFonts w:ascii="Arial" w:hAnsi="Arial"/>
          <w:szCs w:val="20"/>
        </w:rPr>
        <w:t>around 4-5% of</w:t>
      </w:r>
      <w:r w:rsidRPr="00BC1B29">
        <w:rPr>
          <w:rFonts w:ascii="Arial" w:hAnsi="Arial"/>
          <w:szCs w:val="20"/>
        </w:rPr>
        <w:t xml:space="preserve"> all dwellings, and Spain, Estonia and Czechia have less than 1%. The majority of OECD countries (24/37) have under</w:t>
      </w:r>
      <w:r>
        <w:rPr>
          <w:rFonts w:ascii="Arial" w:hAnsi="Arial"/>
          <w:szCs w:val="20"/>
        </w:rPr>
        <w:t xml:space="preserve"> </w:t>
      </w:r>
      <w:r w:rsidRPr="008C3E43">
        <w:rPr>
          <w:rFonts w:ascii="Arial" w:hAnsi="Arial"/>
          <w:szCs w:val="20"/>
        </w:rPr>
        <w:t>7%. The bulk of these households are in the bottom income quintile, which is the one used most often to examine housing stress</w:t>
      </w:r>
      <w:r w:rsidR="00712C75">
        <w:rPr>
          <w:rFonts w:ascii="Arial" w:hAnsi="Arial"/>
          <w:szCs w:val="20"/>
        </w:rPr>
        <w:t xml:space="preserve"> for renters especially.</w:t>
      </w:r>
      <w:r>
        <w:rPr>
          <w:rStyle w:val="FootnoteReference"/>
          <w:rFonts w:ascii="Arial" w:hAnsi="Arial"/>
          <w:szCs w:val="20"/>
        </w:rPr>
        <w:footnoteReference w:id="12"/>
      </w:r>
    </w:p>
    <w:p w14:paraId="56A0ADD9" w14:textId="77777777" w:rsidR="00FB15F7" w:rsidRDefault="00FB15F7" w:rsidP="00FB15F7">
      <w:pPr>
        <w:spacing w:after="0" w:line="240" w:lineRule="auto"/>
        <w:rPr>
          <w:rFonts w:ascii="Arial" w:hAnsi="Arial"/>
          <w:szCs w:val="20"/>
        </w:rPr>
      </w:pPr>
    </w:p>
    <w:p w14:paraId="6D3A3173" w14:textId="0FD352C3" w:rsidR="00FB15F7" w:rsidRPr="00C33E6D" w:rsidRDefault="00FB15F7" w:rsidP="00FB15F7">
      <w:pPr>
        <w:spacing w:after="0" w:line="240" w:lineRule="auto"/>
        <w:rPr>
          <w:rFonts w:ascii="Arial" w:hAnsi="Arial"/>
          <w:szCs w:val="20"/>
        </w:rPr>
      </w:pPr>
      <w:r w:rsidRPr="0011196D">
        <w:rPr>
          <w:rFonts w:ascii="Arial" w:hAnsi="Arial"/>
          <w:b/>
          <w:bCs/>
          <w:szCs w:val="20"/>
        </w:rPr>
        <w:t>Figure 3</w:t>
      </w:r>
      <w:r>
        <w:rPr>
          <w:rFonts w:ascii="Arial" w:hAnsi="Arial"/>
          <w:szCs w:val="20"/>
        </w:rPr>
        <w:t xml:space="preserve"> shows the distribution of housing tenure </w:t>
      </w:r>
      <w:r w:rsidR="008C398F">
        <w:rPr>
          <w:rFonts w:ascii="Arial" w:hAnsi="Arial"/>
          <w:szCs w:val="20"/>
        </w:rPr>
        <w:t>for</w:t>
      </w:r>
      <w:r>
        <w:rPr>
          <w:rFonts w:ascii="Arial" w:hAnsi="Arial"/>
          <w:szCs w:val="20"/>
        </w:rPr>
        <w:t xml:space="preserve"> households in the </w:t>
      </w:r>
      <w:r w:rsidRPr="0011196D">
        <w:rPr>
          <w:rFonts w:ascii="Arial" w:hAnsi="Arial"/>
          <w:szCs w:val="20"/>
          <w:u w:val="single"/>
        </w:rPr>
        <w:t>bottom income quintile</w:t>
      </w:r>
      <w:r>
        <w:rPr>
          <w:rFonts w:ascii="Arial" w:hAnsi="Arial"/>
          <w:szCs w:val="20"/>
        </w:rPr>
        <w:t xml:space="preserve"> (20%). </w:t>
      </w:r>
    </w:p>
    <w:p w14:paraId="4EF9BF4F" w14:textId="77777777" w:rsidR="008C398F" w:rsidRDefault="008C398F" w:rsidP="00FB15F7">
      <w:pPr>
        <w:spacing w:before="40" w:after="40" w:line="240" w:lineRule="auto"/>
        <w:jc w:val="center"/>
        <w:rPr>
          <w:rFonts w:ascii="Arial" w:hAnsi="Arial"/>
          <w:b/>
          <w:bCs/>
          <w:sz w:val="18"/>
          <w:szCs w:val="18"/>
        </w:rPr>
      </w:pPr>
    </w:p>
    <w:p w14:paraId="6C87FDE3" w14:textId="391AAA08" w:rsidR="00FB15F7" w:rsidRPr="003D32E2" w:rsidRDefault="00FB15F7" w:rsidP="00FB15F7">
      <w:pPr>
        <w:spacing w:before="40" w:after="40" w:line="240" w:lineRule="auto"/>
        <w:jc w:val="center"/>
        <w:rPr>
          <w:rFonts w:ascii="Arial" w:hAnsi="Arial"/>
          <w:b/>
          <w:bCs/>
          <w:sz w:val="18"/>
          <w:szCs w:val="18"/>
        </w:rPr>
      </w:pPr>
      <w:r w:rsidRPr="003D32E2">
        <w:rPr>
          <w:rFonts w:ascii="Arial" w:hAnsi="Arial"/>
          <w:b/>
          <w:bCs/>
          <w:sz w:val="18"/>
          <w:szCs w:val="18"/>
        </w:rPr>
        <w:t xml:space="preserve">Figure </w:t>
      </w:r>
      <w:r>
        <w:rPr>
          <w:rFonts w:ascii="Arial" w:hAnsi="Arial"/>
          <w:b/>
          <w:bCs/>
          <w:sz w:val="18"/>
          <w:szCs w:val="18"/>
        </w:rPr>
        <w:t>3</w:t>
      </w:r>
    </w:p>
    <w:p w14:paraId="3823EA12" w14:textId="77777777" w:rsidR="00FB15F7" w:rsidRDefault="00FB15F7" w:rsidP="00FB15F7">
      <w:pPr>
        <w:spacing w:before="40" w:after="40" w:line="240" w:lineRule="auto"/>
        <w:jc w:val="center"/>
        <w:rPr>
          <w:rFonts w:ascii="Arial" w:hAnsi="Arial"/>
          <w:b/>
          <w:bCs/>
          <w:sz w:val="18"/>
          <w:szCs w:val="18"/>
        </w:rPr>
      </w:pPr>
      <w:r w:rsidRPr="000679A1">
        <w:rPr>
          <w:noProof/>
        </w:rPr>
        <w:drawing>
          <wp:anchor distT="0" distB="0" distL="114300" distR="114300" simplePos="0" relativeHeight="251778048" behindDoc="0" locked="0" layoutInCell="1" allowOverlap="1" wp14:anchorId="7412F4C3" wp14:editId="095028B4">
            <wp:simplePos x="0" y="0"/>
            <wp:positionH relativeFrom="column">
              <wp:posOffset>673100</wp:posOffset>
            </wp:positionH>
            <wp:positionV relativeFrom="paragraph">
              <wp:posOffset>161925</wp:posOffset>
            </wp:positionV>
            <wp:extent cx="4337050" cy="2830195"/>
            <wp:effectExtent l="0" t="0" r="6350" b="825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7050" cy="28301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Housing t</w:t>
      </w:r>
      <w:r w:rsidRPr="003D32E2">
        <w:rPr>
          <w:rFonts w:ascii="Arial" w:hAnsi="Arial"/>
          <w:b/>
          <w:bCs/>
          <w:sz w:val="18"/>
          <w:szCs w:val="18"/>
        </w:rPr>
        <w:t>enure distribution</w:t>
      </w:r>
      <w:r>
        <w:rPr>
          <w:rFonts w:ascii="Arial" w:hAnsi="Arial"/>
          <w:b/>
          <w:bCs/>
          <w:sz w:val="18"/>
          <w:szCs w:val="18"/>
        </w:rPr>
        <w:t xml:space="preserve"> for the lowest income quintile, ranked by outright ownership c.2018</w:t>
      </w:r>
      <w:r>
        <w:rPr>
          <w:rFonts w:ascii="Arial" w:hAnsi="Arial"/>
          <w:b/>
          <w:bCs/>
          <w:sz w:val="18"/>
          <w:szCs w:val="18"/>
          <w:highlight w:val="yellow"/>
        </w:rPr>
        <w:t xml:space="preserve"> </w:t>
      </w:r>
    </w:p>
    <w:p w14:paraId="54D79113" w14:textId="77777777" w:rsidR="00FB15F7" w:rsidRDefault="00FB15F7" w:rsidP="00FB15F7">
      <w:pPr>
        <w:spacing w:after="0" w:line="240" w:lineRule="auto"/>
        <w:rPr>
          <w:rFonts w:ascii="Arial" w:hAnsi="Arial"/>
          <w:szCs w:val="20"/>
        </w:rPr>
      </w:pPr>
    </w:p>
    <w:p w14:paraId="363326E0" w14:textId="77777777" w:rsidR="000F4DE1" w:rsidRDefault="000F4DE1" w:rsidP="00FB15F7">
      <w:pPr>
        <w:spacing w:after="0" w:line="240" w:lineRule="auto"/>
        <w:rPr>
          <w:rFonts w:ascii="Arial" w:hAnsi="Arial"/>
          <w:szCs w:val="20"/>
        </w:rPr>
      </w:pPr>
    </w:p>
    <w:p w14:paraId="6CE56C41" w14:textId="141CF6C2" w:rsidR="00FB15F7" w:rsidRDefault="00FB15F7" w:rsidP="00FB15F7">
      <w:pPr>
        <w:spacing w:after="0" w:line="240" w:lineRule="auto"/>
        <w:rPr>
          <w:rFonts w:ascii="Arial" w:hAnsi="Arial"/>
          <w:szCs w:val="20"/>
        </w:rPr>
      </w:pPr>
      <w:r>
        <w:rPr>
          <w:rFonts w:ascii="Arial" w:hAnsi="Arial"/>
          <w:szCs w:val="20"/>
        </w:rPr>
        <w:t>For interpreting the affordability figures in Part 2, there are several features of Q1 tenure that are worth noting:</w:t>
      </w:r>
    </w:p>
    <w:p w14:paraId="3876D819" w14:textId="5DE18C6E" w:rsidR="00FB15F7" w:rsidRPr="00C33E6D" w:rsidRDefault="00FB15F7" w:rsidP="00FB15F7">
      <w:pPr>
        <w:pStyle w:val="ListParagraph"/>
        <w:numPr>
          <w:ilvl w:val="0"/>
          <w:numId w:val="18"/>
        </w:numPr>
        <w:spacing w:before="80" w:after="0" w:line="240" w:lineRule="auto"/>
        <w:ind w:left="714" w:hanging="357"/>
        <w:contextualSpacing w:val="0"/>
        <w:rPr>
          <w:rFonts w:ascii="Arial" w:hAnsi="Arial"/>
          <w:szCs w:val="20"/>
        </w:rPr>
      </w:pPr>
      <w:r>
        <w:rPr>
          <w:rFonts w:ascii="Arial" w:hAnsi="Arial"/>
          <w:szCs w:val="20"/>
        </w:rPr>
        <w:t>For the bulk of OECD countries (leaving aside the former Soviet Bloc countries), compared with the distribution across all households (Figure 1), the proportion of rentals is much higher and the owned-with-mortgage proportions are much lower in Q1 (Figure 3).</w:t>
      </w:r>
      <w:r w:rsidR="00712C75">
        <w:rPr>
          <w:rFonts w:ascii="Arial" w:hAnsi="Arial"/>
          <w:szCs w:val="20"/>
        </w:rPr>
        <w:t xml:space="preserve"> This means that the </w:t>
      </w:r>
      <w:r w:rsidR="00E96348">
        <w:rPr>
          <w:rFonts w:ascii="Arial" w:hAnsi="Arial"/>
          <w:szCs w:val="20"/>
        </w:rPr>
        <w:t xml:space="preserve">Q1 </w:t>
      </w:r>
      <w:r w:rsidR="00712C75">
        <w:rPr>
          <w:rFonts w:ascii="Arial" w:hAnsi="Arial"/>
          <w:szCs w:val="20"/>
        </w:rPr>
        <w:t xml:space="preserve">rankings for housing stress for the owned-with-mortgage category are </w:t>
      </w:r>
      <w:r w:rsidR="00E96348">
        <w:rPr>
          <w:rFonts w:ascii="Arial" w:hAnsi="Arial"/>
          <w:szCs w:val="20"/>
        </w:rPr>
        <w:t xml:space="preserve">not </w:t>
      </w:r>
      <w:r w:rsidR="00712C75">
        <w:rPr>
          <w:rFonts w:ascii="Arial" w:hAnsi="Arial"/>
          <w:szCs w:val="20"/>
        </w:rPr>
        <w:t xml:space="preserve">likely to </w:t>
      </w:r>
      <w:r w:rsidR="00E96348">
        <w:rPr>
          <w:rFonts w:ascii="Arial" w:hAnsi="Arial"/>
          <w:szCs w:val="20"/>
        </w:rPr>
        <w:t>give</w:t>
      </w:r>
      <w:r w:rsidR="00712C75">
        <w:rPr>
          <w:rFonts w:ascii="Arial" w:hAnsi="Arial"/>
          <w:szCs w:val="20"/>
        </w:rPr>
        <w:t xml:space="preserve"> reliable </w:t>
      </w:r>
      <w:r w:rsidR="00E96348">
        <w:rPr>
          <w:rFonts w:ascii="Arial" w:hAnsi="Arial"/>
          <w:szCs w:val="20"/>
        </w:rPr>
        <w:t xml:space="preserve">estimates </w:t>
      </w:r>
      <w:r w:rsidR="00712C75">
        <w:rPr>
          <w:rFonts w:ascii="Arial" w:hAnsi="Arial"/>
          <w:szCs w:val="20"/>
        </w:rPr>
        <w:t>given the small sub-sample size for many countries.</w:t>
      </w:r>
      <w:r w:rsidR="00E96348">
        <w:rPr>
          <w:rFonts w:ascii="Arial" w:hAnsi="Arial"/>
          <w:szCs w:val="20"/>
        </w:rPr>
        <w:t xml:space="preserve"> For this group it is better to use Q2 and Q3 rankings as the sub-samples are much more sizeable for them.</w:t>
      </w:r>
    </w:p>
    <w:p w14:paraId="424D12DF" w14:textId="79980484" w:rsidR="00FB15F7" w:rsidRDefault="00FB15F7" w:rsidP="00FB15F7">
      <w:pPr>
        <w:pStyle w:val="ListParagraph"/>
        <w:numPr>
          <w:ilvl w:val="0"/>
          <w:numId w:val="18"/>
        </w:numPr>
        <w:spacing w:before="80" w:after="0" w:line="240" w:lineRule="auto"/>
        <w:ind w:left="714" w:hanging="357"/>
        <w:contextualSpacing w:val="0"/>
        <w:rPr>
          <w:rFonts w:ascii="Arial" w:hAnsi="Arial"/>
          <w:szCs w:val="20"/>
        </w:rPr>
      </w:pPr>
      <w:r>
        <w:rPr>
          <w:rFonts w:ascii="Arial" w:hAnsi="Arial"/>
          <w:szCs w:val="20"/>
        </w:rPr>
        <w:t xml:space="preserve">For the owned-outright group, the proportions </w:t>
      </w:r>
      <w:r w:rsidR="00E96348">
        <w:rPr>
          <w:rFonts w:ascii="Arial" w:hAnsi="Arial"/>
          <w:szCs w:val="20"/>
        </w:rPr>
        <w:t xml:space="preserve">in Q1 </w:t>
      </w:r>
      <w:r>
        <w:rPr>
          <w:rFonts w:ascii="Arial" w:hAnsi="Arial"/>
          <w:szCs w:val="20"/>
        </w:rPr>
        <w:t xml:space="preserve">are not greatly different </w:t>
      </w:r>
      <w:r w:rsidR="00E179F7">
        <w:rPr>
          <w:rFonts w:ascii="Arial" w:hAnsi="Arial"/>
          <w:szCs w:val="20"/>
        </w:rPr>
        <w:t>from</w:t>
      </w:r>
      <w:r w:rsidR="00E96348">
        <w:rPr>
          <w:rFonts w:ascii="Arial" w:hAnsi="Arial"/>
          <w:szCs w:val="20"/>
        </w:rPr>
        <w:t xml:space="preserve"> those for </w:t>
      </w:r>
      <w:r>
        <w:rPr>
          <w:rFonts w:ascii="Arial" w:hAnsi="Arial"/>
          <w:szCs w:val="20"/>
        </w:rPr>
        <w:t>all households.</w:t>
      </w:r>
    </w:p>
    <w:p w14:paraId="21D9BC0C" w14:textId="77777777" w:rsidR="00FB15F7" w:rsidRDefault="00FB15F7" w:rsidP="00FB15F7">
      <w:pPr>
        <w:pStyle w:val="ListParagraph"/>
        <w:numPr>
          <w:ilvl w:val="0"/>
          <w:numId w:val="18"/>
        </w:numPr>
        <w:spacing w:before="80" w:after="0" w:line="240" w:lineRule="auto"/>
        <w:ind w:left="714" w:hanging="357"/>
        <w:contextualSpacing w:val="0"/>
        <w:rPr>
          <w:rFonts w:ascii="Arial" w:hAnsi="Arial"/>
          <w:szCs w:val="20"/>
        </w:rPr>
      </w:pPr>
      <w:bookmarkStart w:id="6" w:name="_Hlk81819787"/>
      <w:bookmarkStart w:id="7" w:name="_Hlk81819930"/>
      <w:r>
        <w:rPr>
          <w:rFonts w:ascii="Arial" w:hAnsi="Arial"/>
          <w:szCs w:val="20"/>
        </w:rPr>
        <w:t>For New Zealand</w:t>
      </w:r>
      <w:r w:rsidRPr="008B5C1F">
        <w:rPr>
          <w:rFonts w:ascii="Arial" w:hAnsi="Arial"/>
          <w:szCs w:val="20"/>
        </w:rPr>
        <w:t xml:space="preserve">, </w:t>
      </w:r>
      <w:r>
        <w:rPr>
          <w:rFonts w:ascii="Arial" w:hAnsi="Arial"/>
          <w:szCs w:val="20"/>
        </w:rPr>
        <w:t xml:space="preserve">around </w:t>
      </w:r>
      <w:r w:rsidRPr="008B5C1F">
        <w:rPr>
          <w:rFonts w:ascii="Arial" w:hAnsi="Arial"/>
          <w:szCs w:val="20"/>
        </w:rPr>
        <w:t>80% of Q1 households</w:t>
      </w:r>
      <w:r>
        <w:rPr>
          <w:rFonts w:ascii="Arial" w:hAnsi="Arial"/>
          <w:szCs w:val="20"/>
        </w:rPr>
        <w:t xml:space="preserve"> without a mortgage are households with at least one member who is 65+.</w:t>
      </w:r>
      <w:r>
        <w:rPr>
          <w:rStyle w:val="FootnoteReference"/>
          <w:rFonts w:ascii="Arial" w:hAnsi="Arial"/>
          <w:szCs w:val="20"/>
        </w:rPr>
        <w:footnoteReference w:id="13"/>
      </w:r>
      <w:r>
        <w:rPr>
          <w:rFonts w:ascii="Arial" w:hAnsi="Arial"/>
          <w:szCs w:val="20"/>
        </w:rPr>
        <w:t xml:space="preserve"> </w:t>
      </w:r>
    </w:p>
    <w:p w14:paraId="390FD354" w14:textId="3949E31C" w:rsidR="00FB15F7" w:rsidRPr="00C33E6D" w:rsidRDefault="00FB15F7" w:rsidP="00FB15F7">
      <w:pPr>
        <w:pStyle w:val="ListParagraph"/>
        <w:numPr>
          <w:ilvl w:val="0"/>
          <w:numId w:val="18"/>
        </w:numPr>
        <w:spacing w:before="80" w:after="0" w:line="240" w:lineRule="auto"/>
        <w:ind w:left="714" w:hanging="357"/>
        <w:contextualSpacing w:val="0"/>
        <w:rPr>
          <w:rFonts w:ascii="Arial" w:hAnsi="Arial"/>
          <w:szCs w:val="20"/>
        </w:rPr>
      </w:pPr>
      <w:r>
        <w:rPr>
          <w:rFonts w:ascii="Arial" w:hAnsi="Arial"/>
          <w:szCs w:val="20"/>
        </w:rPr>
        <w:t>The bulk of each country’s social housing is found in Q1 (</w:t>
      </w:r>
      <w:proofErr w:type="spellStart"/>
      <w:r w:rsidRPr="001C7931">
        <w:rPr>
          <w:rFonts w:ascii="Arial" w:hAnsi="Arial"/>
          <w:szCs w:val="20"/>
        </w:rPr>
        <w:t>eg</w:t>
      </w:r>
      <w:proofErr w:type="spellEnd"/>
      <w:r w:rsidRPr="001C7931">
        <w:rPr>
          <w:rFonts w:ascii="Arial" w:hAnsi="Arial"/>
          <w:szCs w:val="20"/>
        </w:rPr>
        <w:t xml:space="preserve"> two-thirds for NZ).</w:t>
      </w:r>
      <w:r>
        <w:rPr>
          <w:rFonts w:ascii="Arial" w:hAnsi="Arial"/>
          <w:szCs w:val="20"/>
        </w:rPr>
        <w:t xml:space="preserve"> </w:t>
      </w:r>
    </w:p>
    <w:bookmarkEnd w:id="6"/>
    <w:bookmarkEnd w:id="7"/>
    <w:p w14:paraId="4FAA1BEA" w14:textId="77777777" w:rsidR="00FB15F7" w:rsidRDefault="00FB15F7">
      <w:pPr>
        <w:spacing w:after="0" w:line="240" w:lineRule="auto"/>
        <w:rPr>
          <w:rFonts w:ascii="Arial" w:eastAsia="Times New Roman" w:hAnsi="Arial" w:cs="Times New Roman"/>
          <w:b/>
          <w:sz w:val="28"/>
          <w:szCs w:val="28"/>
          <w:lang w:val="en-GB"/>
        </w:rPr>
      </w:pPr>
    </w:p>
    <w:p w14:paraId="01D269E2" w14:textId="77777777" w:rsidR="00890BA5" w:rsidRDefault="00890BA5">
      <w:pPr>
        <w:spacing w:after="0" w:line="240" w:lineRule="auto"/>
        <w:rPr>
          <w:rFonts w:ascii="Arial" w:eastAsia="Times New Roman" w:hAnsi="Arial" w:cs="Times New Roman"/>
          <w:b/>
          <w:bCs/>
          <w:sz w:val="24"/>
          <w:szCs w:val="24"/>
        </w:rPr>
      </w:pPr>
      <w:bookmarkStart w:id="8" w:name="_Hlk80856896"/>
      <w:r>
        <w:rPr>
          <w:rFonts w:ascii="Arial" w:eastAsia="Times New Roman" w:hAnsi="Arial" w:cs="Times New Roman"/>
          <w:b/>
          <w:bCs/>
          <w:sz w:val="24"/>
          <w:szCs w:val="24"/>
        </w:rPr>
        <w:br w:type="page"/>
      </w:r>
    </w:p>
    <w:p w14:paraId="73028F39" w14:textId="30D54C07" w:rsidR="0061026D" w:rsidRPr="0061026D" w:rsidRDefault="0061026D" w:rsidP="0061026D">
      <w:pPr>
        <w:pStyle w:val="ListParagraph"/>
        <w:spacing w:after="0" w:line="240" w:lineRule="auto"/>
        <w:ind w:left="0"/>
        <w:rPr>
          <w:rFonts w:ascii="Arial" w:eastAsia="Times New Roman" w:hAnsi="Arial" w:cs="Times New Roman"/>
          <w:b/>
          <w:bCs/>
          <w:sz w:val="24"/>
          <w:szCs w:val="24"/>
        </w:rPr>
      </w:pPr>
      <w:r w:rsidRPr="0061026D">
        <w:rPr>
          <w:rFonts w:ascii="Arial" w:eastAsia="Times New Roman" w:hAnsi="Arial" w:cs="Times New Roman"/>
          <w:b/>
          <w:bCs/>
          <w:sz w:val="24"/>
          <w:szCs w:val="24"/>
        </w:rPr>
        <w:lastRenderedPageBreak/>
        <w:t>Units of analysis and presentation</w:t>
      </w:r>
    </w:p>
    <w:p w14:paraId="443D81F5" w14:textId="77777777" w:rsidR="0061026D" w:rsidRDefault="0061026D" w:rsidP="0061026D">
      <w:pPr>
        <w:pStyle w:val="ListParagraph"/>
        <w:spacing w:after="0" w:line="240" w:lineRule="auto"/>
        <w:rPr>
          <w:rFonts w:ascii="Arial" w:eastAsia="Times New Roman" w:hAnsi="Arial" w:cs="Times New Roman"/>
          <w:szCs w:val="20"/>
        </w:rPr>
      </w:pPr>
    </w:p>
    <w:p w14:paraId="0CFD36C2" w14:textId="77777777" w:rsidR="002C6ACE" w:rsidRDefault="002C6ACE" w:rsidP="002C6ACE">
      <w:pPr>
        <w:spacing w:after="0" w:line="240" w:lineRule="auto"/>
        <w:jc w:val="both"/>
        <w:rPr>
          <w:rFonts w:ascii="Arial" w:eastAsia="Times New Roman" w:hAnsi="Arial" w:cs="Times New Roman"/>
          <w:szCs w:val="20"/>
        </w:rPr>
      </w:pPr>
      <w:r>
        <w:rPr>
          <w:rFonts w:ascii="Arial" w:eastAsia="Times New Roman" w:hAnsi="Arial" w:cs="Times New Roman"/>
          <w:szCs w:val="20"/>
        </w:rPr>
        <w:t>Housing affordability is a household-based assessment, but findings can be presented either through counting households or by counting individuals in their households.</w:t>
      </w:r>
    </w:p>
    <w:p w14:paraId="1D45F6EA" w14:textId="77777777" w:rsidR="002C6ACE" w:rsidRDefault="002C6ACE" w:rsidP="002C6ACE">
      <w:pPr>
        <w:spacing w:after="0" w:line="240" w:lineRule="auto"/>
        <w:jc w:val="both"/>
        <w:rPr>
          <w:rFonts w:ascii="Arial" w:eastAsia="Times New Roman" w:hAnsi="Arial" w:cs="Times New Roman"/>
          <w:szCs w:val="20"/>
        </w:rPr>
      </w:pPr>
    </w:p>
    <w:p w14:paraId="0FC22CAF" w14:textId="7105E7AC" w:rsidR="002C6ACE" w:rsidRDefault="002C6ACE" w:rsidP="002C6ACE">
      <w:pPr>
        <w:spacing w:after="0" w:line="240" w:lineRule="auto"/>
        <w:jc w:val="both"/>
        <w:rPr>
          <w:rFonts w:ascii="Arial" w:eastAsia="Times New Roman" w:hAnsi="Arial" w:cs="Times New Roman"/>
          <w:szCs w:val="20"/>
        </w:rPr>
      </w:pPr>
      <w:r>
        <w:rPr>
          <w:rFonts w:ascii="Arial" w:eastAsia="Times New Roman" w:hAnsi="Arial" w:cs="Times New Roman"/>
          <w:szCs w:val="20"/>
        </w:rPr>
        <w:t xml:space="preserve">Households vary in size, </w:t>
      </w:r>
      <w:r w:rsidR="00752214">
        <w:rPr>
          <w:rFonts w:ascii="Arial" w:eastAsia="Times New Roman" w:hAnsi="Arial" w:cs="Times New Roman"/>
          <w:szCs w:val="20"/>
        </w:rPr>
        <w:t xml:space="preserve">and are not distributed evenly across the income or tenure distributions, </w:t>
      </w:r>
      <w:r>
        <w:rPr>
          <w:rFonts w:ascii="Arial" w:eastAsia="Times New Roman" w:hAnsi="Arial" w:cs="Times New Roman"/>
          <w:szCs w:val="20"/>
        </w:rPr>
        <w:t>so the two approaches produce different numbers</w:t>
      </w:r>
      <w:r w:rsidR="00752214">
        <w:rPr>
          <w:rFonts w:ascii="Arial" w:eastAsia="Times New Roman" w:hAnsi="Arial" w:cs="Times New Roman"/>
          <w:szCs w:val="20"/>
        </w:rPr>
        <w:t xml:space="preserve">. This is illustrated in </w:t>
      </w:r>
      <w:r w:rsidR="00752214" w:rsidRPr="00752214">
        <w:rPr>
          <w:rFonts w:ascii="Arial" w:eastAsia="Times New Roman" w:hAnsi="Arial" w:cs="Times New Roman"/>
          <w:b/>
          <w:bCs/>
          <w:szCs w:val="20"/>
        </w:rPr>
        <w:t>Tables 1a and 1b</w:t>
      </w:r>
      <w:r w:rsidR="00752214">
        <w:rPr>
          <w:rFonts w:ascii="Arial" w:eastAsia="Times New Roman" w:hAnsi="Arial" w:cs="Times New Roman"/>
          <w:szCs w:val="20"/>
        </w:rPr>
        <w:t xml:space="preserve"> below.</w:t>
      </w:r>
    </w:p>
    <w:p w14:paraId="10C5A3C9" w14:textId="67A65E42" w:rsidR="0061026D" w:rsidRPr="002C6ACE" w:rsidRDefault="0061026D" w:rsidP="002C6ACE">
      <w:pPr>
        <w:spacing w:after="0" w:line="240" w:lineRule="auto"/>
        <w:jc w:val="both"/>
        <w:rPr>
          <w:rFonts w:ascii="Arial" w:eastAsia="Times New Roman" w:hAnsi="Arial" w:cs="Times New Roman"/>
          <w:szCs w:val="20"/>
        </w:rPr>
      </w:pPr>
    </w:p>
    <w:p w14:paraId="59E51353" w14:textId="285D5BF5" w:rsidR="00752214" w:rsidRDefault="00752214" w:rsidP="0061026D">
      <w:pPr>
        <w:pStyle w:val="ListParagraph"/>
        <w:spacing w:after="0" w:line="240" w:lineRule="auto"/>
        <w:ind w:left="0"/>
        <w:rPr>
          <w:rFonts w:ascii="Arial" w:eastAsia="Times New Roman" w:hAnsi="Arial" w:cs="Times New Roman"/>
          <w:szCs w:val="20"/>
        </w:rPr>
      </w:pPr>
      <w:r>
        <w:rPr>
          <w:rFonts w:ascii="Arial" w:eastAsia="Times New Roman" w:hAnsi="Arial" w:cs="Times New Roman"/>
          <w:szCs w:val="20"/>
        </w:rPr>
        <w:t xml:space="preserve">For the international comparisons </w:t>
      </w:r>
      <w:r w:rsidR="006956D9">
        <w:rPr>
          <w:rFonts w:ascii="Arial" w:eastAsia="Times New Roman" w:hAnsi="Arial" w:cs="Times New Roman"/>
          <w:szCs w:val="20"/>
        </w:rPr>
        <w:t>in this report</w:t>
      </w:r>
      <w:r>
        <w:rPr>
          <w:rFonts w:ascii="Arial" w:eastAsia="Times New Roman" w:hAnsi="Arial" w:cs="Times New Roman"/>
          <w:szCs w:val="20"/>
        </w:rPr>
        <w:t>:</w:t>
      </w:r>
    </w:p>
    <w:p w14:paraId="37857232" w14:textId="77777777" w:rsidR="00F71A41" w:rsidRPr="002C6ACE" w:rsidRDefault="00F71A41" w:rsidP="00F71A41">
      <w:pPr>
        <w:pStyle w:val="ListParagraph"/>
        <w:numPr>
          <w:ilvl w:val="0"/>
          <w:numId w:val="36"/>
        </w:numPr>
        <w:spacing w:before="60" w:after="0" w:line="240" w:lineRule="auto"/>
        <w:ind w:left="714" w:hanging="357"/>
        <w:contextualSpacing w:val="0"/>
        <w:rPr>
          <w:rFonts w:ascii="Arial" w:eastAsia="Times New Roman" w:hAnsi="Arial" w:cs="Times New Roman"/>
          <w:szCs w:val="20"/>
        </w:rPr>
      </w:pPr>
      <w:r>
        <w:rPr>
          <w:rFonts w:ascii="Arial" w:eastAsia="Times New Roman" w:hAnsi="Arial" w:cs="Times New Roman"/>
          <w:szCs w:val="20"/>
        </w:rPr>
        <w:t>The OECD uses both, depending on the theme. This report makes it clear which is used.</w:t>
      </w:r>
    </w:p>
    <w:p w14:paraId="41BD2920" w14:textId="73F0E445" w:rsidR="00752214" w:rsidRDefault="00752214" w:rsidP="00BD48A8">
      <w:pPr>
        <w:pStyle w:val="ListParagraph"/>
        <w:numPr>
          <w:ilvl w:val="0"/>
          <w:numId w:val="36"/>
        </w:numPr>
        <w:spacing w:before="60" w:after="0" w:line="240" w:lineRule="auto"/>
        <w:ind w:left="714" w:hanging="357"/>
        <w:contextualSpacing w:val="0"/>
        <w:rPr>
          <w:rFonts w:ascii="Arial" w:eastAsia="Times New Roman" w:hAnsi="Arial" w:cs="Times New Roman"/>
          <w:szCs w:val="20"/>
        </w:rPr>
      </w:pPr>
      <w:r>
        <w:rPr>
          <w:rFonts w:ascii="Arial" w:eastAsia="Times New Roman" w:hAnsi="Arial" w:cs="Times New Roman"/>
          <w:szCs w:val="20"/>
        </w:rPr>
        <w:t>The EU uses only individuals</w:t>
      </w:r>
      <w:r w:rsidR="006956D9">
        <w:rPr>
          <w:rFonts w:ascii="Arial" w:eastAsia="Times New Roman" w:hAnsi="Arial" w:cs="Times New Roman"/>
          <w:szCs w:val="20"/>
        </w:rPr>
        <w:t xml:space="preserve"> for their numbers.</w:t>
      </w:r>
    </w:p>
    <w:p w14:paraId="20F56F40" w14:textId="77777777" w:rsidR="0061026D" w:rsidRDefault="0061026D" w:rsidP="0061026D">
      <w:pPr>
        <w:spacing w:after="0" w:line="240" w:lineRule="auto"/>
        <w:rPr>
          <w:rFonts w:ascii="Arial" w:hAnsi="Arial"/>
          <w:szCs w:val="20"/>
          <w:highlight w:val="yellow"/>
        </w:rPr>
      </w:pPr>
    </w:p>
    <w:p w14:paraId="35C45561" w14:textId="6AB4604F" w:rsidR="002A7850" w:rsidRDefault="00315C3F" w:rsidP="002A7850">
      <w:pPr>
        <w:spacing w:after="0" w:line="240" w:lineRule="auto"/>
        <w:rPr>
          <w:rFonts w:ascii="Arial" w:eastAsia="Times New Roman" w:hAnsi="Arial" w:cs="Times New Roman"/>
          <w:b/>
          <w:sz w:val="24"/>
          <w:szCs w:val="24"/>
          <w:lang w:val="en-GB"/>
        </w:rPr>
      </w:pPr>
      <w:r w:rsidRPr="00315C3F">
        <w:rPr>
          <w:rFonts w:ascii="Arial" w:eastAsia="Times New Roman" w:hAnsi="Arial" w:cs="Times New Roman"/>
          <w:b/>
          <w:sz w:val="24"/>
          <w:szCs w:val="24"/>
          <w:lang w:val="en-GB"/>
        </w:rPr>
        <w:t>Tenure</w:t>
      </w:r>
      <w:r w:rsidR="002A7850" w:rsidRPr="00315C3F">
        <w:rPr>
          <w:rFonts w:ascii="Arial" w:eastAsia="Times New Roman" w:hAnsi="Arial" w:cs="Times New Roman"/>
          <w:b/>
          <w:sz w:val="24"/>
          <w:szCs w:val="24"/>
          <w:lang w:val="en-GB"/>
        </w:rPr>
        <w:t xml:space="preserve"> distribution across household income quintiles</w:t>
      </w:r>
      <w:r w:rsidRPr="00315C3F">
        <w:rPr>
          <w:rFonts w:ascii="Arial" w:eastAsia="Times New Roman" w:hAnsi="Arial" w:cs="Times New Roman"/>
          <w:b/>
          <w:sz w:val="24"/>
          <w:szCs w:val="24"/>
          <w:lang w:val="en-GB"/>
        </w:rPr>
        <w:t xml:space="preserve"> for New Zealand</w:t>
      </w:r>
    </w:p>
    <w:p w14:paraId="5EA3D0EB" w14:textId="3AC1E7ED" w:rsidR="00F102F5" w:rsidRDefault="00F102F5" w:rsidP="002A7850">
      <w:pPr>
        <w:spacing w:after="0" w:line="240" w:lineRule="auto"/>
        <w:rPr>
          <w:rFonts w:ascii="Arial" w:eastAsia="Times New Roman" w:hAnsi="Arial" w:cs="Times New Roman"/>
          <w:b/>
          <w:szCs w:val="20"/>
          <w:lang w:val="en-GB"/>
        </w:rPr>
      </w:pPr>
    </w:p>
    <w:p w14:paraId="615A0AB7" w14:textId="510C0A02" w:rsidR="006956D9" w:rsidRDefault="0081500F" w:rsidP="002A7850">
      <w:pPr>
        <w:spacing w:after="0" w:line="240" w:lineRule="auto"/>
        <w:rPr>
          <w:rFonts w:ascii="Arial" w:eastAsia="Times New Roman" w:hAnsi="Arial" w:cs="Times New Roman"/>
          <w:bCs/>
          <w:szCs w:val="20"/>
          <w:lang w:val="en-GB"/>
        </w:rPr>
      </w:pPr>
      <w:r w:rsidRPr="0081500F">
        <w:rPr>
          <w:rFonts w:ascii="Arial" w:eastAsia="Times New Roman" w:hAnsi="Arial" w:cs="Times New Roman"/>
          <w:b/>
          <w:szCs w:val="20"/>
          <w:lang w:val="en-GB"/>
        </w:rPr>
        <w:t>Table</w:t>
      </w:r>
      <w:r w:rsidR="00F71A41">
        <w:rPr>
          <w:rFonts w:ascii="Arial" w:eastAsia="Times New Roman" w:hAnsi="Arial" w:cs="Times New Roman"/>
          <w:b/>
          <w:szCs w:val="20"/>
          <w:lang w:val="en-GB"/>
        </w:rPr>
        <w:t xml:space="preserve"> </w:t>
      </w:r>
      <w:r w:rsidRPr="0081500F">
        <w:rPr>
          <w:rFonts w:ascii="Arial" w:eastAsia="Times New Roman" w:hAnsi="Arial" w:cs="Times New Roman"/>
          <w:b/>
          <w:szCs w:val="20"/>
          <w:lang w:val="en-GB"/>
        </w:rPr>
        <w:t>1a</w:t>
      </w:r>
      <w:r>
        <w:rPr>
          <w:rFonts w:ascii="Arial" w:eastAsia="Times New Roman" w:hAnsi="Arial" w:cs="Times New Roman"/>
          <w:bCs/>
          <w:szCs w:val="20"/>
          <w:lang w:val="en-GB"/>
        </w:rPr>
        <w:t xml:space="preserve"> reports the tenure distribution of households across income quintiles and overall for HES 2017-18. </w:t>
      </w:r>
      <w:r w:rsidRPr="0081500F">
        <w:rPr>
          <w:rFonts w:ascii="Arial" w:eastAsia="Times New Roman" w:hAnsi="Arial" w:cs="Times New Roman"/>
          <w:b/>
          <w:szCs w:val="20"/>
          <w:lang w:val="en-GB"/>
        </w:rPr>
        <w:t>Table 1b</w:t>
      </w:r>
      <w:r>
        <w:rPr>
          <w:rFonts w:ascii="Arial" w:eastAsia="Times New Roman" w:hAnsi="Arial" w:cs="Times New Roman"/>
          <w:bCs/>
          <w:szCs w:val="20"/>
          <w:lang w:val="en-GB"/>
        </w:rPr>
        <w:t xml:space="preserve"> repeats this for individuals in their households rather than for the households themselves. </w:t>
      </w:r>
    </w:p>
    <w:p w14:paraId="5714CB34" w14:textId="77777777" w:rsidR="006956D9" w:rsidRDefault="006956D9" w:rsidP="002A7850">
      <w:pPr>
        <w:spacing w:after="0" w:line="240" w:lineRule="auto"/>
        <w:rPr>
          <w:rFonts w:ascii="Arial" w:eastAsia="Times New Roman" w:hAnsi="Arial" w:cs="Times New Roman"/>
          <w:bCs/>
          <w:szCs w:val="20"/>
          <w:lang w:val="en-GB"/>
        </w:rPr>
      </w:pPr>
    </w:p>
    <w:p w14:paraId="3BEB3EAC" w14:textId="6317AEF1" w:rsidR="00361361" w:rsidRDefault="0081500F" w:rsidP="002A7850">
      <w:pPr>
        <w:spacing w:after="0" w:line="240" w:lineRule="auto"/>
        <w:rPr>
          <w:rFonts w:ascii="Arial" w:eastAsia="Times New Roman" w:hAnsi="Arial" w:cs="Times New Roman"/>
          <w:bCs/>
          <w:szCs w:val="20"/>
          <w:lang w:val="en-GB"/>
        </w:rPr>
      </w:pPr>
      <w:r>
        <w:rPr>
          <w:rFonts w:ascii="Arial" w:eastAsia="Times New Roman" w:hAnsi="Arial" w:cs="Times New Roman"/>
          <w:bCs/>
          <w:szCs w:val="20"/>
          <w:lang w:val="en-GB"/>
        </w:rPr>
        <w:t>One of the main diffe</w:t>
      </w:r>
      <w:r w:rsidR="00AB4324">
        <w:rPr>
          <w:rFonts w:ascii="Arial" w:eastAsia="Times New Roman" w:hAnsi="Arial" w:cs="Times New Roman"/>
          <w:bCs/>
          <w:szCs w:val="20"/>
          <w:lang w:val="en-GB"/>
        </w:rPr>
        <w:t>r</w:t>
      </w:r>
      <w:r>
        <w:rPr>
          <w:rFonts w:ascii="Arial" w:eastAsia="Times New Roman" w:hAnsi="Arial" w:cs="Times New Roman"/>
          <w:bCs/>
          <w:szCs w:val="20"/>
          <w:lang w:val="en-GB"/>
        </w:rPr>
        <w:t xml:space="preserve">ences between the household and the individual distributions </w:t>
      </w:r>
      <w:r w:rsidR="006956D9">
        <w:rPr>
          <w:rFonts w:ascii="Arial" w:eastAsia="Times New Roman" w:hAnsi="Arial" w:cs="Times New Roman"/>
          <w:bCs/>
          <w:szCs w:val="20"/>
          <w:lang w:val="en-GB"/>
        </w:rPr>
        <w:t>can be seen in Q1 and Q2</w:t>
      </w:r>
      <w:r>
        <w:rPr>
          <w:rFonts w:ascii="Arial" w:eastAsia="Times New Roman" w:hAnsi="Arial" w:cs="Times New Roman"/>
          <w:bCs/>
          <w:szCs w:val="20"/>
          <w:lang w:val="en-GB"/>
        </w:rPr>
        <w:t xml:space="preserve"> </w:t>
      </w:r>
      <w:r w:rsidR="00AB4324">
        <w:rPr>
          <w:rFonts w:ascii="Arial" w:eastAsia="Times New Roman" w:hAnsi="Arial" w:cs="Times New Roman"/>
          <w:bCs/>
          <w:szCs w:val="20"/>
          <w:lang w:val="en-GB"/>
        </w:rPr>
        <w:t>for outright owners (</w:t>
      </w:r>
      <w:proofErr w:type="spellStart"/>
      <w:r w:rsidR="00AB4324">
        <w:rPr>
          <w:rFonts w:ascii="Arial" w:eastAsia="Times New Roman" w:hAnsi="Arial" w:cs="Times New Roman"/>
          <w:bCs/>
          <w:szCs w:val="20"/>
          <w:lang w:val="en-GB"/>
        </w:rPr>
        <w:t>ie</w:t>
      </w:r>
      <w:proofErr w:type="spellEnd"/>
      <w:r w:rsidR="00AB4324">
        <w:rPr>
          <w:rFonts w:ascii="Arial" w:eastAsia="Times New Roman" w:hAnsi="Arial" w:cs="Times New Roman"/>
          <w:bCs/>
          <w:szCs w:val="20"/>
          <w:lang w:val="en-GB"/>
        </w:rPr>
        <w:t xml:space="preserve"> </w:t>
      </w:r>
      <w:r w:rsidR="006956D9">
        <w:rPr>
          <w:rFonts w:ascii="Arial" w:eastAsia="Times New Roman" w:hAnsi="Arial" w:cs="Times New Roman"/>
          <w:bCs/>
          <w:szCs w:val="20"/>
          <w:lang w:val="en-GB"/>
        </w:rPr>
        <w:t xml:space="preserve">those with </w:t>
      </w:r>
      <w:r w:rsidR="00AB4324">
        <w:rPr>
          <w:rFonts w:ascii="Arial" w:eastAsia="Times New Roman" w:hAnsi="Arial" w:cs="Times New Roman"/>
          <w:bCs/>
          <w:szCs w:val="20"/>
          <w:lang w:val="en-GB"/>
        </w:rPr>
        <w:t>no mortgage)</w:t>
      </w:r>
      <w:r>
        <w:rPr>
          <w:rFonts w:ascii="Arial" w:eastAsia="Times New Roman" w:hAnsi="Arial" w:cs="Times New Roman"/>
          <w:bCs/>
          <w:szCs w:val="20"/>
          <w:lang w:val="en-GB"/>
        </w:rPr>
        <w:t xml:space="preserve">: </w:t>
      </w:r>
      <w:r w:rsidR="00B133ED">
        <w:rPr>
          <w:rFonts w:ascii="Arial" w:eastAsia="Times New Roman" w:hAnsi="Arial" w:cs="Times New Roman"/>
          <w:bCs/>
          <w:szCs w:val="20"/>
          <w:lang w:val="en-GB"/>
        </w:rPr>
        <w:t>the proportion Q1</w:t>
      </w:r>
      <w:r>
        <w:rPr>
          <w:rFonts w:ascii="Arial" w:eastAsia="Times New Roman" w:hAnsi="Arial" w:cs="Times New Roman"/>
          <w:bCs/>
          <w:szCs w:val="20"/>
          <w:lang w:val="en-GB"/>
        </w:rPr>
        <w:t xml:space="preserve"> individuals</w:t>
      </w:r>
      <w:r w:rsidR="00B133ED">
        <w:rPr>
          <w:rFonts w:ascii="Arial" w:eastAsia="Times New Roman" w:hAnsi="Arial" w:cs="Times New Roman"/>
          <w:bCs/>
          <w:szCs w:val="20"/>
          <w:lang w:val="en-GB"/>
        </w:rPr>
        <w:t xml:space="preserve"> in mortgage-free households</w:t>
      </w:r>
      <w:r w:rsidR="006956D9">
        <w:rPr>
          <w:rFonts w:ascii="Arial" w:eastAsia="Times New Roman" w:hAnsi="Arial" w:cs="Times New Roman"/>
          <w:bCs/>
          <w:szCs w:val="20"/>
          <w:lang w:val="en-GB"/>
        </w:rPr>
        <w:t xml:space="preserve"> </w:t>
      </w:r>
      <w:r w:rsidR="00B133ED">
        <w:rPr>
          <w:rFonts w:ascii="Arial" w:eastAsia="Times New Roman" w:hAnsi="Arial" w:cs="Times New Roman"/>
          <w:bCs/>
          <w:szCs w:val="20"/>
          <w:lang w:val="en-GB"/>
        </w:rPr>
        <w:t>is low</w:t>
      </w:r>
      <w:r>
        <w:rPr>
          <w:rFonts w:ascii="Arial" w:eastAsia="Times New Roman" w:hAnsi="Arial" w:cs="Times New Roman"/>
          <w:bCs/>
          <w:szCs w:val="20"/>
          <w:lang w:val="en-GB"/>
        </w:rPr>
        <w:t xml:space="preserve"> (2</w:t>
      </w:r>
      <w:r w:rsidR="00F71A41">
        <w:rPr>
          <w:rFonts w:ascii="Arial" w:eastAsia="Times New Roman" w:hAnsi="Arial" w:cs="Times New Roman"/>
          <w:bCs/>
          <w:szCs w:val="20"/>
          <w:lang w:val="en-GB"/>
        </w:rPr>
        <w:t>7</w:t>
      </w:r>
      <w:r>
        <w:rPr>
          <w:rFonts w:ascii="Arial" w:eastAsia="Times New Roman" w:hAnsi="Arial" w:cs="Times New Roman"/>
          <w:bCs/>
          <w:szCs w:val="20"/>
          <w:lang w:val="en-GB"/>
        </w:rPr>
        <w:t>%)</w:t>
      </w:r>
      <w:r w:rsidR="00AB4324">
        <w:rPr>
          <w:rFonts w:ascii="Arial" w:eastAsia="Times New Roman" w:hAnsi="Arial" w:cs="Times New Roman"/>
          <w:bCs/>
          <w:szCs w:val="20"/>
          <w:lang w:val="en-GB"/>
        </w:rPr>
        <w:t xml:space="preserve"> compared with </w:t>
      </w:r>
      <w:r w:rsidR="00B133ED">
        <w:rPr>
          <w:rFonts w:ascii="Arial" w:eastAsia="Times New Roman" w:hAnsi="Arial" w:cs="Times New Roman"/>
          <w:bCs/>
          <w:szCs w:val="20"/>
          <w:lang w:val="en-GB"/>
        </w:rPr>
        <w:t xml:space="preserve">the proportion when counting </w:t>
      </w:r>
      <w:r w:rsidR="00AB4324">
        <w:rPr>
          <w:rFonts w:ascii="Arial" w:eastAsia="Times New Roman" w:hAnsi="Arial" w:cs="Times New Roman"/>
          <w:bCs/>
          <w:szCs w:val="20"/>
          <w:lang w:val="en-GB"/>
        </w:rPr>
        <w:t>households</w:t>
      </w:r>
      <w:r w:rsidR="00B133ED">
        <w:rPr>
          <w:rFonts w:ascii="Arial" w:eastAsia="Times New Roman" w:hAnsi="Arial" w:cs="Times New Roman"/>
          <w:bCs/>
          <w:szCs w:val="20"/>
          <w:lang w:val="en-GB"/>
        </w:rPr>
        <w:t xml:space="preserve"> themselves</w:t>
      </w:r>
      <w:r w:rsidR="00AB4324">
        <w:rPr>
          <w:rFonts w:ascii="Arial" w:eastAsia="Times New Roman" w:hAnsi="Arial" w:cs="Times New Roman"/>
          <w:bCs/>
          <w:szCs w:val="20"/>
          <w:lang w:val="en-GB"/>
        </w:rPr>
        <w:t xml:space="preserve"> (</w:t>
      </w:r>
      <w:r w:rsidR="00F71A41">
        <w:rPr>
          <w:rFonts w:ascii="Arial" w:eastAsia="Times New Roman" w:hAnsi="Arial" w:cs="Times New Roman"/>
          <w:bCs/>
          <w:szCs w:val="20"/>
          <w:lang w:val="en-GB"/>
        </w:rPr>
        <w:t>39</w:t>
      </w:r>
      <w:r w:rsidR="00AB4324">
        <w:rPr>
          <w:rFonts w:ascii="Arial" w:eastAsia="Times New Roman" w:hAnsi="Arial" w:cs="Times New Roman"/>
          <w:bCs/>
          <w:szCs w:val="20"/>
          <w:lang w:val="en-GB"/>
        </w:rPr>
        <w:t>%)</w:t>
      </w:r>
      <w:r w:rsidR="006956D9">
        <w:rPr>
          <w:rFonts w:ascii="Arial" w:eastAsia="Times New Roman" w:hAnsi="Arial" w:cs="Times New Roman"/>
          <w:bCs/>
          <w:szCs w:val="20"/>
          <w:lang w:val="en-GB"/>
        </w:rPr>
        <w:t xml:space="preserve">; in Q2 it is </w:t>
      </w:r>
      <w:r w:rsidR="00B133ED">
        <w:rPr>
          <w:rFonts w:ascii="Arial" w:eastAsia="Times New Roman" w:hAnsi="Arial" w:cs="Times New Roman"/>
          <w:bCs/>
          <w:szCs w:val="20"/>
          <w:lang w:val="en-GB"/>
        </w:rPr>
        <w:t>2</w:t>
      </w:r>
      <w:r w:rsidR="00F71A41">
        <w:rPr>
          <w:rFonts w:ascii="Arial" w:eastAsia="Times New Roman" w:hAnsi="Arial" w:cs="Times New Roman"/>
          <w:bCs/>
          <w:szCs w:val="20"/>
          <w:lang w:val="en-GB"/>
        </w:rPr>
        <w:t>1</w:t>
      </w:r>
      <w:r w:rsidR="006956D9">
        <w:rPr>
          <w:rFonts w:ascii="Arial" w:eastAsia="Times New Roman" w:hAnsi="Arial" w:cs="Times New Roman"/>
          <w:bCs/>
          <w:szCs w:val="20"/>
          <w:lang w:val="en-GB"/>
        </w:rPr>
        <w:t xml:space="preserve">% compared with </w:t>
      </w:r>
      <w:r w:rsidR="00B133ED">
        <w:rPr>
          <w:rFonts w:ascii="Arial" w:eastAsia="Times New Roman" w:hAnsi="Arial" w:cs="Times New Roman"/>
          <w:bCs/>
          <w:szCs w:val="20"/>
          <w:lang w:val="en-GB"/>
        </w:rPr>
        <w:t>31</w:t>
      </w:r>
      <w:r w:rsidR="006956D9">
        <w:rPr>
          <w:rFonts w:ascii="Arial" w:eastAsia="Times New Roman" w:hAnsi="Arial" w:cs="Times New Roman"/>
          <w:bCs/>
          <w:szCs w:val="20"/>
          <w:lang w:val="en-GB"/>
        </w:rPr>
        <w:t>%.</w:t>
      </w:r>
      <w:r w:rsidR="00AB4324">
        <w:rPr>
          <w:rFonts w:ascii="Arial" w:eastAsia="Times New Roman" w:hAnsi="Arial" w:cs="Times New Roman"/>
          <w:bCs/>
          <w:szCs w:val="20"/>
          <w:lang w:val="en-GB"/>
        </w:rPr>
        <w:t xml:space="preserve"> Th</w:t>
      </w:r>
      <w:r w:rsidR="006956D9">
        <w:rPr>
          <w:rFonts w:ascii="Arial" w:eastAsia="Times New Roman" w:hAnsi="Arial" w:cs="Times New Roman"/>
          <w:bCs/>
          <w:szCs w:val="20"/>
          <w:lang w:val="en-GB"/>
        </w:rPr>
        <w:t>ese differences in the main</w:t>
      </w:r>
      <w:r w:rsidR="00AB4324">
        <w:rPr>
          <w:rFonts w:ascii="Arial" w:eastAsia="Times New Roman" w:hAnsi="Arial" w:cs="Times New Roman"/>
          <w:bCs/>
          <w:szCs w:val="20"/>
          <w:lang w:val="en-GB"/>
        </w:rPr>
        <w:t xml:space="preserve"> reflect the high proportion of older New Zealanders (65+) who are mortgage-free yet have modest incomes, often little more than New Zealand Superannuation and placing them in Q1</w:t>
      </w:r>
      <w:r w:rsidR="006956D9">
        <w:rPr>
          <w:rFonts w:ascii="Arial" w:eastAsia="Times New Roman" w:hAnsi="Arial" w:cs="Times New Roman"/>
          <w:bCs/>
          <w:szCs w:val="20"/>
          <w:lang w:val="en-GB"/>
        </w:rPr>
        <w:t xml:space="preserve"> and sometimes in Q2</w:t>
      </w:r>
      <w:r w:rsidR="00AB4324">
        <w:rPr>
          <w:rFonts w:ascii="Arial" w:eastAsia="Times New Roman" w:hAnsi="Arial" w:cs="Times New Roman"/>
          <w:bCs/>
          <w:szCs w:val="20"/>
          <w:lang w:val="en-GB"/>
        </w:rPr>
        <w:t>. Their households are smaller on average than those for under 65s, leading to the significant difference between a household analysis compared with an analysis for individuals in their households.</w:t>
      </w:r>
    </w:p>
    <w:p w14:paraId="5AF0DF41" w14:textId="77777777" w:rsidR="00361361" w:rsidRDefault="00361361" w:rsidP="002A7850">
      <w:pPr>
        <w:spacing w:after="0" w:line="240" w:lineRule="auto"/>
        <w:rPr>
          <w:rFonts w:ascii="Arial" w:eastAsia="Times New Roman" w:hAnsi="Arial" w:cs="Times New Roman"/>
          <w:b/>
          <w:szCs w:val="20"/>
          <w:lang w:val="en-GB"/>
        </w:rPr>
      </w:pPr>
    </w:p>
    <w:p w14:paraId="4D214B79" w14:textId="77777777" w:rsidR="0061026D" w:rsidRPr="00871D67" w:rsidRDefault="0061026D" w:rsidP="0061026D">
      <w:pPr>
        <w:spacing w:after="0" w:line="240" w:lineRule="auto"/>
        <w:jc w:val="center"/>
        <w:rPr>
          <w:rFonts w:ascii="Arial" w:eastAsia="Times New Roman" w:hAnsi="Arial" w:cs="Times New Roman"/>
          <w:b/>
          <w:bCs/>
          <w:color w:val="000000" w:themeColor="text1"/>
          <w:sz w:val="18"/>
          <w:szCs w:val="18"/>
        </w:rPr>
      </w:pPr>
      <w:bookmarkStart w:id="9" w:name="_Hlk85098608"/>
      <w:r w:rsidRPr="00871D67">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1a</w:t>
      </w:r>
    </w:p>
    <w:p w14:paraId="1159443D" w14:textId="428B58D1" w:rsidR="0061026D" w:rsidRDefault="0061026D" w:rsidP="0061026D">
      <w:pPr>
        <w:spacing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Tenure for households by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B04A9B" w:rsidRPr="00245A71" w14:paraId="46959096" w14:textId="77777777" w:rsidTr="00023CF5">
        <w:tc>
          <w:tcPr>
            <w:tcW w:w="2585" w:type="dxa"/>
            <w:tcBorders>
              <w:top w:val="single" w:sz="4" w:space="0" w:color="auto"/>
              <w:left w:val="single" w:sz="4" w:space="0" w:color="auto"/>
              <w:bottom w:val="single" w:sz="8" w:space="0" w:color="auto"/>
              <w:right w:val="single" w:sz="4" w:space="0" w:color="auto"/>
            </w:tcBorders>
            <w:vAlign w:val="center"/>
          </w:tcPr>
          <w:p w14:paraId="7D00DA51" w14:textId="77777777" w:rsidR="00B04A9B" w:rsidRPr="00245A71" w:rsidRDefault="00B04A9B" w:rsidP="00023CF5">
            <w:pPr>
              <w:spacing w:before="30" w:after="30" w:line="240" w:lineRule="auto"/>
              <w:rPr>
                <w:rFonts w:ascii="Arial" w:eastAsia="Times New Roman" w:hAnsi="Arial"/>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24C4619E"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1CE1BE8C"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1B57B3AA"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0E943A15"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6784E961"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70FA1F74"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TOTAL</w:t>
            </w:r>
          </w:p>
        </w:tc>
      </w:tr>
      <w:tr w:rsidR="00B04A9B" w:rsidRPr="00245A71" w14:paraId="0A4A11CD" w14:textId="77777777" w:rsidTr="00023CF5">
        <w:tc>
          <w:tcPr>
            <w:tcW w:w="2585" w:type="dxa"/>
            <w:tcBorders>
              <w:top w:val="single" w:sz="8" w:space="0" w:color="auto"/>
              <w:left w:val="single" w:sz="4" w:space="0" w:color="auto"/>
              <w:bottom w:val="single" w:sz="4" w:space="0" w:color="auto"/>
              <w:right w:val="single" w:sz="4" w:space="0" w:color="auto"/>
            </w:tcBorders>
            <w:vAlign w:val="center"/>
          </w:tcPr>
          <w:p w14:paraId="72D8B69C"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7EE282FE"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39</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52C8421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31</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79C0A8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26</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84DA4C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23</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05B7532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38</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64FE492C"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31</w:t>
            </w:r>
          </w:p>
        </w:tc>
      </w:tr>
      <w:tr w:rsidR="00B04A9B" w:rsidRPr="00245A71" w14:paraId="6DCF2E57"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56999FC4"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E93082E"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9ADAEB8"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71492C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B5080A9"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3A64CA7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47B7B608"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35</w:t>
            </w:r>
          </w:p>
        </w:tc>
      </w:tr>
      <w:tr w:rsidR="00B04A9B" w:rsidRPr="00245A71" w14:paraId="4E616526"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4031ACDA"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CC0FAB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26012CF"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ABE4320"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021F7BE"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28</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422A1B0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645C923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31</w:t>
            </w:r>
          </w:p>
        </w:tc>
      </w:tr>
      <w:tr w:rsidR="00B04A9B" w:rsidRPr="00245A71" w14:paraId="0D2CE197"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9724C9B" w14:textId="77777777" w:rsidR="00B04A9B" w:rsidRPr="00245A71" w:rsidRDefault="00B04A9B" w:rsidP="00023CF5">
            <w:pPr>
              <w:spacing w:before="30" w:after="30" w:line="240" w:lineRule="auto"/>
              <w:ind w:left="179"/>
              <w:rPr>
                <w:rFonts w:ascii="Arial" w:eastAsia="Times New Roman" w:hAnsi="Arial"/>
                <w:sz w:val="14"/>
                <w:szCs w:val="14"/>
              </w:rPr>
            </w:pPr>
            <w:r>
              <w:rPr>
                <w:rFonts w:ascii="Arial" w:hAnsi="Arial"/>
                <w:color w:val="000000"/>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0F19C1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FFD162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B470E0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FF1717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5C9ABD0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37532E88"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26</w:t>
            </w:r>
          </w:p>
        </w:tc>
      </w:tr>
      <w:tr w:rsidR="00B04A9B" w:rsidRPr="00245A71" w14:paraId="3EEB094D"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DD70A97" w14:textId="77777777" w:rsidR="00B04A9B" w:rsidRPr="00245A71" w:rsidRDefault="00B04A9B" w:rsidP="00023CF5">
            <w:pPr>
              <w:spacing w:before="30" w:after="30" w:line="240" w:lineRule="auto"/>
              <w:ind w:left="179"/>
              <w:rPr>
                <w:rFonts w:ascii="Arial" w:eastAsia="Times New Roman" w:hAnsi="Arial"/>
                <w:sz w:val="14"/>
                <w:szCs w:val="14"/>
              </w:rPr>
            </w:pPr>
            <w:r>
              <w:rPr>
                <w:rFonts w:ascii="Arial" w:hAnsi="Arial"/>
                <w:color w:val="000000"/>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DBE073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E26AF7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D25C80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D76F0E1"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0</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703E71F"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3BC63BA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r>
      <w:tr w:rsidR="00B04A9B" w:rsidRPr="00245A71" w14:paraId="47E8BCC3"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59D09913" w14:textId="77777777" w:rsidR="00B04A9B" w:rsidRPr="00245A71" w:rsidRDefault="00B04A9B" w:rsidP="00023CF5">
            <w:pPr>
              <w:spacing w:before="30" w:after="30" w:line="240" w:lineRule="auto"/>
              <w:rPr>
                <w:rFonts w:ascii="Arial" w:eastAsia="Times New Roman" w:hAnsi="Arial"/>
                <w:b/>
                <w:bCs/>
                <w:sz w:val="14"/>
                <w:szCs w:val="14"/>
              </w:rPr>
            </w:pPr>
            <w:r>
              <w:rPr>
                <w:rFonts w:ascii="Arial" w:hAnsi="Arial"/>
                <w:color w:val="000000"/>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328D606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74B7CB2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9F93D1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79A9252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6903DAF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53F3B80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r>
      <w:tr w:rsidR="00B04A9B" w:rsidRPr="00245A71" w14:paraId="5579B3AF" w14:textId="77777777" w:rsidTr="00B04A9B">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E7036" w14:textId="77777777" w:rsidR="00B04A9B" w:rsidRPr="00245A71" w:rsidRDefault="00B04A9B" w:rsidP="00023CF5">
            <w:pPr>
              <w:spacing w:before="30" w:after="30" w:line="240" w:lineRule="auto"/>
              <w:rPr>
                <w:rFonts w:ascii="Arial" w:eastAsia="Times New Roman" w:hAnsi="Arial"/>
                <w:b/>
                <w:bCs/>
                <w:sz w:val="14"/>
                <w:szCs w:val="14"/>
              </w:rPr>
            </w:pPr>
            <w:r>
              <w:rPr>
                <w:rFonts w:ascii="Arial" w:hAnsi="Arial"/>
                <w:b/>
                <w:bCs/>
                <w:color w:val="000000"/>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4743AC9F"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A4223E9"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2668547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B7C791A"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413E8C3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17954B6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r>
      <w:tr w:rsidR="00B04A9B" w:rsidRPr="00245A71" w14:paraId="094901DB"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761EC0A"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52A8DF86"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40</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3393F1BF"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12</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4DADEC9A"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245A9CF9"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4344CBCE"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414B856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r>
    </w:tbl>
    <w:p w14:paraId="5059A509" w14:textId="77777777" w:rsidR="002C6ACE" w:rsidRDefault="002C6ACE" w:rsidP="00AB4324">
      <w:pPr>
        <w:spacing w:after="0" w:line="240" w:lineRule="auto"/>
        <w:jc w:val="center"/>
        <w:rPr>
          <w:rFonts w:ascii="Arial" w:eastAsia="Times New Roman" w:hAnsi="Arial" w:cs="Times New Roman"/>
          <w:b/>
          <w:bCs/>
          <w:color w:val="000000" w:themeColor="text1"/>
          <w:sz w:val="18"/>
          <w:szCs w:val="18"/>
        </w:rPr>
      </w:pPr>
    </w:p>
    <w:p w14:paraId="17EF3E42" w14:textId="1F1A55C8" w:rsidR="00AB4324" w:rsidRPr="00E222C2" w:rsidRDefault="00AB4324" w:rsidP="00AB4324">
      <w:pPr>
        <w:spacing w:after="0"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1b</w:t>
      </w:r>
      <w:r w:rsidRPr="00E222C2">
        <w:rPr>
          <w:rFonts w:ascii="Arial" w:eastAsia="Times New Roman" w:hAnsi="Arial" w:cs="Times New Roman"/>
          <w:b/>
          <w:bCs/>
          <w:color w:val="000000" w:themeColor="text1"/>
          <w:sz w:val="18"/>
          <w:szCs w:val="18"/>
        </w:rPr>
        <w:t xml:space="preserve"> </w:t>
      </w:r>
    </w:p>
    <w:p w14:paraId="50341C67" w14:textId="4552618A" w:rsidR="00AB4324" w:rsidRDefault="00AB4324" w:rsidP="00AB4324">
      <w:pPr>
        <w:spacing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Tenure for individuals </w:t>
      </w:r>
      <w:r w:rsidR="006956D9">
        <w:rPr>
          <w:rFonts w:ascii="Arial" w:eastAsia="Times New Roman" w:hAnsi="Arial" w:cs="Times New Roman"/>
          <w:b/>
          <w:bCs/>
          <w:color w:val="000000" w:themeColor="text1"/>
          <w:sz w:val="18"/>
          <w:szCs w:val="18"/>
        </w:rPr>
        <w:t xml:space="preserve">(in their households) </w:t>
      </w:r>
      <w:r w:rsidRPr="00E222C2">
        <w:rPr>
          <w:rFonts w:ascii="Arial" w:eastAsia="Times New Roman" w:hAnsi="Arial" w:cs="Times New Roman"/>
          <w:b/>
          <w:bCs/>
          <w:color w:val="000000" w:themeColor="text1"/>
          <w:sz w:val="18"/>
          <w:szCs w:val="18"/>
        </w:rPr>
        <w:t>by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B04A9B" w:rsidRPr="00245A71" w14:paraId="671BE1E8" w14:textId="77777777" w:rsidTr="00023CF5">
        <w:tc>
          <w:tcPr>
            <w:tcW w:w="2585" w:type="dxa"/>
            <w:tcBorders>
              <w:top w:val="single" w:sz="4" w:space="0" w:color="auto"/>
              <w:left w:val="single" w:sz="4" w:space="0" w:color="auto"/>
              <w:bottom w:val="single" w:sz="8" w:space="0" w:color="auto"/>
              <w:right w:val="single" w:sz="4" w:space="0" w:color="auto"/>
            </w:tcBorders>
            <w:vAlign w:val="center"/>
          </w:tcPr>
          <w:p w14:paraId="0CA74DCD" w14:textId="77777777" w:rsidR="00B04A9B" w:rsidRPr="00245A71" w:rsidRDefault="00B04A9B" w:rsidP="00023CF5">
            <w:pPr>
              <w:spacing w:before="30" w:after="30" w:line="240" w:lineRule="auto"/>
              <w:rPr>
                <w:rFonts w:ascii="Arial" w:eastAsia="Times New Roman" w:hAnsi="Arial"/>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09605764"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5005475B"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758F5874"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174157A6"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40CC385F"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759B6FC5" w14:textId="77777777" w:rsidR="00B04A9B" w:rsidRPr="00245A71" w:rsidRDefault="00B04A9B"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TOTAL</w:t>
            </w:r>
          </w:p>
        </w:tc>
      </w:tr>
      <w:tr w:rsidR="00B04A9B" w:rsidRPr="00245A71" w14:paraId="29585462" w14:textId="77777777" w:rsidTr="00023CF5">
        <w:tc>
          <w:tcPr>
            <w:tcW w:w="2585" w:type="dxa"/>
            <w:tcBorders>
              <w:top w:val="single" w:sz="8" w:space="0" w:color="auto"/>
              <w:left w:val="single" w:sz="4" w:space="0" w:color="auto"/>
              <w:bottom w:val="single" w:sz="4" w:space="0" w:color="auto"/>
              <w:right w:val="single" w:sz="4" w:space="0" w:color="auto"/>
            </w:tcBorders>
            <w:vAlign w:val="center"/>
          </w:tcPr>
          <w:p w14:paraId="33B67F89"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7B47871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27</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216021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21</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15A7DD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22</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799E93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19</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56949A20"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33</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1DE9B1D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24</w:t>
            </w:r>
          </w:p>
        </w:tc>
      </w:tr>
      <w:tr w:rsidR="00B04A9B" w:rsidRPr="00245A71" w14:paraId="6A4AB987"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3CA9EDD2"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E15704C"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781F9BC"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056913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40EB96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52</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63EAD7D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43673AE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40</w:t>
            </w:r>
          </w:p>
        </w:tc>
      </w:tr>
      <w:tr w:rsidR="00B04A9B" w:rsidRPr="00245A71" w14:paraId="6DC78757"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4FBC708B"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B36720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2C1D8E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1AAE5A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438A89C"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7CA92EF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017B2F0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33</w:t>
            </w:r>
          </w:p>
        </w:tc>
      </w:tr>
      <w:tr w:rsidR="00B04A9B" w:rsidRPr="00245A71" w14:paraId="7678AA8C"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1A9FFB1C" w14:textId="77777777" w:rsidR="00B04A9B" w:rsidRPr="00245A71" w:rsidRDefault="00B04A9B" w:rsidP="00023CF5">
            <w:pPr>
              <w:spacing w:before="30" w:after="30" w:line="240" w:lineRule="auto"/>
              <w:ind w:left="179"/>
              <w:rPr>
                <w:rFonts w:ascii="Arial" w:eastAsia="Times New Roman" w:hAnsi="Arial"/>
                <w:sz w:val="14"/>
                <w:szCs w:val="14"/>
              </w:rPr>
            </w:pPr>
            <w:r>
              <w:rPr>
                <w:rFonts w:ascii="Arial" w:hAnsi="Arial"/>
                <w:color w:val="000000"/>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67132C6"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FB581F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148994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92C445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26</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4247268F"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3E9F0B1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28</w:t>
            </w:r>
          </w:p>
        </w:tc>
      </w:tr>
      <w:tr w:rsidR="00B04A9B" w:rsidRPr="00245A71" w14:paraId="738DDF5E"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E33A41D" w14:textId="77777777" w:rsidR="00B04A9B" w:rsidRPr="00245A71" w:rsidRDefault="00B04A9B" w:rsidP="00023CF5">
            <w:pPr>
              <w:spacing w:before="30" w:after="30" w:line="240" w:lineRule="auto"/>
              <w:ind w:left="179"/>
              <w:rPr>
                <w:rFonts w:ascii="Arial" w:eastAsia="Times New Roman" w:hAnsi="Arial"/>
                <w:sz w:val="14"/>
                <w:szCs w:val="14"/>
              </w:rPr>
            </w:pPr>
            <w:r>
              <w:rPr>
                <w:rFonts w:ascii="Arial" w:hAnsi="Arial"/>
                <w:color w:val="000000"/>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E2BABB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C66D097"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F5CED5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B095309"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0</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4FC3377E"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0F34B198"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r>
      <w:tr w:rsidR="00B04A9B" w:rsidRPr="00245A71" w14:paraId="3E6AB3CB"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24BF2079" w14:textId="77777777" w:rsidR="00B04A9B" w:rsidRPr="00245A71" w:rsidRDefault="00B04A9B" w:rsidP="00023CF5">
            <w:pPr>
              <w:spacing w:before="30" w:after="30" w:line="240" w:lineRule="auto"/>
              <w:rPr>
                <w:rFonts w:ascii="Arial" w:eastAsia="Times New Roman" w:hAnsi="Arial"/>
                <w:b/>
                <w:bCs/>
                <w:sz w:val="14"/>
                <w:szCs w:val="14"/>
              </w:rPr>
            </w:pPr>
            <w:r>
              <w:rPr>
                <w:rFonts w:ascii="Arial" w:hAnsi="Arial"/>
                <w:color w:val="000000"/>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534D773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4</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5DE3F1E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0CC3A168"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813C3A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3945082D"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2</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28577686"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w:t>
            </w:r>
          </w:p>
        </w:tc>
      </w:tr>
      <w:tr w:rsidR="00B04A9B" w:rsidRPr="00245A71" w14:paraId="194262CA" w14:textId="77777777" w:rsidTr="00B04A9B">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046AB" w14:textId="77777777" w:rsidR="00B04A9B" w:rsidRPr="00245A71" w:rsidRDefault="00B04A9B" w:rsidP="00023CF5">
            <w:pPr>
              <w:spacing w:before="30" w:after="30" w:line="240" w:lineRule="auto"/>
              <w:rPr>
                <w:rFonts w:ascii="Arial" w:eastAsia="Times New Roman" w:hAnsi="Arial"/>
                <w:b/>
                <w:bCs/>
                <w:sz w:val="14"/>
                <w:szCs w:val="14"/>
              </w:rPr>
            </w:pPr>
            <w:r>
              <w:rPr>
                <w:rFonts w:ascii="Arial" w:hAnsi="Arial"/>
                <w:b/>
                <w:bCs/>
                <w:color w:val="000000"/>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3A23D262"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B4ABF4A"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4D992A8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800B90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1EC65E44"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3B1B16B1"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100</w:t>
            </w:r>
          </w:p>
        </w:tc>
      </w:tr>
      <w:tr w:rsidR="00B04A9B" w:rsidRPr="00245A71" w14:paraId="3A38739F"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4538F18C" w14:textId="77777777" w:rsidR="00B04A9B" w:rsidRPr="00245A71" w:rsidRDefault="00B04A9B" w:rsidP="00023CF5">
            <w:pPr>
              <w:spacing w:before="30" w:after="30" w:line="240" w:lineRule="auto"/>
              <w:rPr>
                <w:rFonts w:ascii="Arial" w:eastAsia="Times New Roman" w:hAnsi="Arial"/>
                <w:sz w:val="14"/>
                <w:szCs w:val="14"/>
              </w:rPr>
            </w:pPr>
            <w:r>
              <w:rPr>
                <w:rFonts w:ascii="Arial" w:hAnsi="Arial"/>
                <w:color w:val="000000"/>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349755A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2CBD1686"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6D15D105"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9008B73"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24F2A481"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0B9DA7BB" w14:textId="77777777" w:rsidR="00B04A9B" w:rsidRPr="00245A71" w:rsidRDefault="00B04A9B" w:rsidP="00023CF5">
            <w:pPr>
              <w:spacing w:before="30" w:after="30" w:line="240" w:lineRule="auto"/>
              <w:jc w:val="right"/>
              <w:rPr>
                <w:rFonts w:ascii="Arial" w:eastAsia="Times New Roman" w:hAnsi="Arial"/>
                <w:sz w:val="14"/>
                <w:szCs w:val="14"/>
              </w:rPr>
            </w:pPr>
            <w:r>
              <w:rPr>
                <w:rFonts w:ascii="Arial" w:hAnsi="Arial"/>
                <w:color w:val="000000"/>
                <w:sz w:val="14"/>
                <w:szCs w:val="14"/>
              </w:rPr>
              <w:t>15</w:t>
            </w:r>
          </w:p>
        </w:tc>
      </w:tr>
    </w:tbl>
    <w:p w14:paraId="221A77C9" w14:textId="77777777" w:rsidR="00BD48A8" w:rsidRDefault="00D004DA" w:rsidP="00BD48A8">
      <w:pPr>
        <w:pStyle w:val="ListParagraph"/>
        <w:spacing w:before="60" w:after="0" w:line="240" w:lineRule="auto"/>
        <w:ind w:left="1843" w:right="1230" w:hanging="1134"/>
        <w:contextualSpacing w:val="0"/>
        <w:rPr>
          <w:rFonts w:ascii="Arial" w:hAnsi="Arial"/>
          <w:color w:val="000000" w:themeColor="text1"/>
          <w:sz w:val="16"/>
          <w:szCs w:val="16"/>
        </w:rPr>
      </w:pPr>
      <w:r w:rsidRPr="00044911">
        <w:rPr>
          <w:rFonts w:ascii="Arial" w:hAnsi="Arial"/>
          <w:color w:val="000000" w:themeColor="text1"/>
          <w:sz w:val="16"/>
          <w:szCs w:val="16"/>
        </w:rPr>
        <w:t>Note for Table 1:</w:t>
      </w:r>
      <w:r w:rsidR="00044911">
        <w:rPr>
          <w:rFonts w:ascii="Arial" w:hAnsi="Arial"/>
          <w:color w:val="000000" w:themeColor="text1"/>
          <w:sz w:val="16"/>
          <w:szCs w:val="16"/>
        </w:rPr>
        <w:t xml:space="preserve"> </w:t>
      </w:r>
      <w:r w:rsidR="00044911">
        <w:rPr>
          <w:rFonts w:ascii="Arial" w:hAnsi="Arial"/>
          <w:color w:val="000000" w:themeColor="text1"/>
          <w:sz w:val="16"/>
          <w:szCs w:val="16"/>
        </w:rPr>
        <w:tab/>
      </w:r>
    </w:p>
    <w:p w14:paraId="42FD0522" w14:textId="3F2BEE4B" w:rsidR="00D004DA" w:rsidRPr="00044911" w:rsidRDefault="00486816" w:rsidP="00BD48A8">
      <w:pPr>
        <w:pStyle w:val="ListParagraph"/>
        <w:numPr>
          <w:ilvl w:val="0"/>
          <w:numId w:val="37"/>
        </w:numPr>
        <w:spacing w:after="0" w:line="240" w:lineRule="auto"/>
        <w:ind w:left="1281" w:right="1230" w:hanging="288"/>
        <w:contextualSpacing w:val="0"/>
        <w:rPr>
          <w:rFonts w:ascii="Arial" w:hAnsi="Arial"/>
          <w:color w:val="000000" w:themeColor="text1"/>
          <w:sz w:val="16"/>
          <w:szCs w:val="16"/>
        </w:rPr>
      </w:pPr>
      <w:r>
        <w:rPr>
          <w:rFonts w:ascii="Arial" w:hAnsi="Arial"/>
          <w:color w:val="000000" w:themeColor="text1"/>
          <w:sz w:val="16"/>
          <w:szCs w:val="16"/>
        </w:rPr>
        <w:t xml:space="preserve">Local Authority (LA) rents are usually less than market rates, though the level of subsidisation varies. LA rentals </w:t>
      </w:r>
      <w:r w:rsidRPr="0025390B">
        <w:rPr>
          <w:rFonts w:ascii="Arial" w:hAnsi="Arial"/>
          <w:color w:val="000000" w:themeColor="text1"/>
          <w:sz w:val="16"/>
          <w:szCs w:val="16"/>
        </w:rPr>
        <w:t>make up</w:t>
      </w:r>
      <w:r w:rsidR="00E06D54" w:rsidRPr="0025390B">
        <w:rPr>
          <w:rFonts w:ascii="Arial" w:hAnsi="Arial"/>
          <w:color w:val="000000" w:themeColor="text1"/>
          <w:sz w:val="16"/>
          <w:szCs w:val="16"/>
        </w:rPr>
        <w:t xml:space="preserve"> around 3% of all</w:t>
      </w:r>
      <w:r w:rsidR="00E06D54">
        <w:rPr>
          <w:rFonts w:ascii="Arial" w:hAnsi="Arial"/>
          <w:color w:val="000000" w:themeColor="text1"/>
          <w:sz w:val="16"/>
          <w:szCs w:val="16"/>
        </w:rPr>
        <w:t xml:space="preserve"> rentals.</w:t>
      </w:r>
    </w:p>
    <w:p w14:paraId="2A0C348E" w14:textId="77777777" w:rsidR="00BD48A8" w:rsidRDefault="00BD48A8" w:rsidP="00BD48A8">
      <w:pPr>
        <w:spacing w:after="0" w:line="240" w:lineRule="auto"/>
        <w:rPr>
          <w:rFonts w:ascii="Arial" w:eastAsia="Times New Roman" w:hAnsi="Arial" w:cs="Times New Roman"/>
          <w:b/>
          <w:bCs/>
          <w:szCs w:val="20"/>
        </w:rPr>
      </w:pPr>
    </w:p>
    <w:bookmarkEnd w:id="9"/>
    <w:p w14:paraId="0B16D245" w14:textId="77777777" w:rsidR="00E06D54" w:rsidRDefault="00E06D54">
      <w:pPr>
        <w:spacing w:after="0" w:line="240" w:lineRule="auto"/>
        <w:rPr>
          <w:rFonts w:ascii="Arial" w:eastAsia="Times New Roman" w:hAnsi="Arial" w:cs="Times New Roman"/>
          <w:b/>
          <w:bCs/>
          <w:szCs w:val="20"/>
        </w:rPr>
      </w:pPr>
    </w:p>
    <w:p w14:paraId="5093AD34" w14:textId="67B0F794" w:rsidR="00DE2DE3" w:rsidRPr="00BD48A8" w:rsidRDefault="00BD48A8">
      <w:pPr>
        <w:spacing w:after="0" w:line="240" w:lineRule="auto"/>
        <w:rPr>
          <w:rFonts w:ascii="Arial" w:eastAsia="Times New Roman" w:hAnsi="Arial" w:cs="Times New Roman"/>
          <w:b/>
          <w:bCs/>
          <w:szCs w:val="20"/>
        </w:rPr>
      </w:pPr>
      <w:r w:rsidRPr="00BD48A8">
        <w:rPr>
          <w:rFonts w:ascii="Arial" w:eastAsia="Times New Roman" w:hAnsi="Arial" w:cs="Times New Roman"/>
          <w:b/>
          <w:bCs/>
          <w:szCs w:val="20"/>
        </w:rPr>
        <w:t xml:space="preserve">Appendix 4 </w:t>
      </w:r>
      <w:r w:rsidRPr="00BD48A8">
        <w:rPr>
          <w:rFonts w:ascii="Arial" w:eastAsia="Times New Roman" w:hAnsi="Arial" w:cs="Times New Roman"/>
          <w:szCs w:val="20"/>
        </w:rPr>
        <w:t xml:space="preserve">reports tenure distribution </w:t>
      </w:r>
      <w:r w:rsidR="0007759D">
        <w:rPr>
          <w:rFonts w:ascii="Arial" w:eastAsia="Times New Roman" w:hAnsi="Arial" w:cs="Times New Roman"/>
          <w:szCs w:val="20"/>
        </w:rPr>
        <w:t>using</w:t>
      </w:r>
      <w:r>
        <w:rPr>
          <w:rFonts w:ascii="Arial" w:eastAsia="Times New Roman" w:hAnsi="Arial" w:cs="Times New Roman"/>
          <w:szCs w:val="20"/>
        </w:rPr>
        <w:t xml:space="preserve"> HES 2017-18 </w:t>
      </w:r>
      <w:r w:rsidRPr="00BD48A8">
        <w:rPr>
          <w:rFonts w:ascii="Arial" w:eastAsia="Times New Roman" w:hAnsi="Arial" w:cs="Times New Roman"/>
          <w:szCs w:val="20"/>
        </w:rPr>
        <w:t>for those aged 65+ and also for the whole population (households) for HES 2019-20.</w:t>
      </w:r>
      <w:r w:rsidR="00DE2DE3" w:rsidRPr="00BD48A8">
        <w:rPr>
          <w:rFonts w:ascii="Arial" w:eastAsia="Times New Roman" w:hAnsi="Arial" w:cs="Times New Roman"/>
          <w:b/>
          <w:bCs/>
          <w:szCs w:val="20"/>
        </w:rPr>
        <w:br w:type="page"/>
      </w:r>
    </w:p>
    <w:bookmarkEnd w:id="8"/>
    <w:p w14:paraId="54ED26D9" w14:textId="77777777" w:rsidR="00FB15F7" w:rsidRPr="00F102F5" w:rsidRDefault="00FB15F7" w:rsidP="00FB15F7">
      <w:pPr>
        <w:spacing w:after="0" w:line="240" w:lineRule="auto"/>
        <w:rPr>
          <w:rFonts w:ascii="Arial" w:eastAsia="Times New Roman" w:hAnsi="Arial" w:cs="Times New Roman"/>
          <w:b/>
          <w:sz w:val="24"/>
          <w:szCs w:val="24"/>
          <w:lang w:val="en-GB"/>
        </w:rPr>
      </w:pPr>
      <w:r w:rsidRPr="00F102F5">
        <w:rPr>
          <w:rFonts w:ascii="Arial" w:eastAsia="Times New Roman" w:hAnsi="Arial" w:cs="Times New Roman"/>
          <w:b/>
          <w:sz w:val="24"/>
          <w:szCs w:val="24"/>
          <w:lang w:val="en-GB"/>
        </w:rPr>
        <w:lastRenderedPageBreak/>
        <w:t>Defining ‘housing costs’</w:t>
      </w:r>
    </w:p>
    <w:p w14:paraId="28F82DDF" w14:textId="77777777" w:rsidR="00FB15F7" w:rsidRDefault="00FB15F7" w:rsidP="00FB15F7">
      <w:pPr>
        <w:spacing w:after="0" w:line="240" w:lineRule="auto"/>
        <w:rPr>
          <w:rFonts w:ascii="Arial" w:eastAsia="Times New Roman" w:hAnsi="Arial" w:cs="Times New Roman"/>
          <w:bCs/>
          <w:szCs w:val="20"/>
          <w:lang w:val="en-GB"/>
        </w:rPr>
      </w:pPr>
    </w:p>
    <w:p w14:paraId="386D42B9" w14:textId="5A69A776" w:rsidR="00DD1A12" w:rsidRDefault="00FB15F7" w:rsidP="00DD1A12">
      <w:pPr>
        <w:spacing w:after="0" w:line="240" w:lineRule="auto"/>
        <w:rPr>
          <w:rFonts w:ascii="Arial" w:eastAsia="Times New Roman" w:hAnsi="Arial" w:cs="Times New Roman"/>
          <w:bCs/>
          <w:szCs w:val="20"/>
          <w:lang w:val="en-GB"/>
        </w:rPr>
      </w:pPr>
      <w:r w:rsidRPr="006C3020">
        <w:rPr>
          <w:rFonts w:ascii="Arial" w:eastAsia="Times New Roman" w:hAnsi="Arial" w:cs="Times New Roman"/>
          <w:b/>
          <w:szCs w:val="20"/>
          <w:lang w:val="en-GB"/>
        </w:rPr>
        <w:t xml:space="preserve">Table </w:t>
      </w:r>
      <w:r w:rsidR="001904F7">
        <w:rPr>
          <w:rFonts w:ascii="Arial" w:eastAsia="Times New Roman" w:hAnsi="Arial" w:cs="Times New Roman"/>
          <w:b/>
          <w:szCs w:val="20"/>
          <w:lang w:val="en-GB"/>
        </w:rPr>
        <w:t>2</w:t>
      </w:r>
      <w:r>
        <w:rPr>
          <w:rFonts w:ascii="Arial" w:eastAsia="Times New Roman" w:hAnsi="Arial" w:cs="Times New Roman"/>
          <w:bCs/>
          <w:szCs w:val="20"/>
          <w:lang w:val="en-GB"/>
        </w:rPr>
        <w:t xml:space="preserve"> shows the different definitions of housing costs used by selected sources in New Zealand and internationally.</w:t>
      </w:r>
      <w:r w:rsidR="00DD1A12">
        <w:rPr>
          <w:rFonts w:ascii="Arial" w:eastAsia="Times New Roman" w:hAnsi="Arial" w:cs="Times New Roman"/>
          <w:bCs/>
          <w:szCs w:val="20"/>
          <w:lang w:val="en-GB"/>
        </w:rPr>
        <w:t xml:space="preserve"> These differences impact on the interpretation of the statistics and relativities in the charts and tables in the Findings section (Part 2 of the report).</w:t>
      </w:r>
    </w:p>
    <w:p w14:paraId="6C34EF64" w14:textId="77777777" w:rsidR="001904F7" w:rsidRDefault="001904F7" w:rsidP="001904F7">
      <w:pPr>
        <w:pStyle w:val="ListParagraph"/>
        <w:spacing w:after="0" w:line="240" w:lineRule="auto"/>
        <w:ind w:left="0"/>
        <w:contextualSpacing w:val="0"/>
        <w:jc w:val="both"/>
        <w:rPr>
          <w:rFonts w:ascii="Arial" w:eastAsia="Times New Roman" w:hAnsi="Arial" w:cs="Times New Roman"/>
          <w:szCs w:val="20"/>
          <w:lang w:val="en-GB"/>
        </w:rPr>
      </w:pPr>
    </w:p>
    <w:p w14:paraId="1B636A74" w14:textId="03398533" w:rsidR="001904F7" w:rsidRDefault="001904F7" w:rsidP="001904F7">
      <w:pPr>
        <w:pStyle w:val="ListParagraph"/>
        <w:spacing w:after="0" w:line="240" w:lineRule="auto"/>
        <w:ind w:left="0"/>
        <w:contextualSpacing w:val="0"/>
        <w:jc w:val="both"/>
        <w:rPr>
          <w:rFonts w:ascii="Arial" w:eastAsia="Times New Roman" w:hAnsi="Arial" w:cs="Times New Roman"/>
          <w:szCs w:val="20"/>
          <w:lang w:val="en-GB"/>
        </w:rPr>
      </w:pPr>
      <w:r>
        <w:rPr>
          <w:rFonts w:ascii="Arial" w:eastAsia="Times New Roman" w:hAnsi="Arial" w:cs="Times New Roman"/>
          <w:szCs w:val="20"/>
          <w:lang w:val="en-GB"/>
        </w:rPr>
        <w:t>For the international comparisons in this report the New Zealand numbers are all calculated using the appropriate OECD and Eurostat definitions so that there can be ‘apples with apples’ comparisons.</w:t>
      </w:r>
    </w:p>
    <w:p w14:paraId="47032783" w14:textId="77777777" w:rsidR="00FB15F7" w:rsidRDefault="00FB15F7" w:rsidP="00FB15F7">
      <w:pPr>
        <w:spacing w:after="0" w:line="240" w:lineRule="auto"/>
        <w:rPr>
          <w:rFonts w:ascii="Arial" w:eastAsia="Times New Roman" w:hAnsi="Arial" w:cs="Times New Roman"/>
          <w:bCs/>
          <w:szCs w:val="20"/>
          <w:lang w:val="en-GB"/>
        </w:rPr>
      </w:pPr>
    </w:p>
    <w:p w14:paraId="5F0FBA49" w14:textId="33735F2A" w:rsidR="00FB15F7" w:rsidRPr="00FF3F3A" w:rsidRDefault="00FB15F7" w:rsidP="00FB15F7">
      <w:pPr>
        <w:spacing w:after="0" w:line="240" w:lineRule="auto"/>
        <w:jc w:val="center"/>
        <w:rPr>
          <w:rFonts w:ascii="Arial" w:eastAsia="Times New Roman" w:hAnsi="Arial" w:cs="Times New Roman"/>
          <w:b/>
          <w:sz w:val="18"/>
          <w:szCs w:val="18"/>
          <w:lang w:val="en-GB"/>
        </w:rPr>
      </w:pPr>
      <w:r w:rsidRPr="00FF3F3A">
        <w:rPr>
          <w:rFonts w:ascii="Arial" w:eastAsia="Times New Roman" w:hAnsi="Arial" w:cs="Times New Roman"/>
          <w:b/>
          <w:sz w:val="18"/>
          <w:szCs w:val="18"/>
          <w:lang w:val="en-GB"/>
        </w:rPr>
        <w:t xml:space="preserve">Table </w:t>
      </w:r>
      <w:r w:rsidR="001904F7">
        <w:rPr>
          <w:rFonts w:ascii="Arial" w:eastAsia="Times New Roman" w:hAnsi="Arial" w:cs="Times New Roman"/>
          <w:b/>
          <w:sz w:val="18"/>
          <w:szCs w:val="18"/>
          <w:lang w:val="en-GB"/>
        </w:rPr>
        <w:t>2</w:t>
      </w:r>
    </w:p>
    <w:p w14:paraId="796A595C" w14:textId="77777777" w:rsidR="00FB15F7" w:rsidRDefault="00FB15F7" w:rsidP="00FB15F7">
      <w:pPr>
        <w:spacing w:line="240" w:lineRule="auto"/>
        <w:jc w:val="center"/>
        <w:rPr>
          <w:rFonts w:ascii="Arial" w:hAnsi="Arial"/>
        </w:rPr>
      </w:pPr>
      <w:r w:rsidRPr="00FF3F3A">
        <w:rPr>
          <w:rFonts w:ascii="Arial" w:eastAsia="Times New Roman" w:hAnsi="Arial" w:cs="Times New Roman"/>
          <w:b/>
          <w:sz w:val="18"/>
          <w:szCs w:val="18"/>
          <w:lang w:val="en-GB"/>
        </w:rPr>
        <w:t xml:space="preserve">Components of housing costs included in affordability analysis by selected </w:t>
      </w:r>
      <w:r>
        <w:rPr>
          <w:rFonts w:ascii="Arial" w:eastAsia="Times New Roman" w:hAnsi="Arial" w:cs="Times New Roman"/>
          <w:b/>
          <w:sz w:val="18"/>
          <w:szCs w:val="18"/>
          <w:lang w:val="en-GB"/>
        </w:rPr>
        <w:t>sources</w:t>
      </w:r>
    </w:p>
    <w:tbl>
      <w:tblPr>
        <w:tblStyle w:val="TableGrid"/>
        <w:tblW w:w="9016" w:type="dxa"/>
        <w:jc w:val="center"/>
        <w:tblCellMar>
          <w:left w:w="57" w:type="dxa"/>
          <w:right w:w="57" w:type="dxa"/>
        </w:tblCellMar>
        <w:tblLook w:val="04A0" w:firstRow="1" w:lastRow="0" w:firstColumn="1" w:lastColumn="0" w:noHBand="0" w:noVBand="1"/>
      </w:tblPr>
      <w:tblGrid>
        <w:gridCol w:w="1480"/>
        <w:gridCol w:w="621"/>
        <w:gridCol w:w="817"/>
        <w:gridCol w:w="818"/>
        <w:gridCol w:w="544"/>
        <w:gridCol w:w="943"/>
        <w:gridCol w:w="1390"/>
        <w:gridCol w:w="1126"/>
        <w:gridCol w:w="1277"/>
      </w:tblGrid>
      <w:tr w:rsidR="007B2EC8" w14:paraId="3840C6B3" w14:textId="77777777" w:rsidTr="00085FCB">
        <w:trPr>
          <w:jc w:val="center"/>
        </w:trPr>
        <w:tc>
          <w:tcPr>
            <w:tcW w:w="1480" w:type="dxa"/>
            <w:vAlign w:val="center"/>
          </w:tcPr>
          <w:p w14:paraId="7FF30C43" w14:textId="77777777" w:rsidR="007B2EC8" w:rsidRPr="009E21E1" w:rsidRDefault="007B2EC8" w:rsidP="0038499F">
            <w:pPr>
              <w:spacing w:before="40" w:after="40" w:line="240" w:lineRule="auto"/>
              <w:jc w:val="center"/>
              <w:rPr>
                <w:rFonts w:ascii="Arial" w:hAnsi="Arial"/>
                <w:b/>
                <w:sz w:val="14"/>
                <w:szCs w:val="14"/>
              </w:rPr>
            </w:pPr>
          </w:p>
        </w:tc>
        <w:tc>
          <w:tcPr>
            <w:tcW w:w="6259" w:type="dxa"/>
            <w:gridSpan w:val="7"/>
            <w:tcBorders>
              <w:right w:val="single" w:sz="8" w:space="0" w:color="auto"/>
            </w:tcBorders>
            <w:vAlign w:val="center"/>
          </w:tcPr>
          <w:p w14:paraId="75A204AC" w14:textId="117AF517" w:rsidR="007B2EC8" w:rsidRDefault="007B2EC8" w:rsidP="0038499F">
            <w:pPr>
              <w:spacing w:after="0" w:line="240" w:lineRule="auto"/>
              <w:jc w:val="center"/>
              <w:rPr>
                <w:rFonts w:ascii="Arial" w:hAnsi="Arial"/>
                <w:b/>
                <w:sz w:val="14"/>
                <w:szCs w:val="14"/>
              </w:rPr>
            </w:pPr>
            <w:r w:rsidRPr="00C17971">
              <w:rPr>
                <w:rFonts w:ascii="Arial" w:hAnsi="Arial"/>
                <w:b/>
                <w:sz w:val="14"/>
                <w:szCs w:val="14"/>
              </w:rPr>
              <w:t>Housing cost components</w:t>
            </w:r>
          </w:p>
        </w:tc>
        <w:tc>
          <w:tcPr>
            <w:tcW w:w="1277" w:type="dxa"/>
            <w:vMerge w:val="restart"/>
            <w:tcBorders>
              <w:left w:val="single" w:sz="8" w:space="0" w:color="auto"/>
            </w:tcBorders>
            <w:vAlign w:val="center"/>
          </w:tcPr>
          <w:p w14:paraId="3956211A" w14:textId="5EA4DC3D" w:rsidR="007B2EC8" w:rsidRDefault="007B2EC8" w:rsidP="0038499F">
            <w:pPr>
              <w:spacing w:after="0" w:line="240" w:lineRule="auto"/>
              <w:jc w:val="center"/>
              <w:rPr>
                <w:rFonts w:ascii="Arial" w:hAnsi="Arial"/>
                <w:b/>
                <w:sz w:val="14"/>
                <w:szCs w:val="14"/>
              </w:rPr>
            </w:pPr>
            <w:r>
              <w:rPr>
                <w:rFonts w:ascii="Arial" w:hAnsi="Arial"/>
                <w:b/>
                <w:sz w:val="14"/>
                <w:szCs w:val="14"/>
              </w:rPr>
              <w:t>Treatment of housing support</w:t>
            </w:r>
          </w:p>
        </w:tc>
      </w:tr>
      <w:tr w:rsidR="007B2EC8" w14:paraId="1CC0A268" w14:textId="77777777" w:rsidTr="007B2EC8">
        <w:trPr>
          <w:jc w:val="center"/>
        </w:trPr>
        <w:tc>
          <w:tcPr>
            <w:tcW w:w="1480" w:type="dxa"/>
            <w:vAlign w:val="center"/>
          </w:tcPr>
          <w:p w14:paraId="28139C38" w14:textId="77777777" w:rsidR="007B2EC8" w:rsidRPr="009E21E1" w:rsidRDefault="007B2EC8" w:rsidP="0038499F">
            <w:pPr>
              <w:spacing w:before="40" w:after="40" w:line="240" w:lineRule="auto"/>
              <w:jc w:val="center"/>
              <w:rPr>
                <w:rFonts w:ascii="Arial" w:hAnsi="Arial"/>
                <w:b/>
                <w:sz w:val="14"/>
                <w:szCs w:val="14"/>
              </w:rPr>
            </w:pPr>
          </w:p>
        </w:tc>
        <w:tc>
          <w:tcPr>
            <w:tcW w:w="621" w:type="dxa"/>
            <w:vAlign w:val="center"/>
          </w:tcPr>
          <w:p w14:paraId="135CC5FF" w14:textId="77777777" w:rsidR="007B2EC8" w:rsidRPr="009E21E1" w:rsidRDefault="007B2EC8" w:rsidP="0038499F">
            <w:pPr>
              <w:spacing w:before="40" w:after="40" w:line="240" w:lineRule="auto"/>
              <w:jc w:val="center"/>
              <w:rPr>
                <w:rFonts w:ascii="Arial" w:hAnsi="Arial"/>
                <w:b/>
                <w:sz w:val="14"/>
                <w:szCs w:val="14"/>
              </w:rPr>
            </w:pPr>
            <w:r w:rsidRPr="009E21E1">
              <w:rPr>
                <w:rFonts w:ascii="Arial" w:hAnsi="Arial"/>
                <w:b/>
                <w:sz w:val="14"/>
                <w:szCs w:val="14"/>
              </w:rPr>
              <w:t>Rent</w:t>
            </w:r>
          </w:p>
        </w:tc>
        <w:tc>
          <w:tcPr>
            <w:tcW w:w="817" w:type="dxa"/>
            <w:vAlign w:val="center"/>
          </w:tcPr>
          <w:p w14:paraId="69247D35" w14:textId="77777777" w:rsidR="007B2EC8" w:rsidRPr="009E21E1" w:rsidRDefault="007B2EC8" w:rsidP="0038499F">
            <w:pPr>
              <w:spacing w:before="40" w:after="40" w:line="240" w:lineRule="auto"/>
              <w:jc w:val="center"/>
              <w:rPr>
                <w:rFonts w:ascii="Arial" w:hAnsi="Arial"/>
                <w:b/>
                <w:sz w:val="14"/>
                <w:szCs w:val="14"/>
              </w:rPr>
            </w:pPr>
            <w:r w:rsidRPr="009E21E1">
              <w:rPr>
                <w:rFonts w:ascii="Arial" w:hAnsi="Arial"/>
                <w:b/>
                <w:sz w:val="14"/>
                <w:szCs w:val="14"/>
              </w:rPr>
              <w:t>Mortgage Principal</w:t>
            </w:r>
          </w:p>
        </w:tc>
        <w:tc>
          <w:tcPr>
            <w:tcW w:w="818" w:type="dxa"/>
            <w:vAlign w:val="center"/>
          </w:tcPr>
          <w:p w14:paraId="37E45596" w14:textId="77777777" w:rsidR="007B2EC8" w:rsidRPr="009E21E1" w:rsidRDefault="007B2EC8" w:rsidP="0038499F">
            <w:pPr>
              <w:spacing w:before="40" w:after="40" w:line="240" w:lineRule="auto"/>
              <w:jc w:val="center"/>
              <w:rPr>
                <w:rFonts w:ascii="Arial" w:hAnsi="Arial"/>
                <w:b/>
                <w:sz w:val="14"/>
                <w:szCs w:val="14"/>
              </w:rPr>
            </w:pPr>
            <w:r w:rsidRPr="009E21E1">
              <w:rPr>
                <w:rFonts w:ascii="Arial" w:hAnsi="Arial"/>
                <w:b/>
                <w:sz w:val="14"/>
                <w:szCs w:val="14"/>
              </w:rPr>
              <w:t>Mortgage Interest</w:t>
            </w:r>
          </w:p>
        </w:tc>
        <w:tc>
          <w:tcPr>
            <w:tcW w:w="544" w:type="dxa"/>
            <w:vAlign w:val="center"/>
          </w:tcPr>
          <w:p w14:paraId="4DB43495" w14:textId="77777777" w:rsidR="007B2EC8" w:rsidRPr="009E21E1" w:rsidRDefault="007B2EC8" w:rsidP="0038499F">
            <w:pPr>
              <w:spacing w:before="40" w:after="40" w:line="240" w:lineRule="auto"/>
              <w:jc w:val="center"/>
              <w:rPr>
                <w:rFonts w:ascii="Arial" w:hAnsi="Arial"/>
                <w:b/>
                <w:sz w:val="14"/>
                <w:szCs w:val="14"/>
              </w:rPr>
            </w:pPr>
            <w:r w:rsidRPr="009E21E1">
              <w:rPr>
                <w:rFonts w:ascii="Arial" w:hAnsi="Arial"/>
                <w:b/>
                <w:sz w:val="14"/>
                <w:szCs w:val="14"/>
              </w:rPr>
              <w:t>Rates</w:t>
            </w:r>
          </w:p>
        </w:tc>
        <w:tc>
          <w:tcPr>
            <w:tcW w:w="943" w:type="dxa"/>
            <w:shd w:val="clear" w:color="auto" w:fill="auto"/>
            <w:vAlign w:val="center"/>
          </w:tcPr>
          <w:p w14:paraId="155210D9" w14:textId="77777777" w:rsidR="007B2EC8" w:rsidRPr="009C4843" w:rsidRDefault="007B2EC8" w:rsidP="0038499F">
            <w:pPr>
              <w:spacing w:before="40" w:after="40" w:line="240" w:lineRule="auto"/>
              <w:jc w:val="center"/>
              <w:rPr>
                <w:rFonts w:ascii="Arial" w:hAnsi="Arial"/>
                <w:b/>
                <w:sz w:val="14"/>
                <w:szCs w:val="14"/>
              </w:rPr>
            </w:pPr>
            <w:r w:rsidRPr="009C4843">
              <w:rPr>
                <w:rFonts w:ascii="Arial" w:hAnsi="Arial"/>
                <w:b/>
                <w:sz w:val="14"/>
                <w:szCs w:val="14"/>
              </w:rPr>
              <w:t>Building Insurance</w:t>
            </w:r>
          </w:p>
        </w:tc>
        <w:tc>
          <w:tcPr>
            <w:tcW w:w="1390" w:type="dxa"/>
            <w:tcBorders>
              <w:right w:val="single" w:sz="4" w:space="0" w:color="auto"/>
            </w:tcBorders>
            <w:vAlign w:val="center"/>
          </w:tcPr>
          <w:p w14:paraId="085D0AB6" w14:textId="77777777" w:rsidR="007B2EC8" w:rsidRPr="009E21E1" w:rsidRDefault="007B2EC8" w:rsidP="0038499F">
            <w:pPr>
              <w:spacing w:after="0" w:line="240" w:lineRule="auto"/>
              <w:jc w:val="center"/>
              <w:rPr>
                <w:rFonts w:ascii="Arial" w:hAnsi="Arial"/>
                <w:b/>
                <w:sz w:val="14"/>
                <w:szCs w:val="14"/>
              </w:rPr>
            </w:pPr>
            <w:r w:rsidRPr="009E21E1">
              <w:rPr>
                <w:rFonts w:ascii="Arial" w:hAnsi="Arial"/>
                <w:b/>
                <w:sz w:val="14"/>
                <w:szCs w:val="14"/>
              </w:rPr>
              <w:t>Utilities for water, electricity, gas, etc</w:t>
            </w:r>
          </w:p>
        </w:tc>
        <w:tc>
          <w:tcPr>
            <w:tcW w:w="1126" w:type="dxa"/>
            <w:tcBorders>
              <w:left w:val="single" w:sz="4" w:space="0" w:color="auto"/>
              <w:right w:val="single" w:sz="8" w:space="0" w:color="auto"/>
            </w:tcBorders>
            <w:vAlign w:val="center"/>
          </w:tcPr>
          <w:p w14:paraId="2BA2881A" w14:textId="0B4FDE14" w:rsidR="007B2EC8" w:rsidRPr="009E21E1" w:rsidRDefault="007B2EC8" w:rsidP="007B2EC8">
            <w:pPr>
              <w:spacing w:after="0" w:line="240" w:lineRule="auto"/>
              <w:jc w:val="center"/>
              <w:rPr>
                <w:rFonts w:ascii="Arial" w:hAnsi="Arial"/>
                <w:b/>
                <w:sz w:val="14"/>
                <w:szCs w:val="14"/>
              </w:rPr>
            </w:pPr>
            <w:r>
              <w:rPr>
                <w:rFonts w:ascii="Arial" w:hAnsi="Arial"/>
                <w:b/>
                <w:sz w:val="14"/>
                <w:szCs w:val="14"/>
              </w:rPr>
              <w:t>Repairs and maintenance</w:t>
            </w:r>
          </w:p>
        </w:tc>
        <w:tc>
          <w:tcPr>
            <w:tcW w:w="1277" w:type="dxa"/>
            <w:vMerge/>
            <w:tcBorders>
              <w:left w:val="single" w:sz="8" w:space="0" w:color="auto"/>
            </w:tcBorders>
            <w:vAlign w:val="center"/>
          </w:tcPr>
          <w:p w14:paraId="74708C3B" w14:textId="639A25A1" w:rsidR="007B2EC8" w:rsidRPr="009E21E1" w:rsidRDefault="007B2EC8" w:rsidP="0038499F">
            <w:pPr>
              <w:spacing w:after="0" w:line="240" w:lineRule="auto"/>
              <w:jc w:val="center"/>
              <w:rPr>
                <w:rFonts w:ascii="Arial" w:hAnsi="Arial"/>
                <w:b/>
                <w:sz w:val="14"/>
                <w:szCs w:val="14"/>
              </w:rPr>
            </w:pPr>
          </w:p>
        </w:tc>
      </w:tr>
      <w:tr w:rsidR="007B2EC8" w14:paraId="4105E397" w14:textId="77777777" w:rsidTr="007B2EC8">
        <w:trPr>
          <w:jc w:val="center"/>
        </w:trPr>
        <w:tc>
          <w:tcPr>
            <w:tcW w:w="1480" w:type="dxa"/>
            <w:vAlign w:val="center"/>
          </w:tcPr>
          <w:p w14:paraId="252323B5" w14:textId="77777777" w:rsidR="007B2EC8" w:rsidRPr="009E21E1" w:rsidRDefault="007B2EC8" w:rsidP="00DD1A12">
            <w:pPr>
              <w:spacing w:before="40" w:after="40" w:line="240" w:lineRule="auto"/>
              <w:rPr>
                <w:rFonts w:ascii="Arial" w:hAnsi="Arial"/>
                <w:b/>
                <w:sz w:val="14"/>
                <w:szCs w:val="14"/>
              </w:rPr>
            </w:pPr>
            <w:r w:rsidRPr="009E21E1">
              <w:rPr>
                <w:rFonts w:ascii="Arial" w:hAnsi="Arial"/>
                <w:b/>
                <w:sz w:val="14"/>
                <w:szCs w:val="14"/>
              </w:rPr>
              <w:t>Eurostat</w:t>
            </w:r>
          </w:p>
        </w:tc>
        <w:tc>
          <w:tcPr>
            <w:tcW w:w="621" w:type="dxa"/>
            <w:vAlign w:val="center"/>
          </w:tcPr>
          <w:p w14:paraId="501DABDF"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1D57710A"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t>-</w:t>
            </w:r>
          </w:p>
        </w:tc>
        <w:tc>
          <w:tcPr>
            <w:tcW w:w="818" w:type="dxa"/>
            <w:vAlign w:val="center"/>
          </w:tcPr>
          <w:p w14:paraId="3E985D1B"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7638B1CB"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943" w:type="dxa"/>
            <w:shd w:val="clear" w:color="auto" w:fill="auto"/>
            <w:vAlign w:val="center"/>
          </w:tcPr>
          <w:p w14:paraId="7809A28B" w14:textId="77777777" w:rsidR="007B2EC8" w:rsidRPr="009C4843" w:rsidRDefault="007B2EC8" w:rsidP="007B2EC8">
            <w:pPr>
              <w:spacing w:before="40" w:after="40" w:line="240" w:lineRule="auto"/>
              <w:jc w:val="center"/>
              <w:rPr>
                <w:rFonts w:ascii="Arial" w:hAnsi="Arial"/>
                <w:sz w:val="14"/>
                <w:szCs w:val="14"/>
              </w:rPr>
            </w:pPr>
            <w:r w:rsidRPr="009C4843">
              <w:rPr>
                <w:rFonts w:ascii="Arial" w:hAnsi="Arial"/>
                <w:sz w:val="14"/>
                <w:szCs w:val="14"/>
              </w:rPr>
              <w:sym w:font="Wingdings" w:char="F0FC"/>
            </w:r>
          </w:p>
        </w:tc>
        <w:tc>
          <w:tcPr>
            <w:tcW w:w="1390" w:type="dxa"/>
            <w:tcBorders>
              <w:right w:val="single" w:sz="4" w:space="0" w:color="auto"/>
            </w:tcBorders>
            <w:vAlign w:val="center"/>
          </w:tcPr>
          <w:p w14:paraId="24AD9A9F"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126" w:type="dxa"/>
            <w:tcBorders>
              <w:left w:val="single" w:sz="4" w:space="0" w:color="auto"/>
              <w:right w:val="single" w:sz="8" w:space="0" w:color="auto"/>
            </w:tcBorders>
            <w:vAlign w:val="center"/>
          </w:tcPr>
          <w:p w14:paraId="22E2ABD8" w14:textId="12076CD3" w:rsidR="007B2EC8"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277" w:type="dxa"/>
            <w:tcBorders>
              <w:left w:val="single" w:sz="8" w:space="0" w:color="auto"/>
            </w:tcBorders>
            <w:vAlign w:val="center"/>
          </w:tcPr>
          <w:p w14:paraId="33117D6F" w14:textId="154C1587" w:rsidR="007B2EC8" w:rsidRPr="009E21E1" w:rsidRDefault="007B2EC8" w:rsidP="0038499F">
            <w:pPr>
              <w:spacing w:before="40" w:after="40" w:line="240" w:lineRule="auto"/>
              <w:jc w:val="center"/>
              <w:rPr>
                <w:rFonts w:ascii="Arial" w:hAnsi="Arial"/>
                <w:sz w:val="14"/>
                <w:szCs w:val="14"/>
              </w:rPr>
            </w:pPr>
            <w:r>
              <w:rPr>
                <w:rFonts w:ascii="Arial" w:hAnsi="Arial"/>
                <w:sz w:val="14"/>
                <w:szCs w:val="14"/>
              </w:rPr>
              <w:t>Deducted from HC</w:t>
            </w:r>
          </w:p>
        </w:tc>
      </w:tr>
      <w:tr w:rsidR="007B2EC8" w14:paraId="57BCA71B" w14:textId="77777777" w:rsidTr="007B2EC8">
        <w:trPr>
          <w:jc w:val="center"/>
        </w:trPr>
        <w:tc>
          <w:tcPr>
            <w:tcW w:w="1480" w:type="dxa"/>
            <w:vAlign w:val="center"/>
          </w:tcPr>
          <w:p w14:paraId="19F8F0A6" w14:textId="77777777" w:rsidR="007B2EC8" w:rsidRPr="009E21E1" w:rsidRDefault="007B2EC8" w:rsidP="00DD1A12">
            <w:pPr>
              <w:spacing w:before="40" w:after="40" w:line="240" w:lineRule="auto"/>
              <w:rPr>
                <w:rFonts w:ascii="Arial" w:hAnsi="Arial"/>
                <w:b/>
                <w:sz w:val="14"/>
                <w:szCs w:val="14"/>
              </w:rPr>
            </w:pPr>
            <w:r>
              <w:rPr>
                <w:rFonts w:ascii="Arial" w:hAnsi="Arial"/>
                <w:b/>
                <w:sz w:val="14"/>
                <w:szCs w:val="14"/>
              </w:rPr>
              <w:t>OECD ‘short’</w:t>
            </w:r>
          </w:p>
        </w:tc>
        <w:tc>
          <w:tcPr>
            <w:tcW w:w="621" w:type="dxa"/>
            <w:vAlign w:val="center"/>
          </w:tcPr>
          <w:p w14:paraId="7E34CD25"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4AAEF129"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8" w:type="dxa"/>
            <w:vAlign w:val="center"/>
          </w:tcPr>
          <w:p w14:paraId="3466A150"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604757B9" w14:textId="77777777" w:rsidR="007B2EC8" w:rsidRPr="009E21E1"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943" w:type="dxa"/>
            <w:shd w:val="clear" w:color="auto" w:fill="auto"/>
            <w:vAlign w:val="center"/>
          </w:tcPr>
          <w:p w14:paraId="2BFD2FFF" w14:textId="77777777" w:rsidR="007B2EC8" w:rsidRPr="009C4843" w:rsidRDefault="007B2EC8" w:rsidP="007B2EC8">
            <w:pPr>
              <w:spacing w:before="40" w:after="40" w:line="240" w:lineRule="auto"/>
              <w:jc w:val="center"/>
              <w:rPr>
                <w:rFonts w:ascii="Arial" w:hAnsi="Arial"/>
                <w:sz w:val="14"/>
                <w:szCs w:val="14"/>
              </w:rPr>
            </w:pPr>
            <w:r w:rsidRPr="009C4843">
              <w:rPr>
                <w:rFonts w:ascii="Arial" w:hAnsi="Arial"/>
                <w:sz w:val="14"/>
                <w:szCs w:val="14"/>
              </w:rPr>
              <w:t>-</w:t>
            </w:r>
          </w:p>
        </w:tc>
        <w:tc>
          <w:tcPr>
            <w:tcW w:w="1390" w:type="dxa"/>
            <w:tcBorders>
              <w:right w:val="single" w:sz="4" w:space="0" w:color="auto"/>
            </w:tcBorders>
            <w:vAlign w:val="center"/>
          </w:tcPr>
          <w:p w14:paraId="2B2710AC" w14:textId="77777777" w:rsidR="007B2EC8" w:rsidRPr="009E21E1"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126" w:type="dxa"/>
            <w:tcBorders>
              <w:left w:val="single" w:sz="4" w:space="0" w:color="auto"/>
              <w:right w:val="single" w:sz="8" w:space="0" w:color="auto"/>
            </w:tcBorders>
            <w:vAlign w:val="center"/>
          </w:tcPr>
          <w:p w14:paraId="7EDFC7F7" w14:textId="41E6A009" w:rsidR="007B2EC8"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277" w:type="dxa"/>
            <w:tcBorders>
              <w:left w:val="single" w:sz="8" w:space="0" w:color="auto"/>
            </w:tcBorders>
            <w:vAlign w:val="center"/>
          </w:tcPr>
          <w:p w14:paraId="14B75175" w14:textId="6CE7421A" w:rsidR="007B2EC8" w:rsidRDefault="007B2EC8" w:rsidP="0038499F">
            <w:pPr>
              <w:spacing w:before="40" w:after="40" w:line="240" w:lineRule="auto"/>
              <w:jc w:val="center"/>
              <w:rPr>
                <w:rFonts w:ascii="Arial" w:hAnsi="Arial"/>
                <w:sz w:val="14"/>
                <w:szCs w:val="14"/>
              </w:rPr>
            </w:pPr>
            <w:r>
              <w:rPr>
                <w:rFonts w:ascii="Arial" w:hAnsi="Arial"/>
                <w:sz w:val="14"/>
                <w:szCs w:val="14"/>
              </w:rPr>
              <w:t>Included in income</w:t>
            </w:r>
          </w:p>
        </w:tc>
      </w:tr>
      <w:tr w:rsidR="007B2EC8" w14:paraId="6B23E759" w14:textId="77777777" w:rsidTr="007B2EC8">
        <w:trPr>
          <w:jc w:val="center"/>
        </w:trPr>
        <w:tc>
          <w:tcPr>
            <w:tcW w:w="1480" w:type="dxa"/>
            <w:vAlign w:val="center"/>
          </w:tcPr>
          <w:p w14:paraId="7B639A16" w14:textId="47E193BB" w:rsidR="007B2EC8" w:rsidRPr="009E21E1" w:rsidRDefault="007B2EC8" w:rsidP="00DD1A12">
            <w:pPr>
              <w:spacing w:before="40" w:after="40" w:line="240" w:lineRule="auto"/>
              <w:rPr>
                <w:rFonts w:ascii="Arial" w:hAnsi="Arial"/>
                <w:b/>
                <w:sz w:val="14"/>
                <w:szCs w:val="14"/>
              </w:rPr>
            </w:pPr>
            <w:r>
              <w:rPr>
                <w:rFonts w:ascii="Arial" w:hAnsi="Arial"/>
                <w:b/>
                <w:sz w:val="14"/>
                <w:szCs w:val="14"/>
              </w:rPr>
              <w:t>OECD ‘total’</w:t>
            </w:r>
          </w:p>
        </w:tc>
        <w:tc>
          <w:tcPr>
            <w:tcW w:w="621" w:type="dxa"/>
            <w:vAlign w:val="center"/>
          </w:tcPr>
          <w:p w14:paraId="371B31AF"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294DCB6F"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8" w:type="dxa"/>
            <w:vAlign w:val="center"/>
          </w:tcPr>
          <w:p w14:paraId="28823865"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26BA30B7"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943" w:type="dxa"/>
            <w:shd w:val="clear" w:color="auto" w:fill="auto"/>
            <w:vAlign w:val="center"/>
          </w:tcPr>
          <w:p w14:paraId="4FEBB4E5" w14:textId="77777777" w:rsidR="007B2EC8" w:rsidRPr="009C4843" w:rsidRDefault="007B2EC8" w:rsidP="007B2EC8">
            <w:pPr>
              <w:spacing w:before="40" w:after="40" w:line="240" w:lineRule="auto"/>
              <w:jc w:val="center"/>
              <w:rPr>
                <w:rFonts w:ascii="Arial" w:hAnsi="Arial"/>
                <w:sz w:val="14"/>
                <w:szCs w:val="14"/>
              </w:rPr>
            </w:pPr>
            <w:r w:rsidRPr="009C4843">
              <w:rPr>
                <w:rFonts w:ascii="Arial" w:hAnsi="Arial"/>
                <w:sz w:val="14"/>
                <w:szCs w:val="14"/>
              </w:rPr>
              <w:sym w:font="Wingdings" w:char="F0FC"/>
            </w:r>
          </w:p>
        </w:tc>
        <w:tc>
          <w:tcPr>
            <w:tcW w:w="1390" w:type="dxa"/>
            <w:tcBorders>
              <w:right w:val="single" w:sz="4" w:space="0" w:color="auto"/>
            </w:tcBorders>
            <w:vAlign w:val="center"/>
          </w:tcPr>
          <w:p w14:paraId="20879BEC"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126" w:type="dxa"/>
            <w:tcBorders>
              <w:left w:val="single" w:sz="4" w:space="0" w:color="auto"/>
              <w:right w:val="single" w:sz="8" w:space="0" w:color="auto"/>
            </w:tcBorders>
            <w:vAlign w:val="center"/>
          </w:tcPr>
          <w:p w14:paraId="37AADEB5" w14:textId="6E245DA6" w:rsidR="007B2EC8"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277" w:type="dxa"/>
            <w:tcBorders>
              <w:left w:val="single" w:sz="8" w:space="0" w:color="auto"/>
            </w:tcBorders>
            <w:vAlign w:val="center"/>
          </w:tcPr>
          <w:p w14:paraId="0D756156" w14:textId="6A075DEB" w:rsidR="007B2EC8" w:rsidRDefault="007B2EC8" w:rsidP="0038499F">
            <w:pPr>
              <w:spacing w:before="40" w:after="40" w:line="240" w:lineRule="auto"/>
              <w:jc w:val="center"/>
              <w:rPr>
                <w:rFonts w:ascii="Arial" w:hAnsi="Arial"/>
                <w:sz w:val="14"/>
                <w:szCs w:val="14"/>
              </w:rPr>
            </w:pPr>
            <w:r>
              <w:rPr>
                <w:rFonts w:ascii="Arial" w:hAnsi="Arial"/>
                <w:sz w:val="14"/>
                <w:szCs w:val="14"/>
              </w:rPr>
              <w:t>Included in income</w:t>
            </w:r>
          </w:p>
        </w:tc>
      </w:tr>
      <w:tr w:rsidR="007B2EC8" w14:paraId="58CE1172" w14:textId="77777777" w:rsidTr="007B2EC8">
        <w:trPr>
          <w:jc w:val="center"/>
        </w:trPr>
        <w:tc>
          <w:tcPr>
            <w:tcW w:w="1480" w:type="dxa"/>
            <w:vAlign w:val="center"/>
          </w:tcPr>
          <w:p w14:paraId="5B6F29A2" w14:textId="77777777" w:rsidR="007B2EC8" w:rsidRPr="009E21E1" w:rsidRDefault="007B2EC8" w:rsidP="00DD1A12">
            <w:pPr>
              <w:spacing w:before="40" w:after="40" w:line="240" w:lineRule="auto"/>
              <w:rPr>
                <w:rFonts w:ascii="Arial" w:hAnsi="Arial"/>
                <w:b/>
                <w:sz w:val="14"/>
                <w:szCs w:val="14"/>
              </w:rPr>
            </w:pPr>
            <w:r w:rsidRPr="00DD0E1B">
              <w:rPr>
                <w:rFonts w:ascii="Arial" w:hAnsi="Arial"/>
                <w:b/>
                <w:sz w:val="14"/>
                <w:szCs w:val="14"/>
              </w:rPr>
              <w:t>HBAI (UK)</w:t>
            </w:r>
          </w:p>
        </w:tc>
        <w:tc>
          <w:tcPr>
            <w:tcW w:w="621" w:type="dxa"/>
            <w:vAlign w:val="center"/>
          </w:tcPr>
          <w:p w14:paraId="529CFFB2"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6C0A3351" w14:textId="77777777" w:rsidR="007B2EC8" w:rsidRPr="009E21E1"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818" w:type="dxa"/>
            <w:vAlign w:val="center"/>
          </w:tcPr>
          <w:p w14:paraId="5E5F9A98"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14BA8FEA"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943" w:type="dxa"/>
            <w:vAlign w:val="center"/>
          </w:tcPr>
          <w:p w14:paraId="542FBD8D"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390" w:type="dxa"/>
            <w:tcBorders>
              <w:right w:val="single" w:sz="4" w:space="0" w:color="auto"/>
            </w:tcBorders>
            <w:vAlign w:val="center"/>
          </w:tcPr>
          <w:p w14:paraId="4687B73E"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126" w:type="dxa"/>
            <w:tcBorders>
              <w:left w:val="single" w:sz="4" w:space="0" w:color="auto"/>
              <w:right w:val="single" w:sz="8" w:space="0" w:color="auto"/>
            </w:tcBorders>
            <w:vAlign w:val="center"/>
          </w:tcPr>
          <w:p w14:paraId="62DE90B6" w14:textId="43171C11" w:rsidR="007B2EC8"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277" w:type="dxa"/>
            <w:tcBorders>
              <w:left w:val="single" w:sz="8" w:space="0" w:color="auto"/>
            </w:tcBorders>
            <w:vAlign w:val="center"/>
          </w:tcPr>
          <w:p w14:paraId="5F8DAA60" w14:textId="312E9388" w:rsidR="007B2EC8" w:rsidRPr="009E21E1" w:rsidRDefault="007B2EC8" w:rsidP="0038499F">
            <w:pPr>
              <w:spacing w:before="40" w:after="40" w:line="240" w:lineRule="auto"/>
              <w:jc w:val="center"/>
              <w:rPr>
                <w:rFonts w:ascii="Arial" w:hAnsi="Arial"/>
                <w:sz w:val="14"/>
                <w:szCs w:val="14"/>
              </w:rPr>
            </w:pPr>
            <w:r>
              <w:rPr>
                <w:rFonts w:ascii="Arial" w:hAnsi="Arial"/>
                <w:sz w:val="14"/>
                <w:szCs w:val="14"/>
              </w:rPr>
              <w:t>Included in income</w:t>
            </w:r>
          </w:p>
        </w:tc>
      </w:tr>
      <w:tr w:rsidR="007B2EC8" w14:paraId="5C2E0DF2" w14:textId="77777777" w:rsidTr="007B2EC8">
        <w:trPr>
          <w:jc w:val="center"/>
        </w:trPr>
        <w:tc>
          <w:tcPr>
            <w:tcW w:w="1480" w:type="dxa"/>
            <w:vAlign w:val="center"/>
          </w:tcPr>
          <w:p w14:paraId="748023D1" w14:textId="77777777" w:rsidR="007B2EC8" w:rsidRPr="009E21E1" w:rsidRDefault="007B2EC8" w:rsidP="00DD1A12">
            <w:pPr>
              <w:spacing w:before="40" w:after="40" w:line="240" w:lineRule="auto"/>
              <w:rPr>
                <w:rFonts w:ascii="Arial" w:hAnsi="Arial"/>
                <w:b/>
                <w:sz w:val="14"/>
                <w:szCs w:val="14"/>
              </w:rPr>
            </w:pPr>
            <w:r w:rsidRPr="009E21E1">
              <w:rPr>
                <w:rFonts w:ascii="Arial" w:hAnsi="Arial"/>
                <w:b/>
                <w:sz w:val="14"/>
                <w:szCs w:val="14"/>
              </w:rPr>
              <w:t>Stats NZ</w:t>
            </w:r>
            <w:r>
              <w:rPr>
                <w:rFonts w:ascii="Arial" w:hAnsi="Arial"/>
                <w:b/>
                <w:sz w:val="14"/>
                <w:szCs w:val="14"/>
              </w:rPr>
              <w:t xml:space="preserve"> from 2007</w:t>
            </w:r>
          </w:p>
        </w:tc>
        <w:tc>
          <w:tcPr>
            <w:tcW w:w="621" w:type="dxa"/>
            <w:vAlign w:val="center"/>
          </w:tcPr>
          <w:p w14:paraId="72EB0E38"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3E8D7FF1"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8" w:type="dxa"/>
            <w:vAlign w:val="center"/>
          </w:tcPr>
          <w:p w14:paraId="5572154B"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14A7C8CC"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943" w:type="dxa"/>
            <w:vAlign w:val="center"/>
          </w:tcPr>
          <w:p w14:paraId="03CEF8D4"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390" w:type="dxa"/>
            <w:tcBorders>
              <w:right w:val="single" w:sz="4" w:space="0" w:color="auto"/>
            </w:tcBorders>
            <w:vAlign w:val="center"/>
          </w:tcPr>
          <w:p w14:paraId="362C91C4"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t>-</w:t>
            </w:r>
          </w:p>
        </w:tc>
        <w:tc>
          <w:tcPr>
            <w:tcW w:w="1126" w:type="dxa"/>
            <w:tcBorders>
              <w:left w:val="single" w:sz="4" w:space="0" w:color="auto"/>
              <w:right w:val="single" w:sz="8" w:space="0" w:color="auto"/>
            </w:tcBorders>
            <w:vAlign w:val="center"/>
          </w:tcPr>
          <w:p w14:paraId="500EA8EC" w14:textId="689C8846" w:rsidR="007B2EC8"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277" w:type="dxa"/>
            <w:tcBorders>
              <w:left w:val="single" w:sz="8" w:space="0" w:color="auto"/>
            </w:tcBorders>
            <w:vAlign w:val="center"/>
          </w:tcPr>
          <w:p w14:paraId="66E0E13F" w14:textId="0F627AD3" w:rsidR="007B2EC8" w:rsidRDefault="007B2EC8" w:rsidP="0038499F">
            <w:pPr>
              <w:spacing w:before="40" w:after="40" w:line="240" w:lineRule="auto"/>
              <w:jc w:val="center"/>
              <w:rPr>
                <w:rFonts w:ascii="Arial" w:hAnsi="Arial"/>
                <w:sz w:val="14"/>
                <w:szCs w:val="14"/>
              </w:rPr>
            </w:pPr>
            <w:r>
              <w:rPr>
                <w:rFonts w:ascii="Arial" w:hAnsi="Arial"/>
                <w:sz w:val="14"/>
                <w:szCs w:val="14"/>
              </w:rPr>
              <w:t>Included in income</w:t>
            </w:r>
          </w:p>
        </w:tc>
      </w:tr>
      <w:tr w:rsidR="007B2EC8" w14:paraId="2FEFD5F5" w14:textId="77777777" w:rsidTr="007B2EC8">
        <w:trPr>
          <w:jc w:val="center"/>
        </w:trPr>
        <w:tc>
          <w:tcPr>
            <w:tcW w:w="1480" w:type="dxa"/>
            <w:vAlign w:val="center"/>
          </w:tcPr>
          <w:p w14:paraId="6DD9D181" w14:textId="77777777" w:rsidR="007B2EC8" w:rsidRPr="009E21E1" w:rsidRDefault="007B2EC8" w:rsidP="00DD1A12">
            <w:pPr>
              <w:spacing w:before="40" w:after="40" w:line="240" w:lineRule="auto"/>
              <w:rPr>
                <w:rFonts w:ascii="Arial" w:hAnsi="Arial"/>
                <w:b/>
                <w:sz w:val="14"/>
                <w:szCs w:val="14"/>
              </w:rPr>
            </w:pPr>
            <w:r>
              <w:rPr>
                <w:rFonts w:ascii="Arial" w:hAnsi="Arial"/>
                <w:b/>
                <w:sz w:val="14"/>
                <w:szCs w:val="14"/>
              </w:rPr>
              <w:t>MSD (standard)</w:t>
            </w:r>
          </w:p>
        </w:tc>
        <w:tc>
          <w:tcPr>
            <w:tcW w:w="621" w:type="dxa"/>
            <w:vAlign w:val="center"/>
          </w:tcPr>
          <w:p w14:paraId="584744D6"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7" w:type="dxa"/>
            <w:vAlign w:val="center"/>
          </w:tcPr>
          <w:p w14:paraId="4128B310"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818" w:type="dxa"/>
            <w:vAlign w:val="center"/>
          </w:tcPr>
          <w:p w14:paraId="516A472D"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544" w:type="dxa"/>
            <w:vAlign w:val="center"/>
          </w:tcPr>
          <w:p w14:paraId="7539656E"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943" w:type="dxa"/>
            <w:vAlign w:val="center"/>
          </w:tcPr>
          <w:p w14:paraId="35F5363B"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sym w:font="Wingdings" w:char="F0FC"/>
            </w:r>
          </w:p>
        </w:tc>
        <w:tc>
          <w:tcPr>
            <w:tcW w:w="1390" w:type="dxa"/>
            <w:tcBorders>
              <w:right w:val="single" w:sz="4" w:space="0" w:color="auto"/>
            </w:tcBorders>
            <w:vAlign w:val="center"/>
          </w:tcPr>
          <w:p w14:paraId="1B2E4649" w14:textId="77777777" w:rsidR="007B2EC8" w:rsidRPr="009E21E1" w:rsidRDefault="007B2EC8" w:rsidP="007B2EC8">
            <w:pPr>
              <w:spacing w:before="40" w:after="40" w:line="240" w:lineRule="auto"/>
              <w:jc w:val="center"/>
              <w:rPr>
                <w:rFonts w:ascii="Arial" w:hAnsi="Arial"/>
                <w:sz w:val="14"/>
                <w:szCs w:val="14"/>
              </w:rPr>
            </w:pPr>
            <w:r w:rsidRPr="009E21E1">
              <w:rPr>
                <w:rFonts w:ascii="Arial" w:hAnsi="Arial"/>
                <w:sz w:val="14"/>
                <w:szCs w:val="14"/>
              </w:rPr>
              <w:t>-</w:t>
            </w:r>
          </w:p>
        </w:tc>
        <w:tc>
          <w:tcPr>
            <w:tcW w:w="1126" w:type="dxa"/>
            <w:tcBorders>
              <w:left w:val="single" w:sz="4" w:space="0" w:color="auto"/>
              <w:right w:val="single" w:sz="8" w:space="0" w:color="auto"/>
            </w:tcBorders>
            <w:vAlign w:val="center"/>
          </w:tcPr>
          <w:p w14:paraId="2BB940CA" w14:textId="5824C5F0" w:rsidR="007B2EC8" w:rsidRDefault="007B2EC8" w:rsidP="007B2EC8">
            <w:pPr>
              <w:spacing w:before="40" w:after="40" w:line="240" w:lineRule="auto"/>
              <w:jc w:val="center"/>
              <w:rPr>
                <w:rFonts w:ascii="Arial" w:hAnsi="Arial"/>
                <w:sz w:val="14"/>
                <w:szCs w:val="14"/>
              </w:rPr>
            </w:pPr>
            <w:r>
              <w:rPr>
                <w:rFonts w:ascii="Arial" w:hAnsi="Arial"/>
                <w:sz w:val="14"/>
                <w:szCs w:val="14"/>
              </w:rPr>
              <w:t>-</w:t>
            </w:r>
          </w:p>
        </w:tc>
        <w:tc>
          <w:tcPr>
            <w:tcW w:w="1277" w:type="dxa"/>
            <w:tcBorders>
              <w:left w:val="single" w:sz="8" w:space="0" w:color="auto"/>
            </w:tcBorders>
            <w:vAlign w:val="center"/>
          </w:tcPr>
          <w:p w14:paraId="594B119F" w14:textId="5D734F62" w:rsidR="007B2EC8" w:rsidRDefault="007B2EC8" w:rsidP="0038499F">
            <w:pPr>
              <w:spacing w:before="40" w:after="40" w:line="240" w:lineRule="auto"/>
              <w:jc w:val="center"/>
              <w:rPr>
                <w:rFonts w:ascii="Arial" w:hAnsi="Arial"/>
                <w:sz w:val="14"/>
                <w:szCs w:val="14"/>
              </w:rPr>
            </w:pPr>
            <w:r>
              <w:rPr>
                <w:rFonts w:ascii="Arial" w:hAnsi="Arial"/>
                <w:sz w:val="14"/>
                <w:szCs w:val="14"/>
              </w:rPr>
              <w:t>Included in income</w:t>
            </w:r>
          </w:p>
        </w:tc>
      </w:tr>
      <w:tr w:rsidR="007B2EC8" w14:paraId="396593B2" w14:textId="77777777" w:rsidTr="007B2EC8">
        <w:trPr>
          <w:jc w:val="center"/>
        </w:trPr>
        <w:tc>
          <w:tcPr>
            <w:tcW w:w="1480" w:type="dxa"/>
            <w:vAlign w:val="center"/>
          </w:tcPr>
          <w:p w14:paraId="1EEFDFA3" w14:textId="77777777" w:rsidR="007B2EC8" w:rsidRPr="009E21E1" w:rsidRDefault="007B2EC8" w:rsidP="00DD1A12">
            <w:pPr>
              <w:spacing w:before="40" w:after="40" w:line="240" w:lineRule="auto"/>
              <w:rPr>
                <w:rFonts w:ascii="Arial" w:hAnsi="Arial"/>
                <w:b/>
                <w:sz w:val="14"/>
                <w:szCs w:val="14"/>
              </w:rPr>
            </w:pPr>
            <w:r>
              <w:rPr>
                <w:rFonts w:ascii="Arial" w:hAnsi="Arial"/>
                <w:b/>
                <w:sz w:val="14"/>
                <w:szCs w:val="14"/>
              </w:rPr>
              <w:t>MSD (customised)</w:t>
            </w:r>
          </w:p>
        </w:tc>
        <w:tc>
          <w:tcPr>
            <w:tcW w:w="6259" w:type="dxa"/>
            <w:gridSpan w:val="7"/>
            <w:tcBorders>
              <w:right w:val="single" w:sz="8" w:space="0" w:color="auto"/>
            </w:tcBorders>
            <w:vAlign w:val="center"/>
          </w:tcPr>
          <w:p w14:paraId="35276C42" w14:textId="254AF68F" w:rsidR="007B2EC8" w:rsidRDefault="007B2EC8" w:rsidP="007B2EC8">
            <w:pPr>
              <w:spacing w:before="40" w:after="40" w:line="240" w:lineRule="auto"/>
              <w:jc w:val="center"/>
              <w:rPr>
                <w:rFonts w:ascii="Arial" w:hAnsi="Arial"/>
                <w:sz w:val="14"/>
                <w:szCs w:val="14"/>
              </w:rPr>
            </w:pPr>
            <w:r>
              <w:rPr>
                <w:rFonts w:ascii="Arial" w:hAnsi="Arial"/>
                <w:sz w:val="14"/>
                <w:szCs w:val="14"/>
              </w:rPr>
              <w:t>Components selected as required for specified application</w:t>
            </w:r>
          </w:p>
        </w:tc>
        <w:tc>
          <w:tcPr>
            <w:tcW w:w="1277" w:type="dxa"/>
            <w:tcBorders>
              <w:left w:val="single" w:sz="8" w:space="0" w:color="auto"/>
            </w:tcBorders>
            <w:vAlign w:val="center"/>
          </w:tcPr>
          <w:p w14:paraId="41176409" w14:textId="7CF74538" w:rsidR="007B2EC8" w:rsidRDefault="007B2EC8" w:rsidP="0038499F">
            <w:pPr>
              <w:spacing w:before="40" w:after="40" w:line="240" w:lineRule="auto"/>
              <w:jc w:val="center"/>
              <w:rPr>
                <w:rFonts w:ascii="Arial" w:hAnsi="Arial"/>
                <w:sz w:val="14"/>
                <w:szCs w:val="14"/>
              </w:rPr>
            </w:pPr>
            <w:r>
              <w:rPr>
                <w:rFonts w:ascii="Arial" w:hAnsi="Arial"/>
                <w:sz w:val="14"/>
                <w:szCs w:val="14"/>
              </w:rPr>
              <w:t>(as required)</w:t>
            </w:r>
          </w:p>
        </w:tc>
      </w:tr>
    </w:tbl>
    <w:p w14:paraId="171AFC49" w14:textId="77777777" w:rsidR="00D92BF6" w:rsidRDefault="00D92BF6" w:rsidP="00BA6E96">
      <w:pPr>
        <w:spacing w:after="0" w:line="240" w:lineRule="auto"/>
        <w:rPr>
          <w:rFonts w:ascii="Arial" w:hAnsi="Arial"/>
          <w:b/>
          <w:sz w:val="22"/>
          <w:szCs w:val="24"/>
        </w:rPr>
      </w:pPr>
    </w:p>
    <w:p w14:paraId="388A42FD" w14:textId="77777777" w:rsidR="009A3CC1" w:rsidRPr="00E85A1D" w:rsidRDefault="009A3CC1" w:rsidP="00E85A1D">
      <w:pPr>
        <w:spacing w:after="0" w:line="240" w:lineRule="auto"/>
        <w:rPr>
          <w:rFonts w:ascii="Arial" w:eastAsia="Times New Roman" w:hAnsi="Arial" w:cs="Times New Roman"/>
          <w:szCs w:val="20"/>
        </w:rPr>
      </w:pPr>
    </w:p>
    <w:p w14:paraId="7C37DFF7" w14:textId="77777777" w:rsidR="00CA67A2" w:rsidRPr="004267D9" w:rsidRDefault="00CA67A2" w:rsidP="000A43DB">
      <w:pPr>
        <w:spacing w:after="0" w:line="240" w:lineRule="auto"/>
        <w:rPr>
          <w:rFonts w:ascii="Arial" w:hAnsi="Arial"/>
          <w:b/>
          <w:sz w:val="22"/>
        </w:rPr>
      </w:pPr>
      <w:r w:rsidRPr="004267D9">
        <w:rPr>
          <w:rFonts w:ascii="Arial" w:hAnsi="Arial"/>
          <w:b/>
          <w:sz w:val="22"/>
        </w:rPr>
        <w:t>Household income and equivalisation</w:t>
      </w:r>
    </w:p>
    <w:p w14:paraId="0F82E544" w14:textId="77777777" w:rsidR="00CA67A2" w:rsidRPr="00A760DD" w:rsidRDefault="00CA67A2" w:rsidP="00A760DD">
      <w:pPr>
        <w:spacing w:after="0" w:line="240" w:lineRule="auto"/>
        <w:rPr>
          <w:rFonts w:ascii="Arial" w:hAnsi="Arial"/>
          <w:b/>
          <w:szCs w:val="20"/>
        </w:rPr>
      </w:pPr>
    </w:p>
    <w:p w14:paraId="2FC67873" w14:textId="23D3C45F" w:rsidR="00A760DD" w:rsidRPr="00A760DD" w:rsidRDefault="00A760DD" w:rsidP="00A760DD">
      <w:pPr>
        <w:spacing w:after="0" w:line="240" w:lineRule="auto"/>
        <w:rPr>
          <w:rFonts w:ascii="Arial" w:hAnsi="Arial"/>
          <w:szCs w:val="20"/>
        </w:rPr>
      </w:pPr>
      <w:r w:rsidRPr="004267D9">
        <w:rPr>
          <w:rFonts w:ascii="Arial" w:hAnsi="Arial"/>
          <w:szCs w:val="20"/>
          <w:u w:val="single"/>
        </w:rPr>
        <w:t>Household Income</w:t>
      </w:r>
      <w:r w:rsidRPr="00A760DD">
        <w:rPr>
          <w:rFonts w:ascii="Arial" w:hAnsi="Arial"/>
          <w:szCs w:val="20"/>
        </w:rPr>
        <w:t xml:space="preserve"> </w:t>
      </w:r>
      <w:r w:rsidR="006751C5">
        <w:rPr>
          <w:rFonts w:ascii="Arial" w:hAnsi="Arial"/>
          <w:szCs w:val="20"/>
        </w:rPr>
        <w:t xml:space="preserve">is income </w:t>
      </w:r>
      <w:r w:rsidRPr="00A760DD">
        <w:rPr>
          <w:rFonts w:ascii="Arial" w:hAnsi="Arial"/>
          <w:szCs w:val="20"/>
        </w:rPr>
        <w:t>from all household members from all sources,</w:t>
      </w:r>
      <w:r w:rsidRPr="00A760DD">
        <w:rPr>
          <w:rFonts w:ascii="Arial" w:hAnsi="Arial"/>
          <w:i/>
          <w:iCs/>
          <w:szCs w:val="20"/>
        </w:rPr>
        <w:t xml:space="preserve"> less</w:t>
      </w:r>
      <w:r w:rsidRPr="00A760DD">
        <w:rPr>
          <w:rFonts w:ascii="Arial" w:hAnsi="Arial"/>
          <w:szCs w:val="20"/>
        </w:rPr>
        <w:t xml:space="preserve"> income tax paid</w:t>
      </w:r>
      <w:r w:rsidR="004267D9">
        <w:rPr>
          <w:rFonts w:ascii="Arial" w:hAnsi="Arial"/>
          <w:szCs w:val="20"/>
        </w:rPr>
        <w:t>.</w:t>
      </w:r>
    </w:p>
    <w:p w14:paraId="536C0080" w14:textId="77777777" w:rsidR="006751C5" w:rsidRDefault="006751C5" w:rsidP="00A760DD">
      <w:pPr>
        <w:spacing w:after="0" w:line="240" w:lineRule="auto"/>
        <w:rPr>
          <w:rFonts w:ascii="Arial" w:hAnsi="Arial"/>
          <w:szCs w:val="20"/>
        </w:rPr>
      </w:pPr>
    </w:p>
    <w:p w14:paraId="2F2B22D8" w14:textId="13FEFD5E" w:rsidR="006751C5" w:rsidRDefault="00A760DD" w:rsidP="00A760DD">
      <w:pPr>
        <w:spacing w:after="0" w:line="240" w:lineRule="auto"/>
        <w:rPr>
          <w:rFonts w:ascii="Arial" w:hAnsi="Arial"/>
          <w:szCs w:val="20"/>
        </w:rPr>
      </w:pPr>
      <w:r w:rsidRPr="004267D9">
        <w:rPr>
          <w:rFonts w:ascii="Arial" w:hAnsi="Arial"/>
          <w:szCs w:val="20"/>
          <w:u w:val="single"/>
        </w:rPr>
        <w:t xml:space="preserve">Equivalised </w:t>
      </w:r>
      <w:r w:rsidR="006751C5" w:rsidRPr="004267D9">
        <w:rPr>
          <w:rFonts w:ascii="Arial" w:hAnsi="Arial"/>
          <w:szCs w:val="20"/>
          <w:u w:val="single"/>
        </w:rPr>
        <w:t xml:space="preserve">household </w:t>
      </w:r>
      <w:r w:rsidRPr="004267D9">
        <w:rPr>
          <w:rFonts w:ascii="Arial" w:hAnsi="Arial"/>
          <w:szCs w:val="20"/>
          <w:u w:val="single"/>
        </w:rPr>
        <w:t>income</w:t>
      </w:r>
      <w:r w:rsidR="006751C5">
        <w:rPr>
          <w:rFonts w:ascii="Arial" w:hAnsi="Arial"/>
          <w:szCs w:val="20"/>
        </w:rPr>
        <w:t xml:space="preserve"> is h</w:t>
      </w:r>
      <w:r w:rsidRPr="00A760DD">
        <w:rPr>
          <w:rFonts w:ascii="Arial" w:hAnsi="Arial"/>
          <w:szCs w:val="20"/>
        </w:rPr>
        <w:t>ousehold income adjusted for household size and composition to enable more reasonable comparisons between households when household income is used as a measure of material wellbeing</w:t>
      </w:r>
      <w:r w:rsidR="004267D9">
        <w:rPr>
          <w:rFonts w:ascii="Arial" w:hAnsi="Arial"/>
          <w:szCs w:val="20"/>
        </w:rPr>
        <w:t>:</w:t>
      </w:r>
    </w:p>
    <w:p w14:paraId="11F30293" w14:textId="3EF40E1F" w:rsidR="004267D9" w:rsidRDefault="004267D9" w:rsidP="004267D9">
      <w:pPr>
        <w:pStyle w:val="ListParagraph"/>
        <w:numPr>
          <w:ilvl w:val="0"/>
          <w:numId w:val="37"/>
        </w:numPr>
        <w:spacing w:before="60" w:after="0" w:line="240" w:lineRule="auto"/>
        <w:ind w:left="568" w:hanging="284"/>
        <w:contextualSpacing w:val="0"/>
        <w:rPr>
          <w:rFonts w:ascii="Arial" w:hAnsi="Arial"/>
          <w:szCs w:val="20"/>
        </w:rPr>
      </w:pPr>
      <w:r>
        <w:rPr>
          <w:rFonts w:ascii="Arial" w:hAnsi="Arial"/>
          <w:szCs w:val="20"/>
        </w:rPr>
        <w:t>t</w:t>
      </w:r>
      <w:r w:rsidR="00A760DD" w:rsidRPr="004267D9">
        <w:rPr>
          <w:rFonts w:ascii="Arial" w:hAnsi="Arial"/>
          <w:szCs w:val="20"/>
        </w:rPr>
        <w:t>he OECD figures use the square root scale (sq</w:t>
      </w:r>
      <w:r>
        <w:rPr>
          <w:rFonts w:ascii="Arial" w:hAnsi="Arial"/>
          <w:szCs w:val="20"/>
        </w:rPr>
        <w:t>uare</w:t>
      </w:r>
      <w:r w:rsidR="00A760DD" w:rsidRPr="004267D9">
        <w:rPr>
          <w:rFonts w:ascii="Arial" w:hAnsi="Arial"/>
          <w:szCs w:val="20"/>
        </w:rPr>
        <w:t xml:space="preserve"> r</w:t>
      </w:r>
      <w:r>
        <w:rPr>
          <w:rFonts w:ascii="Arial" w:hAnsi="Arial"/>
          <w:szCs w:val="20"/>
        </w:rPr>
        <w:t>oo</w:t>
      </w:r>
      <w:r w:rsidR="00A760DD" w:rsidRPr="004267D9">
        <w:rPr>
          <w:rFonts w:ascii="Arial" w:hAnsi="Arial"/>
          <w:szCs w:val="20"/>
        </w:rPr>
        <w:t xml:space="preserve">t of number of people in the household) </w:t>
      </w:r>
    </w:p>
    <w:p w14:paraId="6C078EF8" w14:textId="24463AB7" w:rsidR="00A760DD" w:rsidRPr="004267D9" w:rsidRDefault="004267D9" w:rsidP="004267D9">
      <w:pPr>
        <w:pStyle w:val="ListParagraph"/>
        <w:numPr>
          <w:ilvl w:val="0"/>
          <w:numId w:val="37"/>
        </w:numPr>
        <w:spacing w:before="60" w:after="0" w:line="240" w:lineRule="auto"/>
        <w:ind w:left="568" w:hanging="284"/>
        <w:contextualSpacing w:val="0"/>
        <w:rPr>
          <w:rFonts w:ascii="Arial" w:hAnsi="Arial"/>
          <w:szCs w:val="20"/>
        </w:rPr>
      </w:pPr>
      <w:r>
        <w:rPr>
          <w:rFonts w:ascii="Arial" w:hAnsi="Arial"/>
          <w:szCs w:val="20"/>
        </w:rPr>
        <w:t>the</w:t>
      </w:r>
      <w:r w:rsidR="00A760DD" w:rsidRPr="004267D9">
        <w:rPr>
          <w:rFonts w:ascii="Arial" w:hAnsi="Arial"/>
          <w:szCs w:val="20"/>
        </w:rPr>
        <w:t xml:space="preserve"> EU figures use what is called the ‘modified OECD scale’ (1.0 for first adult, 0.5 for subsequent people aged 14+, and 0.3 for younger children) </w:t>
      </w:r>
    </w:p>
    <w:p w14:paraId="06215FB8" w14:textId="77777777" w:rsidR="00CA67A2" w:rsidRPr="00CA67A2" w:rsidRDefault="00CA67A2" w:rsidP="00A760DD">
      <w:pPr>
        <w:spacing w:after="0" w:line="240" w:lineRule="auto"/>
        <w:rPr>
          <w:rFonts w:ascii="Arial" w:hAnsi="Arial"/>
          <w:b/>
          <w:szCs w:val="20"/>
          <w:highlight w:val="yellow"/>
        </w:rPr>
      </w:pPr>
    </w:p>
    <w:p w14:paraId="6E647BC7" w14:textId="77777777" w:rsidR="00CA67A2" w:rsidRPr="00CA67A2" w:rsidRDefault="00CA67A2" w:rsidP="00CA67A2">
      <w:pPr>
        <w:spacing w:after="0" w:line="240" w:lineRule="auto"/>
        <w:rPr>
          <w:rFonts w:ascii="Arial" w:hAnsi="Arial"/>
          <w:b/>
          <w:szCs w:val="20"/>
          <w:highlight w:val="yellow"/>
        </w:rPr>
      </w:pPr>
    </w:p>
    <w:p w14:paraId="43B9DA25" w14:textId="3F95BC45" w:rsidR="000A43DB" w:rsidRPr="005E3DD7" w:rsidRDefault="000A43DB" w:rsidP="000A43DB">
      <w:pPr>
        <w:spacing w:after="0" w:line="240" w:lineRule="auto"/>
        <w:rPr>
          <w:rFonts w:ascii="Arial" w:hAnsi="Arial"/>
          <w:sz w:val="22"/>
          <w:szCs w:val="24"/>
        </w:rPr>
      </w:pPr>
      <w:r w:rsidRPr="005E3DD7">
        <w:rPr>
          <w:rFonts w:ascii="Arial" w:hAnsi="Arial"/>
          <w:b/>
          <w:sz w:val="22"/>
          <w:szCs w:val="24"/>
        </w:rPr>
        <w:t>Interpreting the rankings</w:t>
      </w:r>
    </w:p>
    <w:p w14:paraId="4BF2A571" w14:textId="77777777" w:rsidR="000A43DB" w:rsidRPr="005E3DD7" w:rsidRDefault="000A43DB" w:rsidP="000A43DB">
      <w:pPr>
        <w:spacing w:after="0" w:line="240" w:lineRule="auto"/>
        <w:rPr>
          <w:rFonts w:ascii="Arial" w:hAnsi="Arial"/>
        </w:rPr>
      </w:pPr>
    </w:p>
    <w:p w14:paraId="3943B6DE" w14:textId="3E2EA878" w:rsidR="00046E8B" w:rsidRPr="005E3DD7" w:rsidRDefault="00046E8B" w:rsidP="00773A19">
      <w:pPr>
        <w:spacing w:after="0" w:line="240" w:lineRule="auto"/>
        <w:jc w:val="both"/>
        <w:rPr>
          <w:rFonts w:ascii="Arial" w:eastAsia="Times New Roman" w:hAnsi="Arial"/>
          <w:szCs w:val="20"/>
          <w:lang w:val="en-GB"/>
        </w:rPr>
      </w:pPr>
      <w:r w:rsidRPr="005E3DD7">
        <w:rPr>
          <w:rFonts w:ascii="Arial" w:eastAsia="Times New Roman" w:hAnsi="Arial"/>
          <w:szCs w:val="20"/>
          <w:lang w:val="en-GB"/>
        </w:rPr>
        <w:t xml:space="preserve">The reported rankings should be taken to provide a </w:t>
      </w:r>
      <w:r w:rsidR="00773A19" w:rsidRPr="005E3DD7">
        <w:rPr>
          <w:rFonts w:ascii="Arial" w:eastAsia="Times New Roman" w:hAnsi="Arial"/>
          <w:szCs w:val="20"/>
          <w:lang w:val="en-GB"/>
        </w:rPr>
        <w:t>‘</w:t>
      </w:r>
      <w:r w:rsidRPr="005E3DD7">
        <w:rPr>
          <w:rFonts w:ascii="Arial" w:eastAsia="Times New Roman" w:hAnsi="Arial"/>
          <w:szCs w:val="20"/>
          <w:lang w:val="en-GB"/>
        </w:rPr>
        <w:t>good indication</w:t>
      </w:r>
      <w:r w:rsidR="00773A19" w:rsidRPr="005E3DD7">
        <w:rPr>
          <w:rFonts w:ascii="Arial" w:eastAsia="Times New Roman" w:hAnsi="Arial"/>
          <w:szCs w:val="20"/>
          <w:lang w:val="en-GB"/>
        </w:rPr>
        <w:t>’</w:t>
      </w:r>
      <w:r w:rsidRPr="005E3DD7">
        <w:rPr>
          <w:rFonts w:ascii="Arial" w:eastAsia="Times New Roman" w:hAnsi="Arial"/>
          <w:szCs w:val="20"/>
          <w:lang w:val="en-GB"/>
        </w:rPr>
        <w:t xml:space="preserve"> of where in the spectrum New Zealand (or any other country) sits</w:t>
      </w:r>
      <w:r w:rsidR="00773A19" w:rsidRPr="005E3DD7">
        <w:rPr>
          <w:rFonts w:ascii="Arial" w:eastAsia="Times New Roman" w:hAnsi="Arial"/>
          <w:szCs w:val="20"/>
          <w:lang w:val="en-GB"/>
        </w:rPr>
        <w:t>, rather than a precise and definitive ranking of ‘12</w:t>
      </w:r>
      <w:r w:rsidR="00773A19" w:rsidRPr="005E3DD7">
        <w:rPr>
          <w:rFonts w:ascii="Arial" w:eastAsia="Times New Roman" w:hAnsi="Arial"/>
          <w:szCs w:val="20"/>
          <w:vertAlign w:val="superscript"/>
          <w:lang w:val="en-GB"/>
        </w:rPr>
        <w:t>th</w:t>
      </w:r>
      <w:r w:rsidR="00773A19" w:rsidRPr="005E3DD7">
        <w:rPr>
          <w:rFonts w:ascii="Arial" w:eastAsia="Times New Roman" w:hAnsi="Arial"/>
          <w:szCs w:val="20"/>
          <w:lang w:val="en-GB"/>
        </w:rPr>
        <w:t>’ or similar.</w:t>
      </w:r>
      <w:r w:rsidRPr="005E3DD7">
        <w:rPr>
          <w:rFonts w:ascii="Arial" w:eastAsia="Times New Roman" w:hAnsi="Arial"/>
          <w:szCs w:val="20"/>
          <w:lang w:val="en-GB"/>
        </w:rPr>
        <w:t xml:space="preserve"> </w:t>
      </w:r>
      <w:r w:rsidR="00A44AA4" w:rsidRPr="005E3DD7">
        <w:rPr>
          <w:rFonts w:ascii="Arial" w:eastAsia="Times New Roman" w:hAnsi="Arial"/>
          <w:szCs w:val="20"/>
          <w:lang w:val="en-GB"/>
        </w:rPr>
        <w:t>The main rationale for this caution is the inevitable ‘sampling uncertainties’ challenge that all survey-based comparisons have. In addition, for international studies, differences between countries in the way core definitions are applied</w:t>
      </w:r>
      <w:r w:rsidR="005E3DD7">
        <w:rPr>
          <w:rFonts w:ascii="Arial" w:eastAsia="Times New Roman" w:hAnsi="Arial"/>
          <w:szCs w:val="20"/>
          <w:lang w:val="en-GB"/>
        </w:rPr>
        <w:t xml:space="preserve">, </w:t>
      </w:r>
      <w:r w:rsidR="00773A19" w:rsidRPr="005E3DD7">
        <w:rPr>
          <w:rFonts w:ascii="Arial" w:eastAsia="Times New Roman" w:hAnsi="Arial"/>
          <w:szCs w:val="20"/>
          <w:lang w:val="en-GB"/>
        </w:rPr>
        <w:t>despite best efforts by the administrators</w:t>
      </w:r>
      <w:r w:rsidR="005E3DD7">
        <w:rPr>
          <w:rFonts w:ascii="Arial" w:eastAsia="Times New Roman" w:hAnsi="Arial"/>
          <w:szCs w:val="20"/>
          <w:lang w:val="en-GB"/>
        </w:rPr>
        <w:t xml:space="preserve">, </w:t>
      </w:r>
      <w:r w:rsidR="005E3DD7" w:rsidRPr="005E3DD7">
        <w:rPr>
          <w:rFonts w:ascii="Arial" w:eastAsia="Times New Roman" w:hAnsi="Arial"/>
          <w:szCs w:val="20"/>
          <w:lang w:val="en-GB"/>
        </w:rPr>
        <w:t>can also alter rankings</w:t>
      </w:r>
      <w:r w:rsidR="005E3DD7">
        <w:rPr>
          <w:rFonts w:ascii="Arial" w:eastAsia="Times New Roman" w:hAnsi="Arial"/>
          <w:szCs w:val="20"/>
          <w:lang w:val="en-GB"/>
        </w:rPr>
        <w:t>.</w:t>
      </w:r>
      <w:r w:rsidR="00773A19" w:rsidRPr="005E3DD7">
        <w:rPr>
          <w:rStyle w:val="FootnoteReference"/>
          <w:rFonts w:ascii="Arial" w:eastAsia="Times New Roman" w:hAnsi="Arial"/>
          <w:szCs w:val="20"/>
          <w:lang w:val="en-GB"/>
        </w:rPr>
        <w:footnoteReference w:id="14"/>
      </w:r>
    </w:p>
    <w:p w14:paraId="41B1A9BE" w14:textId="77777777" w:rsidR="000A43DB" w:rsidRPr="005E3DD7" w:rsidRDefault="000A43DB" w:rsidP="000A43DB">
      <w:pPr>
        <w:pStyle w:val="ListParagraph"/>
        <w:spacing w:after="0" w:line="240" w:lineRule="auto"/>
        <w:jc w:val="both"/>
        <w:rPr>
          <w:rFonts w:ascii="Arial" w:eastAsia="Times New Roman" w:hAnsi="Arial"/>
          <w:szCs w:val="20"/>
          <w:lang w:val="en-GB"/>
        </w:rPr>
      </w:pPr>
    </w:p>
    <w:p w14:paraId="484097B1" w14:textId="1F01D438" w:rsidR="00A44AA4" w:rsidRPr="005E3DD7" w:rsidRDefault="0075204E" w:rsidP="00773A19">
      <w:pPr>
        <w:spacing w:after="0" w:line="240" w:lineRule="auto"/>
        <w:jc w:val="both"/>
        <w:rPr>
          <w:rFonts w:ascii="Arial" w:eastAsia="Times New Roman" w:hAnsi="Arial"/>
          <w:szCs w:val="20"/>
          <w:lang w:val="en-GB"/>
        </w:rPr>
      </w:pPr>
      <w:r w:rsidRPr="005E3DD7">
        <w:rPr>
          <w:rFonts w:ascii="Arial" w:eastAsia="Times New Roman" w:hAnsi="Arial"/>
          <w:szCs w:val="20"/>
          <w:lang w:val="en-GB"/>
        </w:rPr>
        <w:t xml:space="preserve">This caution does not however undermine the </w:t>
      </w:r>
      <w:r w:rsidR="00A44AA4" w:rsidRPr="005E3DD7">
        <w:rPr>
          <w:rFonts w:ascii="Arial" w:eastAsia="Times New Roman" w:hAnsi="Arial"/>
          <w:szCs w:val="20"/>
          <w:lang w:val="en-GB"/>
        </w:rPr>
        <w:t xml:space="preserve">cumulative and compelling </w:t>
      </w:r>
      <w:r w:rsidRPr="005E3DD7">
        <w:rPr>
          <w:rFonts w:ascii="Arial" w:eastAsia="Times New Roman" w:hAnsi="Arial"/>
          <w:szCs w:val="20"/>
          <w:lang w:val="en-GB"/>
        </w:rPr>
        <w:t xml:space="preserve">evidence </w:t>
      </w:r>
      <w:r w:rsidR="00A44AA4" w:rsidRPr="005E3DD7">
        <w:rPr>
          <w:rFonts w:ascii="Arial" w:eastAsia="Times New Roman" w:hAnsi="Arial"/>
          <w:szCs w:val="20"/>
          <w:lang w:val="en-GB"/>
        </w:rPr>
        <w:t>that New Zealand ranks at the ‘unaffordable’ end of the spectrum relative to other OECD countries.</w:t>
      </w:r>
    </w:p>
    <w:p w14:paraId="4ECEC6DA" w14:textId="77777777" w:rsidR="00773A19" w:rsidRPr="005E3DD7" w:rsidRDefault="00773A19" w:rsidP="00773A19">
      <w:pPr>
        <w:spacing w:after="0" w:line="240" w:lineRule="auto"/>
        <w:jc w:val="both"/>
        <w:rPr>
          <w:rFonts w:ascii="Arial" w:eastAsia="Times New Roman" w:hAnsi="Arial"/>
          <w:szCs w:val="20"/>
          <w:lang w:val="en-GB"/>
        </w:rPr>
      </w:pPr>
    </w:p>
    <w:p w14:paraId="78BB5CE6" w14:textId="17078283" w:rsidR="00A44AA4" w:rsidRPr="005E3DD7" w:rsidRDefault="00A44AA4" w:rsidP="00773A19">
      <w:pPr>
        <w:spacing w:after="0" w:line="240" w:lineRule="auto"/>
        <w:jc w:val="both"/>
        <w:rPr>
          <w:rFonts w:ascii="Arial" w:eastAsia="Times New Roman" w:hAnsi="Arial"/>
          <w:szCs w:val="20"/>
          <w:lang w:val="en-GB"/>
        </w:rPr>
      </w:pPr>
      <w:r w:rsidRPr="005E3DD7">
        <w:rPr>
          <w:rFonts w:ascii="Arial" w:eastAsia="Times New Roman" w:hAnsi="Arial"/>
          <w:szCs w:val="20"/>
          <w:lang w:val="en-GB"/>
        </w:rPr>
        <w:t xml:space="preserve">Another caution when interpreting rankings is to note that they do not include anything on the quality of the accommodation, simply the </w:t>
      </w:r>
      <w:r w:rsidR="00773A19" w:rsidRPr="005E3DD7">
        <w:rPr>
          <w:rFonts w:ascii="Arial" w:eastAsia="Times New Roman" w:hAnsi="Arial"/>
          <w:szCs w:val="20"/>
          <w:lang w:val="en-GB"/>
        </w:rPr>
        <w:t>direct cost relative to income.</w:t>
      </w:r>
      <w:r w:rsidR="0075204E" w:rsidRPr="005E3DD7">
        <w:rPr>
          <w:rFonts w:ascii="Arial" w:eastAsia="Times New Roman" w:hAnsi="Arial"/>
          <w:szCs w:val="20"/>
          <w:lang w:val="en-GB"/>
        </w:rPr>
        <w:t xml:space="preserve"> A fuller assessment would need to take account of this too</w:t>
      </w:r>
      <w:r w:rsidR="00600BD1">
        <w:rPr>
          <w:rFonts w:ascii="Arial" w:eastAsia="Times New Roman" w:hAnsi="Arial"/>
          <w:szCs w:val="20"/>
          <w:lang w:val="en-GB"/>
        </w:rPr>
        <w:t>, though the mediocre average quality of New Zealand’s housing stock is not likely to improve its ranking on a more comprehensive metric.</w:t>
      </w:r>
      <w:r w:rsidR="005E3DD7" w:rsidRPr="005E3DD7">
        <w:rPr>
          <w:rStyle w:val="FootnoteReference"/>
          <w:rFonts w:ascii="Arial" w:eastAsia="Times New Roman" w:hAnsi="Arial"/>
          <w:szCs w:val="20"/>
          <w:lang w:val="en-GB"/>
        </w:rPr>
        <w:footnoteReference w:id="15"/>
      </w:r>
    </w:p>
    <w:p w14:paraId="185D2280" w14:textId="77777777" w:rsidR="00DD1A12" w:rsidRDefault="00DD1A12">
      <w:pPr>
        <w:spacing w:after="0" w:line="240" w:lineRule="auto"/>
        <w:rPr>
          <w:rFonts w:ascii="Arial" w:eastAsia="Times New Roman" w:hAnsi="Arial" w:cs="Times New Roman"/>
          <w:b/>
          <w:sz w:val="24"/>
          <w:szCs w:val="24"/>
          <w:lang w:val="en-GB"/>
        </w:rPr>
      </w:pPr>
      <w:r>
        <w:rPr>
          <w:rFonts w:ascii="Arial" w:eastAsia="Times New Roman" w:hAnsi="Arial" w:cs="Times New Roman"/>
          <w:b/>
          <w:sz w:val="24"/>
          <w:szCs w:val="24"/>
          <w:lang w:val="en-GB"/>
        </w:rPr>
        <w:br w:type="page"/>
      </w:r>
    </w:p>
    <w:p w14:paraId="32B56582" w14:textId="224A52F4" w:rsidR="00B007BE" w:rsidRPr="006954BA" w:rsidRDefault="001C7A61" w:rsidP="006954BA">
      <w:pPr>
        <w:spacing w:after="0" w:line="240" w:lineRule="auto"/>
        <w:rPr>
          <w:rFonts w:ascii="Arial" w:eastAsia="Times New Roman" w:hAnsi="Arial" w:cs="Times New Roman"/>
          <w:b/>
          <w:szCs w:val="20"/>
          <w:lang w:val="en-GB"/>
        </w:rPr>
      </w:pPr>
      <w:r w:rsidRPr="00BA6E96">
        <w:rPr>
          <w:rFonts w:ascii="Arial" w:eastAsia="Times New Roman" w:hAnsi="Arial" w:cs="Times New Roman"/>
          <w:b/>
          <w:sz w:val="24"/>
          <w:szCs w:val="24"/>
          <w:lang w:val="en-GB"/>
        </w:rPr>
        <w:lastRenderedPageBreak/>
        <w:t>H</w:t>
      </w:r>
      <w:r w:rsidR="004C41CE" w:rsidRPr="00BA6E96">
        <w:rPr>
          <w:rFonts w:ascii="Arial" w:eastAsia="Times New Roman" w:hAnsi="Arial" w:cs="Times New Roman"/>
          <w:b/>
          <w:sz w:val="24"/>
          <w:szCs w:val="24"/>
          <w:lang w:val="en-GB"/>
        </w:rPr>
        <w:t>ouse prices in New Zealand</w:t>
      </w:r>
      <w:r w:rsidR="00B007BE" w:rsidRPr="00BA6E96">
        <w:rPr>
          <w:rFonts w:ascii="Arial" w:eastAsia="Times New Roman" w:hAnsi="Arial" w:cs="Times New Roman"/>
          <w:b/>
          <w:sz w:val="24"/>
          <w:szCs w:val="24"/>
          <w:lang w:val="en-GB"/>
        </w:rPr>
        <w:t>: trends relative to other OECD and EU countries</w:t>
      </w:r>
    </w:p>
    <w:p w14:paraId="7403F8CD" w14:textId="77777777" w:rsidR="00B007BE" w:rsidRDefault="00B007BE" w:rsidP="00BE162F">
      <w:pPr>
        <w:spacing w:after="0" w:line="240" w:lineRule="auto"/>
        <w:jc w:val="both"/>
        <w:rPr>
          <w:rFonts w:ascii="Arial" w:eastAsia="Times New Roman" w:hAnsi="Arial" w:cs="Times New Roman"/>
          <w:szCs w:val="20"/>
          <w:lang w:val="en-GB"/>
        </w:rPr>
      </w:pPr>
    </w:p>
    <w:p w14:paraId="2CEAAE90" w14:textId="095AF2F2" w:rsidR="00C97F56" w:rsidRDefault="00627324" w:rsidP="00BE162F">
      <w:pPr>
        <w:spacing w:after="0" w:line="240" w:lineRule="auto"/>
        <w:jc w:val="both"/>
        <w:rPr>
          <w:rFonts w:ascii="Arial" w:eastAsia="Times New Roman" w:hAnsi="Arial" w:cs="Times New Roman"/>
          <w:szCs w:val="20"/>
          <w:lang w:val="en-GB"/>
        </w:rPr>
      </w:pPr>
      <w:r>
        <w:rPr>
          <w:rFonts w:ascii="Arial" w:eastAsia="Times New Roman" w:hAnsi="Arial" w:cs="Times New Roman"/>
          <w:szCs w:val="20"/>
          <w:lang w:val="en-GB"/>
        </w:rPr>
        <w:t xml:space="preserve">Although </w:t>
      </w:r>
      <w:r w:rsidR="00C97F56">
        <w:rPr>
          <w:rFonts w:ascii="Arial" w:eastAsia="Times New Roman" w:hAnsi="Arial" w:cs="Times New Roman"/>
          <w:szCs w:val="20"/>
          <w:lang w:val="en-GB"/>
        </w:rPr>
        <w:t>this report</w:t>
      </w:r>
      <w:r w:rsidRPr="00BE162F">
        <w:rPr>
          <w:rFonts w:ascii="Arial" w:eastAsia="Times New Roman" w:hAnsi="Arial" w:cs="Times New Roman"/>
          <w:szCs w:val="20"/>
          <w:lang w:val="en-GB"/>
        </w:rPr>
        <w:t xml:space="preserve"> does not look at affordability from the perspective of those in the market seeking to purchase a property</w:t>
      </w:r>
      <w:r>
        <w:rPr>
          <w:rFonts w:ascii="Arial" w:eastAsia="Times New Roman" w:hAnsi="Arial" w:cs="Times New Roman"/>
          <w:szCs w:val="20"/>
          <w:lang w:val="en-GB"/>
        </w:rPr>
        <w:t>, the</w:t>
      </w:r>
      <w:r w:rsidR="00BE162F" w:rsidRPr="00BE162F">
        <w:rPr>
          <w:rFonts w:ascii="Arial" w:eastAsia="Times New Roman" w:hAnsi="Arial" w:cs="Times New Roman"/>
          <w:szCs w:val="20"/>
          <w:lang w:val="en-GB"/>
        </w:rPr>
        <w:t xml:space="preserve"> trend in house prices </w:t>
      </w:r>
      <w:r>
        <w:rPr>
          <w:rFonts w:ascii="Arial" w:eastAsia="Times New Roman" w:hAnsi="Arial" w:cs="Times New Roman"/>
          <w:szCs w:val="20"/>
          <w:lang w:val="en-GB"/>
        </w:rPr>
        <w:t xml:space="preserve">nevertheless </w:t>
      </w:r>
      <w:r w:rsidR="00BE162F" w:rsidRPr="00BE162F">
        <w:rPr>
          <w:rFonts w:ascii="Arial" w:eastAsia="Times New Roman" w:hAnsi="Arial" w:cs="Times New Roman"/>
          <w:szCs w:val="20"/>
          <w:lang w:val="en-GB"/>
        </w:rPr>
        <w:t xml:space="preserve">provides an important context as house prices impact on the size of mortgage repayments and on rents charged. </w:t>
      </w:r>
      <w:r w:rsidR="00C97F56" w:rsidRPr="00C97F56">
        <w:rPr>
          <w:rFonts w:ascii="Arial" w:eastAsia="Times New Roman" w:hAnsi="Arial" w:cs="Times New Roman"/>
          <w:b/>
          <w:bCs/>
          <w:szCs w:val="20"/>
          <w:lang w:val="en-GB"/>
        </w:rPr>
        <w:t>Figure 4</w:t>
      </w:r>
      <w:r w:rsidR="00BE162F" w:rsidRPr="00BE162F">
        <w:rPr>
          <w:rFonts w:ascii="Arial" w:eastAsia="Times New Roman" w:hAnsi="Arial" w:cs="Times New Roman"/>
          <w:szCs w:val="20"/>
          <w:lang w:val="en-GB"/>
        </w:rPr>
        <w:t xml:space="preserve"> shows the two recent periods of rapid rise for New Zealand, 2000 to 2007 before the GFC, then again from 2012 on. </w:t>
      </w:r>
      <w:bookmarkStart w:id="10" w:name="_Hlk85012212"/>
      <w:r w:rsidR="00BE162F" w:rsidRPr="00BE162F">
        <w:rPr>
          <w:rFonts w:ascii="Arial" w:eastAsia="Times New Roman" w:hAnsi="Arial" w:cs="Times New Roman"/>
          <w:szCs w:val="20"/>
          <w:lang w:val="en-GB"/>
        </w:rPr>
        <w:t>In the period from 2000, New Zealand experienced the largest increase in real house prices in the OECD. Canada and Sweden</w:t>
      </w:r>
      <w:r w:rsidR="00C97F56">
        <w:rPr>
          <w:rFonts w:ascii="Arial" w:eastAsia="Times New Roman" w:hAnsi="Arial" w:cs="Times New Roman"/>
          <w:szCs w:val="20"/>
          <w:lang w:val="en-GB"/>
        </w:rPr>
        <w:t xml:space="preserve"> (</w:t>
      </w:r>
      <w:r w:rsidR="00BE162F" w:rsidRPr="00BE162F">
        <w:rPr>
          <w:rFonts w:ascii="Arial" w:eastAsia="Times New Roman" w:hAnsi="Arial" w:cs="Times New Roman"/>
          <w:szCs w:val="20"/>
          <w:lang w:val="en-GB"/>
        </w:rPr>
        <w:t xml:space="preserve">not shown) had similar increases. </w:t>
      </w:r>
      <w:bookmarkEnd w:id="10"/>
    </w:p>
    <w:p w14:paraId="4FA8B306" w14:textId="519F93A6" w:rsidR="00C97F56" w:rsidRDefault="00C97F56" w:rsidP="00BE162F">
      <w:pPr>
        <w:spacing w:after="0" w:line="240" w:lineRule="auto"/>
        <w:jc w:val="both"/>
        <w:rPr>
          <w:rFonts w:ascii="Arial" w:eastAsia="Times New Roman" w:hAnsi="Arial" w:cs="Times New Roman"/>
          <w:szCs w:val="20"/>
          <w:lang w:val="en-GB"/>
        </w:rPr>
      </w:pPr>
    </w:p>
    <w:p w14:paraId="0482CF1E" w14:textId="4DE147D8" w:rsidR="00B007BE" w:rsidRPr="00C97F56" w:rsidRDefault="00C97F56" w:rsidP="00C97F56">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Figure 4</w:t>
      </w:r>
    </w:p>
    <w:p w14:paraId="1B93A016" w14:textId="4524725C" w:rsidR="00C97F56" w:rsidRPr="00C97F56" w:rsidRDefault="0018788A" w:rsidP="00C97F56">
      <w:pPr>
        <w:spacing w:after="0" w:line="240" w:lineRule="auto"/>
        <w:jc w:val="center"/>
        <w:rPr>
          <w:rFonts w:ascii="Arial" w:eastAsia="Times New Roman" w:hAnsi="Arial" w:cs="Times New Roman"/>
          <w:b/>
          <w:bCs/>
          <w:sz w:val="18"/>
          <w:szCs w:val="18"/>
          <w:lang w:val="en-GB"/>
        </w:rPr>
      </w:pPr>
      <w:r w:rsidRPr="00C97F56">
        <w:rPr>
          <w:noProof/>
        </w:rPr>
        <w:drawing>
          <wp:anchor distT="0" distB="0" distL="114300" distR="114300" simplePos="0" relativeHeight="251773952" behindDoc="0" locked="0" layoutInCell="1" allowOverlap="1" wp14:anchorId="65F3130C" wp14:editId="54AEEF0A">
            <wp:simplePos x="0" y="0"/>
            <wp:positionH relativeFrom="column">
              <wp:posOffset>1320800</wp:posOffset>
            </wp:positionH>
            <wp:positionV relativeFrom="paragraph">
              <wp:posOffset>173355</wp:posOffset>
            </wp:positionV>
            <wp:extent cx="3263900" cy="21297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3900" cy="2129790"/>
                    </a:xfrm>
                    <a:prstGeom prst="rect">
                      <a:avLst/>
                    </a:prstGeom>
                  </pic:spPr>
                </pic:pic>
              </a:graphicData>
            </a:graphic>
            <wp14:sizeRelH relativeFrom="margin">
              <wp14:pctWidth>0</wp14:pctWidth>
            </wp14:sizeRelH>
            <wp14:sizeRelV relativeFrom="margin">
              <wp14:pctHeight>0</wp14:pctHeight>
            </wp14:sizeRelV>
          </wp:anchor>
        </w:drawing>
      </w:r>
      <w:r w:rsidR="00C97F56" w:rsidRPr="00C97F56">
        <w:rPr>
          <w:rFonts w:ascii="Arial" w:eastAsia="Times New Roman" w:hAnsi="Arial" w:cs="Times New Roman"/>
          <w:b/>
          <w:bCs/>
          <w:sz w:val="18"/>
          <w:szCs w:val="18"/>
          <w:lang w:val="en-GB"/>
        </w:rPr>
        <w:t>Real house prices, 2000 to 2020, New Zealand and selected OECD countries</w:t>
      </w:r>
    </w:p>
    <w:p w14:paraId="29505604" w14:textId="0FB59BBE" w:rsidR="00BE162F" w:rsidRDefault="00BE162F" w:rsidP="0018788A">
      <w:pPr>
        <w:spacing w:before="60" w:after="0" w:line="240" w:lineRule="auto"/>
        <w:ind w:left="993" w:right="2223" w:firstLine="1417"/>
        <w:rPr>
          <w:rFonts w:ascii="Arial" w:eastAsia="Times New Roman" w:hAnsi="Arial" w:cs="Times New Roman"/>
          <w:sz w:val="16"/>
          <w:szCs w:val="16"/>
          <w:lang w:val="en-GB"/>
        </w:rPr>
      </w:pPr>
      <w:r w:rsidRPr="00BE162F">
        <w:rPr>
          <w:rFonts w:ascii="Arial" w:eastAsia="Times New Roman" w:hAnsi="Arial" w:cs="Times New Roman"/>
          <w:sz w:val="16"/>
          <w:szCs w:val="16"/>
          <w:lang w:val="en-GB"/>
        </w:rPr>
        <w:t>Source: OECD House Prices and Related Indicators</w:t>
      </w:r>
    </w:p>
    <w:p w14:paraId="4B2105AE" w14:textId="7CB109F1" w:rsidR="00DE45EF" w:rsidRDefault="00DE45EF" w:rsidP="007C6A13">
      <w:pPr>
        <w:rPr>
          <w:highlight w:val="yellow"/>
          <w:lang w:val="en-GB"/>
        </w:rPr>
      </w:pPr>
    </w:p>
    <w:p w14:paraId="58B3E23F" w14:textId="479C9794" w:rsidR="00DE45EF" w:rsidRDefault="00DE45EF" w:rsidP="007C6A13">
      <w:pPr>
        <w:rPr>
          <w:highlight w:val="yellow"/>
          <w:lang w:val="en-GB"/>
        </w:rPr>
      </w:pPr>
    </w:p>
    <w:p w14:paraId="72441456" w14:textId="0195D0DF" w:rsidR="00C97F56" w:rsidRDefault="00C97F56" w:rsidP="00C97F56">
      <w:pPr>
        <w:spacing w:after="0" w:line="240" w:lineRule="auto"/>
        <w:jc w:val="both"/>
        <w:rPr>
          <w:rFonts w:ascii="Arial" w:eastAsia="Times New Roman" w:hAnsi="Arial" w:cs="Times New Roman"/>
          <w:szCs w:val="20"/>
          <w:lang w:val="en-GB"/>
        </w:rPr>
      </w:pPr>
      <w:r w:rsidRPr="00BE162F">
        <w:rPr>
          <w:rFonts w:ascii="Arial" w:eastAsia="Times New Roman" w:hAnsi="Arial" w:cs="Times New Roman"/>
          <w:szCs w:val="20"/>
          <w:lang w:val="en-GB"/>
        </w:rPr>
        <w:t xml:space="preserve">New Zealand also has the highest rise when using 1980 as the start date, a </w:t>
      </w:r>
      <w:r w:rsidR="007D6BAE">
        <w:rPr>
          <w:rFonts w:ascii="Arial" w:eastAsia="Times New Roman" w:hAnsi="Arial" w:cs="Times New Roman"/>
          <w:szCs w:val="20"/>
          <w:lang w:val="en-GB"/>
        </w:rPr>
        <w:t xml:space="preserve">more than </w:t>
      </w:r>
      <w:r w:rsidRPr="00BE162F">
        <w:rPr>
          <w:rFonts w:ascii="Arial" w:eastAsia="Times New Roman" w:hAnsi="Arial" w:cs="Times New Roman"/>
          <w:szCs w:val="20"/>
          <w:lang w:val="en-GB"/>
        </w:rPr>
        <w:t xml:space="preserve">five-fold </w:t>
      </w:r>
      <w:r w:rsidR="007D6BAE">
        <w:rPr>
          <w:rFonts w:ascii="Arial" w:eastAsia="Times New Roman" w:hAnsi="Arial" w:cs="Times New Roman"/>
          <w:szCs w:val="20"/>
          <w:lang w:val="en-GB"/>
        </w:rPr>
        <w:t xml:space="preserve">rise </w:t>
      </w:r>
      <w:r>
        <w:rPr>
          <w:rFonts w:ascii="Arial" w:eastAsia="Times New Roman" w:hAnsi="Arial" w:cs="Times New Roman"/>
          <w:szCs w:val="20"/>
          <w:lang w:val="en-GB"/>
        </w:rPr>
        <w:t>to 2020</w:t>
      </w:r>
      <w:r w:rsidR="007D6BAE">
        <w:rPr>
          <w:rFonts w:ascii="Arial" w:eastAsia="Times New Roman" w:hAnsi="Arial" w:cs="Times New Roman"/>
          <w:szCs w:val="20"/>
          <w:lang w:val="en-GB"/>
        </w:rPr>
        <w:t xml:space="preserve"> (the index rose from 100 to 546)</w:t>
      </w:r>
      <w:r w:rsidRPr="00BE162F">
        <w:rPr>
          <w:rFonts w:ascii="Arial" w:eastAsia="Times New Roman" w:hAnsi="Arial" w:cs="Times New Roman"/>
          <w:szCs w:val="20"/>
          <w:lang w:val="en-GB"/>
        </w:rPr>
        <w:t xml:space="preserve">, </w:t>
      </w:r>
      <w:r w:rsidR="007D6BAE">
        <w:rPr>
          <w:rFonts w:ascii="Arial" w:eastAsia="Times New Roman" w:hAnsi="Arial" w:cs="Times New Roman"/>
          <w:szCs w:val="20"/>
          <w:lang w:val="en-GB"/>
        </w:rPr>
        <w:t>with the next highest rise being the UK (100 to 352), a distant second.</w:t>
      </w:r>
      <w:r w:rsidR="00276812">
        <w:rPr>
          <w:rFonts w:ascii="Arial" w:eastAsia="Times New Roman" w:hAnsi="Arial" w:cs="Times New Roman"/>
          <w:szCs w:val="20"/>
          <w:lang w:val="en-GB"/>
        </w:rPr>
        <w:t xml:space="preserve"> </w:t>
      </w:r>
      <w:r w:rsidR="007D6BAE">
        <w:rPr>
          <w:rFonts w:ascii="Arial" w:eastAsia="Times New Roman" w:hAnsi="Arial" w:cs="Times New Roman"/>
          <w:szCs w:val="20"/>
          <w:lang w:val="en-GB"/>
        </w:rPr>
        <w:t xml:space="preserve">Canada and Australia also experienced </w:t>
      </w:r>
      <w:r w:rsidRPr="00BE162F">
        <w:rPr>
          <w:rFonts w:ascii="Arial" w:eastAsia="Times New Roman" w:hAnsi="Arial" w:cs="Times New Roman"/>
          <w:szCs w:val="20"/>
          <w:lang w:val="en-GB"/>
        </w:rPr>
        <w:t>only a</w:t>
      </w:r>
      <w:r w:rsidR="007D6BAE">
        <w:rPr>
          <w:rFonts w:ascii="Arial" w:eastAsia="Times New Roman" w:hAnsi="Arial" w:cs="Times New Roman"/>
          <w:szCs w:val="20"/>
          <w:lang w:val="en-GB"/>
        </w:rPr>
        <w:t xml:space="preserve"> three-fold rise (100 to 301 and 100 to 335 respectively). For</w:t>
      </w:r>
      <w:r w:rsidRPr="00BE162F">
        <w:rPr>
          <w:rFonts w:ascii="Arial" w:eastAsia="Times New Roman" w:hAnsi="Arial" w:cs="Times New Roman"/>
          <w:szCs w:val="20"/>
          <w:lang w:val="en-GB"/>
        </w:rPr>
        <w:t xml:space="preserve"> OECD countries</w:t>
      </w:r>
      <w:r>
        <w:rPr>
          <w:rFonts w:ascii="Arial" w:eastAsia="Times New Roman" w:hAnsi="Arial" w:cs="Times New Roman"/>
          <w:szCs w:val="20"/>
          <w:lang w:val="en-GB"/>
        </w:rPr>
        <w:t xml:space="preserve"> overall</w:t>
      </w:r>
      <w:r w:rsidR="007D6BAE">
        <w:rPr>
          <w:rFonts w:ascii="Arial" w:eastAsia="Times New Roman" w:hAnsi="Arial" w:cs="Times New Roman"/>
          <w:szCs w:val="20"/>
          <w:lang w:val="en-GB"/>
        </w:rPr>
        <w:t>, the increase was only 75% (100 to 175)</w:t>
      </w:r>
      <w:r w:rsidRPr="00BE162F">
        <w:rPr>
          <w:rFonts w:ascii="Arial" w:eastAsia="Times New Roman" w:hAnsi="Arial" w:cs="Times New Roman"/>
          <w:szCs w:val="20"/>
          <w:lang w:val="en-GB"/>
        </w:rPr>
        <w:t>.</w:t>
      </w:r>
    </w:p>
    <w:p w14:paraId="5398D6A1" w14:textId="302E4CD6" w:rsidR="00DE45EF" w:rsidRDefault="00DE45EF" w:rsidP="001C7A61">
      <w:pPr>
        <w:spacing w:after="0" w:line="240" w:lineRule="auto"/>
        <w:jc w:val="both"/>
        <w:rPr>
          <w:rFonts w:ascii="Arial" w:eastAsia="Times New Roman" w:hAnsi="Arial" w:cs="Times New Roman"/>
          <w:color w:val="FF0000"/>
          <w:sz w:val="16"/>
          <w:szCs w:val="20"/>
          <w:lang w:val="en-GB"/>
        </w:rPr>
      </w:pPr>
    </w:p>
    <w:p w14:paraId="16C4EA26" w14:textId="01BFF23C" w:rsidR="00DE45EF" w:rsidRDefault="00DE45EF" w:rsidP="001C7A61">
      <w:pPr>
        <w:spacing w:after="0" w:line="240" w:lineRule="auto"/>
        <w:jc w:val="both"/>
        <w:rPr>
          <w:rFonts w:ascii="Arial" w:eastAsia="Times New Roman" w:hAnsi="Arial" w:cs="Times New Roman"/>
          <w:color w:val="FF0000"/>
          <w:sz w:val="16"/>
          <w:szCs w:val="20"/>
          <w:lang w:val="en-GB"/>
        </w:rPr>
      </w:pPr>
    </w:p>
    <w:p w14:paraId="4A91AFFF" w14:textId="64D1B35F" w:rsidR="00DE45EF" w:rsidRDefault="00B3601E" w:rsidP="001C7A61">
      <w:pPr>
        <w:spacing w:after="0" w:line="240" w:lineRule="auto"/>
        <w:jc w:val="both"/>
        <w:rPr>
          <w:rFonts w:ascii="Arial" w:eastAsia="Times New Roman" w:hAnsi="Arial" w:cs="Times New Roman"/>
          <w:color w:val="FF0000"/>
          <w:sz w:val="16"/>
          <w:szCs w:val="20"/>
          <w:lang w:val="en-GB"/>
        </w:rPr>
      </w:pPr>
      <w:r>
        <w:rPr>
          <w:rFonts w:ascii="Arial" w:eastAsia="Times New Roman" w:hAnsi="Arial"/>
          <w:b/>
          <w:noProof/>
          <w:sz w:val="24"/>
          <w:szCs w:val="24"/>
          <w:lang w:val="en-GB"/>
        </w:rPr>
        <mc:AlternateContent>
          <mc:Choice Requires="wps">
            <w:drawing>
              <wp:anchor distT="0" distB="0" distL="114300" distR="114300" simplePos="0" relativeHeight="251832320" behindDoc="0" locked="0" layoutInCell="1" allowOverlap="1" wp14:anchorId="4CB77939" wp14:editId="65966052">
                <wp:simplePos x="0" y="0"/>
                <wp:positionH relativeFrom="column">
                  <wp:posOffset>635000</wp:posOffset>
                </wp:positionH>
                <wp:positionV relativeFrom="paragraph">
                  <wp:posOffset>67310</wp:posOffset>
                </wp:positionV>
                <wp:extent cx="4552950" cy="34861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4552950" cy="3486150"/>
                        </a:xfrm>
                        <a:prstGeom prst="rect">
                          <a:avLst/>
                        </a:prstGeom>
                        <a:solidFill>
                          <a:schemeClr val="lt1"/>
                        </a:solidFill>
                        <a:ln w="6350">
                          <a:solidFill>
                            <a:prstClr val="black"/>
                          </a:solidFill>
                        </a:ln>
                      </wps:spPr>
                      <wps:txbx>
                        <w:txbxContent>
                          <w:p w14:paraId="6FFD18F4" w14:textId="77777777" w:rsidR="006252D5" w:rsidRPr="000A43DB" w:rsidRDefault="006252D5" w:rsidP="006954BA">
                            <w:pPr>
                              <w:spacing w:after="0" w:line="240" w:lineRule="auto"/>
                              <w:jc w:val="center"/>
                              <w:rPr>
                                <w:rFonts w:ascii="Arial" w:hAnsi="Arial"/>
                                <w:b/>
                                <w:bCs/>
                              </w:rPr>
                            </w:pPr>
                            <w:r w:rsidRPr="000A43DB">
                              <w:rPr>
                                <w:rFonts w:ascii="Arial" w:hAnsi="Arial"/>
                                <w:b/>
                                <w:bCs/>
                              </w:rPr>
                              <w:t>Timeframe for survey and other data used for the Findings in this report</w:t>
                            </w:r>
                          </w:p>
                          <w:p w14:paraId="5BB344B8" w14:textId="77777777" w:rsidR="006252D5" w:rsidRPr="006954BA" w:rsidRDefault="006252D5" w:rsidP="006954BA">
                            <w:pPr>
                              <w:spacing w:after="0" w:line="240" w:lineRule="auto"/>
                              <w:rPr>
                                <w:rFonts w:ascii="Arial" w:hAnsi="Arial"/>
                                <w:sz w:val="18"/>
                                <w:szCs w:val="20"/>
                              </w:rPr>
                            </w:pPr>
                          </w:p>
                          <w:p w14:paraId="07603F42" w14:textId="066E065A" w:rsidR="006252D5" w:rsidRPr="006954BA" w:rsidRDefault="006252D5" w:rsidP="006954BA">
                            <w:pPr>
                              <w:pStyle w:val="ListParagraph"/>
                              <w:numPr>
                                <w:ilvl w:val="0"/>
                                <w:numId w:val="30"/>
                              </w:numPr>
                              <w:spacing w:after="0" w:line="240" w:lineRule="auto"/>
                              <w:ind w:left="426" w:hanging="219"/>
                              <w:rPr>
                                <w:rFonts w:ascii="Arial" w:hAnsi="Arial"/>
                                <w:sz w:val="18"/>
                                <w:szCs w:val="20"/>
                              </w:rPr>
                            </w:pPr>
                            <w:r w:rsidRPr="006954BA">
                              <w:rPr>
                                <w:rFonts w:ascii="Arial" w:hAnsi="Arial"/>
                                <w:sz w:val="18"/>
                                <w:szCs w:val="20"/>
                              </w:rPr>
                              <w:t>OECD</w:t>
                            </w:r>
                            <w:r>
                              <w:rPr>
                                <w:rFonts w:ascii="Arial" w:hAnsi="Arial"/>
                                <w:sz w:val="18"/>
                                <w:szCs w:val="20"/>
                              </w:rPr>
                              <w:t>:</w:t>
                            </w:r>
                            <w:r w:rsidRPr="006954BA">
                              <w:rPr>
                                <w:rFonts w:ascii="Arial" w:hAnsi="Arial"/>
                                <w:sz w:val="18"/>
                                <w:szCs w:val="20"/>
                              </w:rPr>
                              <w:t xml:space="preserve"> calendar 2017 to 2019 (NZ, calendar 2017</w:t>
                            </w:r>
                            <w:r>
                              <w:rPr>
                                <w:rFonts w:ascii="Arial" w:hAnsi="Arial"/>
                                <w:sz w:val="18"/>
                                <w:szCs w:val="20"/>
                              </w:rPr>
                              <w:t xml:space="preserve"> on average</w:t>
                            </w:r>
                            <w:r w:rsidRPr="006954BA">
                              <w:rPr>
                                <w:rFonts w:ascii="Arial" w:hAnsi="Arial"/>
                                <w:sz w:val="18"/>
                                <w:szCs w:val="20"/>
                              </w:rPr>
                              <w:t>)</w:t>
                            </w:r>
                          </w:p>
                          <w:p w14:paraId="1267767C" w14:textId="77777777" w:rsidR="006252D5" w:rsidRPr="006954BA" w:rsidRDefault="006252D5" w:rsidP="006954BA">
                            <w:pPr>
                              <w:spacing w:after="0" w:line="240" w:lineRule="auto"/>
                              <w:ind w:left="426" w:hanging="219"/>
                              <w:rPr>
                                <w:rFonts w:ascii="Arial" w:hAnsi="Arial"/>
                                <w:sz w:val="18"/>
                                <w:szCs w:val="20"/>
                              </w:rPr>
                            </w:pPr>
                          </w:p>
                          <w:p w14:paraId="26392CAB" w14:textId="1B74C978" w:rsidR="006252D5" w:rsidRPr="00126D6C" w:rsidRDefault="006252D5" w:rsidP="006954BA">
                            <w:pPr>
                              <w:pStyle w:val="ListParagraph"/>
                              <w:numPr>
                                <w:ilvl w:val="0"/>
                                <w:numId w:val="30"/>
                              </w:numPr>
                              <w:spacing w:after="0" w:line="240" w:lineRule="auto"/>
                              <w:ind w:left="426" w:hanging="219"/>
                              <w:rPr>
                                <w:rFonts w:ascii="Arial" w:hAnsi="Arial"/>
                                <w:sz w:val="18"/>
                                <w:szCs w:val="20"/>
                              </w:rPr>
                            </w:pPr>
                            <w:r w:rsidRPr="006954BA">
                              <w:rPr>
                                <w:rFonts w:ascii="Arial" w:hAnsi="Arial"/>
                                <w:sz w:val="18"/>
                                <w:szCs w:val="20"/>
                              </w:rPr>
                              <w:t>EU</w:t>
                            </w:r>
                            <w:r>
                              <w:rPr>
                                <w:rFonts w:ascii="Arial" w:hAnsi="Arial"/>
                                <w:sz w:val="18"/>
                                <w:szCs w:val="20"/>
                              </w:rPr>
                              <w:t>:</w:t>
                            </w:r>
                            <w:r w:rsidRPr="006954BA">
                              <w:rPr>
                                <w:rFonts w:ascii="Arial" w:hAnsi="Arial"/>
                                <w:sz w:val="18"/>
                                <w:szCs w:val="20"/>
                              </w:rPr>
                              <w:t xml:space="preserve"> calendar 2018 to 2019 (NZ</w:t>
                            </w:r>
                            <w:r w:rsidRPr="00126D6C">
                              <w:rPr>
                                <w:rFonts w:ascii="Arial" w:hAnsi="Arial"/>
                                <w:sz w:val="18"/>
                                <w:szCs w:val="20"/>
                              </w:rPr>
                              <w:t>, calendar 2018 mainly)</w:t>
                            </w:r>
                          </w:p>
                          <w:p w14:paraId="7A7369BE" w14:textId="77777777" w:rsidR="006252D5" w:rsidRPr="006954BA" w:rsidRDefault="006252D5" w:rsidP="006954BA">
                            <w:pPr>
                              <w:spacing w:after="0" w:line="240" w:lineRule="auto"/>
                              <w:rPr>
                                <w:rFonts w:ascii="Arial" w:hAnsi="Arial"/>
                                <w:sz w:val="18"/>
                                <w:szCs w:val="20"/>
                              </w:rPr>
                            </w:pPr>
                          </w:p>
                          <w:p w14:paraId="38ACA51F" w14:textId="480C0E10" w:rsidR="006252D5" w:rsidRPr="006954BA" w:rsidRDefault="006252D5" w:rsidP="006954BA">
                            <w:pPr>
                              <w:spacing w:after="0" w:line="240" w:lineRule="auto"/>
                              <w:rPr>
                                <w:rFonts w:ascii="Arial" w:hAnsi="Arial"/>
                                <w:sz w:val="18"/>
                                <w:szCs w:val="20"/>
                              </w:rPr>
                            </w:pPr>
                            <w:r w:rsidRPr="006954BA">
                              <w:rPr>
                                <w:rFonts w:ascii="Arial" w:hAnsi="Arial"/>
                                <w:sz w:val="18"/>
                                <w:szCs w:val="20"/>
                              </w:rPr>
                              <w:t xml:space="preserve">Looking at time series from calendar 2013 to 2019, there is very little change to rankings on the key comparisons included in this report (OECD 40% OTI unaffordability, </w:t>
                            </w:r>
                            <w:r>
                              <w:rPr>
                                <w:rFonts w:ascii="Arial" w:hAnsi="Arial"/>
                                <w:sz w:val="18"/>
                                <w:szCs w:val="20"/>
                              </w:rPr>
                              <w:t xml:space="preserve">median </w:t>
                            </w:r>
                            <w:r w:rsidRPr="006954BA">
                              <w:rPr>
                                <w:rFonts w:ascii="Arial" w:hAnsi="Arial"/>
                                <w:sz w:val="18"/>
                                <w:szCs w:val="20"/>
                              </w:rPr>
                              <w:t>housing costs as % of household income, EU 40% HCO), so the relative datedness of the data is highly unlikely to be giving any misleading or unreliable impressions about the situation for countries in 2021, either for the numbers or the rankings ….</w:t>
                            </w:r>
                          </w:p>
                          <w:p w14:paraId="52475CEB" w14:textId="77777777" w:rsidR="006252D5" w:rsidRPr="006954BA" w:rsidRDefault="006252D5" w:rsidP="006954BA">
                            <w:pPr>
                              <w:spacing w:after="0" w:line="240" w:lineRule="auto"/>
                              <w:rPr>
                                <w:rFonts w:ascii="Arial" w:hAnsi="Arial"/>
                                <w:sz w:val="18"/>
                                <w:szCs w:val="20"/>
                              </w:rPr>
                            </w:pPr>
                          </w:p>
                          <w:p w14:paraId="16C4883A" w14:textId="6615B385" w:rsidR="006252D5" w:rsidRPr="006954BA" w:rsidRDefault="006252D5" w:rsidP="006954BA">
                            <w:pPr>
                              <w:spacing w:after="0" w:line="240" w:lineRule="auto"/>
                              <w:rPr>
                                <w:rFonts w:ascii="Arial" w:hAnsi="Arial"/>
                                <w:sz w:val="18"/>
                                <w:szCs w:val="20"/>
                              </w:rPr>
                            </w:pPr>
                            <w:r w:rsidRPr="006954BA">
                              <w:rPr>
                                <w:rFonts w:ascii="Arial" w:hAnsi="Arial"/>
                                <w:sz w:val="18"/>
                                <w:szCs w:val="20"/>
                              </w:rPr>
                              <w:t>…. except perhaps for New Zealand, as a result of the very large increases in house values and purchase prices in 2020 and 2021 which will almost certainly impact on OTIs for mortgaged households and (eventually) on OTIs for renting households, all else equal.</w:t>
                            </w:r>
                            <w:r>
                              <w:rPr>
                                <w:rFonts w:ascii="Arial" w:hAnsi="Arial"/>
                                <w:sz w:val="18"/>
                                <w:szCs w:val="20"/>
                              </w:rPr>
                              <w:t xml:space="preserve"> There are some countervailing trends such as increases in real terms in core benefit rates, the minimum wage and the Accommodation Supplement (2018), and low interest rates, but these may not be sufficient in the circumstances to improve New Zealand’s international rankings.</w:t>
                            </w:r>
                          </w:p>
                          <w:p w14:paraId="0CAADF48" w14:textId="77777777" w:rsidR="006252D5" w:rsidRPr="006954BA" w:rsidRDefault="006252D5" w:rsidP="006954BA">
                            <w:pPr>
                              <w:spacing w:after="0" w:line="240" w:lineRule="auto"/>
                              <w:rPr>
                                <w:rFonts w:ascii="Arial" w:hAnsi="Arial"/>
                                <w:sz w:val="18"/>
                                <w:szCs w:val="20"/>
                              </w:rPr>
                            </w:pPr>
                          </w:p>
                          <w:p w14:paraId="12448834" w14:textId="10265265" w:rsidR="006252D5" w:rsidRPr="006954BA" w:rsidRDefault="006252D5" w:rsidP="006954BA">
                            <w:pPr>
                              <w:spacing w:after="0" w:line="240" w:lineRule="auto"/>
                              <w:rPr>
                                <w:rFonts w:ascii="Arial" w:hAnsi="Arial"/>
                                <w:sz w:val="18"/>
                                <w:szCs w:val="20"/>
                              </w:rPr>
                            </w:pPr>
                            <w:r>
                              <w:rPr>
                                <w:rFonts w:ascii="Arial" w:hAnsi="Arial"/>
                                <w:sz w:val="18"/>
                                <w:szCs w:val="20"/>
                              </w:rPr>
                              <w:t xml:space="preserve">MSD plans to update this report in 2022 </w:t>
                            </w:r>
                            <w:r w:rsidRPr="006954BA">
                              <w:rPr>
                                <w:rFonts w:ascii="Arial" w:hAnsi="Arial"/>
                                <w:sz w:val="18"/>
                                <w:szCs w:val="20"/>
                              </w:rPr>
                              <w:t>as new information becomes available</w:t>
                            </w:r>
                            <w:r>
                              <w:rPr>
                                <w:rFonts w:ascii="Arial" w:hAnsi="Arial"/>
                                <w:sz w:val="18"/>
                                <w:szCs w:val="20"/>
                              </w:rPr>
                              <w:t xml:space="preserve"> (HES 2020-21, and international updates).</w:t>
                            </w:r>
                          </w:p>
                          <w:p w14:paraId="6A29EB76" w14:textId="77777777" w:rsidR="006252D5" w:rsidRPr="006954BA" w:rsidRDefault="006252D5" w:rsidP="006954BA">
                            <w:pPr>
                              <w:spacing w:after="0" w:line="240" w:lineRule="auto"/>
                              <w:rPr>
                                <w:rFonts w:ascii="Arial" w:hAnsi="Arial"/>
                                <w:sz w:val="18"/>
                                <w:szCs w:val="20"/>
                                <w:highlight w:val="yellow"/>
                              </w:rPr>
                            </w:pPr>
                          </w:p>
                          <w:p w14:paraId="653AED06" w14:textId="166FA5A2" w:rsidR="006252D5" w:rsidRPr="006954BA" w:rsidRDefault="006252D5" w:rsidP="006954BA">
                            <w:pPr>
                              <w:spacing w:after="0" w:line="240" w:lineRule="auto"/>
                              <w:rPr>
                                <w:sz w:val="18"/>
                                <w:szCs w:val="20"/>
                              </w:rPr>
                            </w:pPr>
                            <w:r>
                              <w:rPr>
                                <w:rFonts w:ascii="Arial" w:hAnsi="Arial"/>
                                <w:sz w:val="18"/>
                                <w:szCs w:val="20"/>
                              </w:rPr>
                              <w:t>The</w:t>
                            </w:r>
                            <w:r w:rsidRPr="006954BA">
                              <w:rPr>
                                <w:rFonts w:ascii="Arial" w:hAnsi="Arial"/>
                                <w:sz w:val="18"/>
                                <w:szCs w:val="20"/>
                              </w:rPr>
                              <w:t xml:space="preserve"> New Zealand numbers in this report are pre-COVI</w:t>
                            </w:r>
                            <w:r>
                              <w:rPr>
                                <w:rFonts w:ascii="Arial" w:hAnsi="Arial"/>
                                <w:sz w:val="18"/>
                                <w:szCs w:val="20"/>
                              </w:rPr>
                              <w:t>D</w:t>
                            </w:r>
                            <w:r w:rsidRPr="006954BA">
                              <w:rPr>
                                <w:rFonts w:ascii="Arial" w:hAnsi="Arial"/>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7939" id="Text Box 38" o:spid="_x0000_s1027" type="#_x0000_t202" style="position:absolute;left:0;text-align:left;margin-left:50pt;margin-top:5.3pt;width:358.5pt;height:2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" fillcolor="white [3201]" strokeweight=".5pt">
                <v:textbox>
                  <w:txbxContent>
                    <w:p w14:paraId="6FFD18F4" w14:textId="77777777" w:rsidR="006252D5" w:rsidRPr="000A43DB" w:rsidRDefault="006252D5" w:rsidP="006954BA">
                      <w:pPr>
                        <w:spacing w:after="0" w:line="240" w:lineRule="auto"/>
                        <w:jc w:val="center"/>
                        <w:rPr>
                          <w:rFonts w:ascii="Arial" w:hAnsi="Arial"/>
                          <w:b/>
                          <w:bCs/>
                        </w:rPr>
                      </w:pPr>
                      <w:r w:rsidRPr="000A43DB">
                        <w:rPr>
                          <w:rFonts w:ascii="Arial" w:hAnsi="Arial"/>
                          <w:b/>
                          <w:bCs/>
                        </w:rPr>
                        <w:t>Timeframe for survey and other data used for the Findings in this report</w:t>
                      </w:r>
                    </w:p>
                    <w:p w14:paraId="5BB344B8" w14:textId="77777777" w:rsidR="006252D5" w:rsidRPr="006954BA" w:rsidRDefault="006252D5" w:rsidP="006954BA">
                      <w:pPr>
                        <w:spacing w:after="0" w:line="240" w:lineRule="auto"/>
                        <w:rPr>
                          <w:rFonts w:ascii="Arial" w:hAnsi="Arial"/>
                          <w:sz w:val="18"/>
                          <w:szCs w:val="20"/>
                        </w:rPr>
                      </w:pPr>
                    </w:p>
                    <w:p w14:paraId="07603F42" w14:textId="066E065A" w:rsidR="006252D5" w:rsidRPr="006954BA" w:rsidRDefault="006252D5" w:rsidP="006954BA">
                      <w:pPr>
                        <w:pStyle w:val="ListParagraph"/>
                        <w:numPr>
                          <w:ilvl w:val="0"/>
                          <w:numId w:val="30"/>
                        </w:numPr>
                        <w:spacing w:after="0" w:line="240" w:lineRule="auto"/>
                        <w:ind w:left="426" w:hanging="219"/>
                        <w:rPr>
                          <w:rFonts w:ascii="Arial" w:hAnsi="Arial"/>
                          <w:sz w:val="18"/>
                          <w:szCs w:val="20"/>
                        </w:rPr>
                      </w:pPr>
                      <w:r w:rsidRPr="006954BA">
                        <w:rPr>
                          <w:rFonts w:ascii="Arial" w:hAnsi="Arial"/>
                          <w:sz w:val="18"/>
                          <w:szCs w:val="20"/>
                        </w:rPr>
                        <w:t>OECD</w:t>
                      </w:r>
                      <w:r>
                        <w:rPr>
                          <w:rFonts w:ascii="Arial" w:hAnsi="Arial"/>
                          <w:sz w:val="18"/>
                          <w:szCs w:val="20"/>
                        </w:rPr>
                        <w:t>:</w:t>
                      </w:r>
                      <w:r w:rsidRPr="006954BA">
                        <w:rPr>
                          <w:rFonts w:ascii="Arial" w:hAnsi="Arial"/>
                          <w:sz w:val="18"/>
                          <w:szCs w:val="20"/>
                        </w:rPr>
                        <w:t xml:space="preserve"> calendar 2017 to 2019 (NZ, calendar 2017</w:t>
                      </w:r>
                      <w:r>
                        <w:rPr>
                          <w:rFonts w:ascii="Arial" w:hAnsi="Arial"/>
                          <w:sz w:val="18"/>
                          <w:szCs w:val="20"/>
                        </w:rPr>
                        <w:t xml:space="preserve"> on average</w:t>
                      </w:r>
                      <w:r w:rsidRPr="006954BA">
                        <w:rPr>
                          <w:rFonts w:ascii="Arial" w:hAnsi="Arial"/>
                          <w:sz w:val="18"/>
                          <w:szCs w:val="20"/>
                        </w:rPr>
                        <w:t>)</w:t>
                      </w:r>
                    </w:p>
                    <w:p w14:paraId="1267767C" w14:textId="77777777" w:rsidR="006252D5" w:rsidRPr="006954BA" w:rsidRDefault="006252D5" w:rsidP="006954BA">
                      <w:pPr>
                        <w:spacing w:after="0" w:line="240" w:lineRule="auto"/>
                        <w:ind w:left="426" w:hanging="219"/>
                        <w:rPr>
                          <w:rFonts w:ascii="Arial" w:hAnsi="Arial"/>
                          <w:sz w:val="18"/>
                          <w:szCs w:val="20"/>
                        </w:rPr>
                      </w:pPr>
                    </w:p>
                    <w:p w14:paraId="26392CAB" w14:textId="1B74C978" w:rsidR="006252D5" w:rsidRPr="00126D6C" w:rsidRDefault="006252D5" w:rsidP="006954BA">
                      <w:pPr>
                        <w:pStyle w:val="ListParagraph"/>
                        <w:numPr>
                          <w:ilvl w:val="0"/>
                          <w:numId w:val="30"/>
                        </w:numPr>
                        <w:spacing w:after="0" w:line="240" w:lineRule="auto"/>
                        <w:ind w:left="426" w:hanging="219"/>
                        <w:rPr>
                          <w:rFonts w:ascii="Arial" w:hAnsi="Arial"/>
                          <w:sz w:val="18"/>
                          <w:szCs w:val="20"/>
                        </w:rPr>
                      </w:pPr>
                      <w:r w:rsidRPr="006954BA">
                        <w:rPr>
                          <w:rFonts w:ascii="Arial" w:hAnsi="Arial"/>
                          <w:sz w:val="18"/>
                          <w:szCs w:val="20"/>
                        </w:rPr>
                        <w:t>EU</w:t>
                      </w:r>
                      <w:r>
                        <w:rPr>
                          <w:rFonts w:ascii="Arial" w:hAnsi="Arial"/>
                          <w:sz w:val="18"/>
                          <w:szCs w:val="20"/>
                        </w:rPr>
                        <w:t>:</w:t>
                      </w:r>
                      <w:r w:rsidRPr="006954BA">
                        <w:rPr>
                          <w:rFonts w:ascii="Arial" w:hAnsi="Arial"/>
                          <w:sz w:val="18"/>
                          <w:szCs w:val="20"/>
                        </w:rPr>
                        <w:t xml:space="preserve"> calendar 2018 to 2019 (NZ</w:t>
                      </w:r>
                      <w:r w:rsidRPr="00126D6C">
                        <w:rPr>
                          <w:rFonts w:ascii="Arial" w:hAnsi="Arial"/>
                          <w:sz w:val="18"/>
                          <w:szCs w:val="20"/>
                        </w:rPr>
                        <w:t>, calendar 2018 mainly)</w:t>
                      </w:r>
                    </w:p>
                    <w:p w14:paraId="7A7369BE" w14:textId="77777777" w:rsidR="006252D5" w:rsidRPr="006954BA" w:rsidRDefault="006252D5" w:rsidP="006954BA">
                      <w:pPr>
                        <w:spacing w:after="0" w:line="240" w:lineRule="auto"/>
                        <w:rPr>
                          <w:rFonts w:ascii="Arial" w:hAnsi="Arial"/>
                          <w:sz w:val="18"/>
                          <w:szCs w:val="20"/>
                        </w:rPr>
                      </w:pPr>
                    </w:p>
                    <w:p w14:paraId="38ACA51F" w14:textId="480C0E10" w:rsidR="006252D5" w:rsidRPr="006954BA" w:rsidRDefault="006252D5" w:rsidP="006954BA">
                      <w:pPr>
                        <w:spacing w:after="0" w:line="240" w:lineRule="auto"/>
                        <w:rPr>
                          <w:rFonts w:ascii="Arial" w:hAnsi="Arial"/>
                          <w:sz w:val="18"/>
                          <w:szCs w:val="20"/>
                        </w:rPr>
                      </w:pPr>
                      <w:r w:rsidRPr="006954BA">
                        <w:rPr>
                          <w:rFonts w:ascii="Arial" w:hAnsi="Arial"/>
                          <w:sz w:val="18"/>
                          <w:szCs w:val="20"/>
                        </w:rPr>
                        <w:t xml:space="preserve">Looking at time series from calendar 2013 to 2019, there is very little change to rankings on the key comparisons included in this report (OECD 40% OTI unaffordability, </w:t>
                      </w:r>
                      <w:r>
                        <w:rPr>
                          <w:rFonts w:ascii="Arial" w:hAnsi="Arial"/>
                          <w:sz w:val="18"/>
                          <w:szCs w:val="20"/>
                        </w:rPr>
                        <w:t xml:space="preserve">median </w:t>
                      </w:r>
                      <w:r w:rsidRPr="006954BA">
                        <w:rPr>
                          <w:rFonts w:ascii="Arial" w:hAnsi="Arial"/>
                          <w:sz w:val="18"/>
                          <w:szCs w:val="20"/>
                        </w:rPr>
                        <w:t>housing costs as % of household income, EU 40% HCO), so the relative datedness of the data is highly unlikely to be giving any misleading or unreliable impressions about the situation for countries in 2021, either for the numbers or the rankings ….</w:t>
                      </w:r>
                    </w:p>
                    <w:p w14:paraId="52475CEB" w14:textId="77777777" w:rsidR="006252D5" w:rsidRPr="006954BA" w:rsidRDefault="006252D5" w:rsidP="006954BA">
                      <w:pPr>
                        <w:spacing w:after="0" w:line="240" w:lineRule="auto"/>
                        <w:rPr>
                          <w:rFonts w:ascii="Arial" w:hAnsi="Arial"/>
                          <w:sz w:val="18"/>
                          <w:szCs w:val="20"/>
                        </w:rPr>
                      </w:pPr>
                    </w:p>
                    <w:p w14:paraId="16C4883A" w14:textId="6615B385" w:rsidR="006252D5" w:rsidRPr="006954BA" w:rsidRDefault="006252D5" w:rsidP="006954BA">
                      <w:pPr>
                        <w:spacing w:after="0" w:line="240" w:lineRule="auto"/>
                        <w:rPr>
                          <w:rFonts w:ascii="Arial" w:hAnsi="Arial"/>
                          <w:sz w:val="18"/>
                          <w:szCs w:val="20"/>
                        </w:rPr>
                      </w:pPr>
                      <w:r w:rsidRPr="006954BA">
                        <w:rPr>
                          <w:rFonts w:ascii="Arial" w:hAnsi="Arial"/>
                          <w:sz w:val="18"/>
                          <w:szCs w:val="20"/>
                        </w:rPr>
                        <w:t>…. except perhaps for New Zealand, as a result of the very large increases in house values and purchase prices in 2020 and 2021 which will almost certainly impact on OTIs for mortgaged households and (eventually) on OTIs for renting households, all else equal.</w:t>
                      </w:r>
                      <w:r>
                        <w:rPr>
                          <w:rFonts w:ascii="Arial" w:hAnsi="Arial"/>
                          <w:sz w:val="18"/>
                          <w:szCs w:val="20"/>
                        </w:rPr>
                        <w:t xml:space="preserve"> There are some countervailing trends such as increases in real terms in core benefit rates, the minimum wage and the Accommodation Supplement (2018), and low interest rates, but these may not be sufficient in the circumstances to improve New Zealand’s international rankings.</w:t>
                      </w:r>
                    </w:p>
                    <w:p w14:paraId="0CAADF48" w14:textId="77777777" w:rsidR="006252D5" w:rsidRPr="006954BA" w:rsidRDefault="006252D5" w:rsidP="006954BA">
                      <w:pPr>
                        <w:spacing w:after="0" w:line="240" w:lineRule="auto"/>
                        <w:rPr>
                          <w:rFonts w:ascii="Arial" w:hAnsi="Arial"/>
                          <w:sz w:val="18"/>
                          <w:szCs w:val="20"/>
                        </w:rPr>
                      </w:pPr>
                    </w:p>
                    <w:p w14:paraId="12448834" w14:textId="10265265" w:rsidR="006252D5" w:rsidRPr="006954BA" w:rsidRDefault="006252D5" w:rsidP="006954BA">
                      <w:pPr>
                        <w:spacing w:after="0" w:line="240" w:lineRule="auto"/>
                        <w:rPr>
                          <w:rFonts w:ascii="Arial" w:hAnsi="Arial"/>
                          <w:sz w:val="18"/>
                          <w:szCs w:val="20"/>
                        </w:rPr>
                      </w:pPr>
                      <w:r>
                        <w:rPr>
                          <w:rFonts w:ascii="Arial" w:hAnsi="Arial"/>
                          <w:sz w:val="18"/>
                          <w:szCs w:val="20"/>
                        </w:rPr>
                        <w:t xml:space="preserve">MSD plans to update this report in 2022 </w:t>
                      </w:r>
                      <w:r w:rsidRPr="006954BA">
                        <w:rPr>
                          <w:rFonts w:ascii="Arial" w:hAnsi="Arial"/>
                          <w:sz w:val="18"/>
                          <w:szCs w:val="20"/>
                        </w:rPr>
                        <w:t>as new information becomes available</w:t>
                      </w:r>
                      <w:r>
                        <w:rPr>
                          <w:rFonts w:ascii="Arial" w:hAnsi="Arial"/>
                          <w:sz w:val="18"/>
                          <w:szCs w:val="20"/>
                        </w:rPr>
                        <w:t xml:space="preserve"> (HES 2020-21, and international updates).</w:t>
                      </w:r>
                    </w:p>
                    <w:p w14:paraId="6A29EB76" w14:textId="77777777" w:rsidR="006252D5" w:rsidRPr="006954BA" w:rsidRDefault="006252D5" w:rsidP="006954BA">
                      <w:pPr>
                        <w:spacing w:after="0" w:line="240" w:lineRule="auto"/>
                        <w:rPr>
                          <w:rFonts w:ascii="Arial" w:hAnsi="Arial"/>
                          <w:sz w:val="18"/>
                          <w:szCs w:val="20"/>
                          <w:highlight w:val="yellow"/>
                        </w:rPr>
                      </w:pPr>
                    </w:p>
                    <w:p w14:paraId="653AED06" w14:textId="166FA5A2" w:rsidR="006252D5" w:rsidRPr="006954BA" w:rsidRDefault="006252D5" w:rsidP="006954BA">
                      <w:pPr>
                        <w:spacing w:after="0" w:line="240" w:lineRule="auto"/>
                        <w:rPr>
                          <w:sz w:val="18"/>
                          <w:szCs w:val="20"/>
                        </w:rPr>
                      </w:pPr>
                      <w:r>
                        <w:rPr>
                          <w:rFonts w:ascii="Arial" w:hAnsi="Arial"/>
                          <w:sz w:val="18"/>
                          <w:szCs w:val="20"/>
                        </w:rPr>
                        <w:t>The</w:t>
                      </w:r>
                      <w:r w:rsidRPr="006954BA">
                        <w:rPr>
                          <w:rFonts w:ascii="Arial" w:hAnsi="Arial"/>
                          <w:sz w:val="18"/>
                          <w:szCs w:val="20"/>
                        </w:rPr>
                        <w:t xml:space="preserve"> New Zealand numbers in this report are pre-COVI</w:t>
                      </w:r>
                      <w:r>
                        <w:rPr>
                          <w:rFonts w:ascii="Arial" w:hAnsi="Arial"/>
                          <w:sz w:val="18"/>
                          <w:szCs w:val="20"/>
                        </w:rPr>
                        <w:t>D</w:t>
                      </w:r>
                      <w:r w:rsidRPr="006954BA">
                        <w:rPr>
                          <w:rFonts w:ascii="Arial" w:hAnsi="Arial"/>
                          <w:sz w:val="18"/>
                          <w:szCs w:val="20"/>
                        </w:rPr>
                        <w:t>.</w:t>
                      </w:r>
                    </w:p>
                  </w:txbxContent>
                </v:textbox>
              </v:shape>
            </w:pict>
          </mc:Fallback>
        </mc:AlternateContent>
      </w:r>
    </w:p>
    <w:p w14:paraId="77D9DCB4" w14:textId="55E04BFA" w:rsidR="00DE45EF" w:rsidRDefault="00DE45EF" w:rsidP="001C7A61">
      <w:pPr>
        <w:spacing w:after="0" w:line="240" w:lineRule="auto"/>
        <w:jc w:val="both"/>
        <w:rPr>
          <w:rFonts w:ascii="Arial" w:eastAsia="Times New Roman" w:hAnsi="Arial" w:cs="Times New Roman"/>
          <w:color w:val="FF0000"/>
          <w:sz w:val="16"/>
          <w:szCs w:val="20"/>
          <w:lang w:val="en-GB"/>
        </w:rPr>
      </w:pPr>
    </w:p>
    <w:p w14:paraId="7D9D0403" w14:textId="3820FE8A" w:rsidR="00DE45EF" w:rsidRDefault="00DE45EF" w:rsidP="001C7A61">
      <w:pPr>
        <w:spacing w:after="0" w:line="240" w:lineRule="auto"/>
        <w:jc w:val="both"/>
        <w:rPr>
          <w:rFonts w:ascii="Arial" w:eastAsia="Times New Roman" w:hAnsi="Arial" w:cs="Times New Roman"/>
          <w:color w:val="FF0000"/>
          <w:sz w:val="16"/>
          <w:szCs w:val="20"/>
          <w:lang w:val="en-GB"/>
        </w:rPr>
      </w:pPr>
    </w:p>
    <w:p w14:paraId="1659B6FD" w14:textId="21888C2E" w:rsidR="00B20261" w:rsidRDefault="00B20261">
      <w:pPr>
        <w:spacing w:after="0" w:line="240" w:lineRule="auto"/>
        <w:rPr>
          <w:rFonts w:ascii="Arial" w:eastAsia="Times New Roman" w:hAnsi="Arial" w:cs="Times New Roman"/>
          <w:b/>
          <w:bCs/>
          <w:color w:val="000000" w:themeColor="text1"/>
          <w:szCs w:val="20"/>
          <w:lang w:val="en-GB"/>
        </w:rPr>
      </w:pPr>
      <w:r>
        <w:rPr>
          <w:rFonts w:ascii="Arial" w:eastAsia="Times New Roman" w:hAnsi="Arial" w:cs="Times New Roman"/>
          <w:b/>
          <w:bCs/>
          <w:color w:val="000000" w:themeColor="text1"/>
          <w:szCs w:val="20"/>
          <w:lang w:val="en-GB"/>
        </w:rPr>
        <w:br w:type="page"/>
      </w:r>
    </w:p>
    <w:p w14:paraId="248DC721" w14:textId="5C4B7964" w:rsidR="00A65F53" w:rsidRPr="00994190" w:rsidRDefault="00F925A2" w:rsidP="002572FC">
      <w:pPr>
        <w:spacing w:after="0" w:line="240" w:lineRule="auto"/>
        <w:rPr>
          <w:rFonts w:ascii="Arial" w:eastAsia="Times New Roman" w:hAnsi="Arial" w:cs="Times New Roman"/>
          <w:b/>
          <w:sz w:val="36"/>
          <w:szCs w:val="36"/>
          <w:lang w:val="en-GB"/>
        </w:rPr>
      </w:pPr>
      <w:bookmarkStart w:id="11" w:name="_Hlk81397595"/>
      <w:r w:rsidRPr="00994190">
        <w:rPr>
          <w:rFonts w:ascii="Arial" w:eastAsia="Times New Roman" w:hAnsi="Arial" w:cs="Times New Roman"/>
          <w:b/>
          <w:sz w:val="36"/>
          <w:szCs w:val="36"/>
          <w:lang w:val="en-GB"/>
        </w:rPr>
        <w:lastRenderedPageBreak/>
        <w:t xml:space="preserve">Part 2: </w:t>
      </w:r>
      <w:r w:rsidR="00A65F53" w:rsidRPr="00994190">
        <w:rPr>
          <w:rFonts w:ascii="Arial" w:eastAsia="Times New Roman" w:hAnsi="Arial" w:cs="Times New Roman"/>
          <w:b/>
          <w:sz w:val="36"/>
          <w:szCs w:val="36"/>
          <w:lang w:val="en-GB"/>
        </w:rPr>
        <w:t>Findings</w:t>
      </w:r>
    </w:p>
    <w:p w14:paraId="6B5B07B2" w14:textId="77777777" w:rsidR="00A65F53" w:rsidRDefault="00A65F53" w:rsidP="002572FC">
      <w:pPr>
        <w:spacing w:after="0" w:line="240" w:lineRule="auto"/>
        <w:rPr>
          <w:rFonts w:ascii="Arial" w:eastAsia="Times New Roman" w:hAnsi="Arial" w:cs="Times New Roman"/>
          <w:b/>
          <w:szCs w:val="20"/>
          <w:lang w:val="en-GB"/>
        </w:rPr>
      </w:pPr>
    </w:p>
    <w:p w14:paraId="17A711D0" w14:textId="6E1D0BCF" w:rsidR="00855D4E" w:rsidRPr="00994190" w:rsidRDefault="00855D4E" w:rsidP="002572FC">
      <w:pPr>
        <w:spacing w:after="0" w:line="240" w:lineRule="auto"/>
        <w:rPr>
          <w:rFonts w:ascii="Arial" w:hAnsi="Arial"/>
          <w:b/>
          <w:bCs/>
          <w:sz w:val="32"/>
          <w:szCs w:val="32"/>
        </w:rPr>
      </w:pPr>
      <w:r w:rsidRPr="00994190">
        <w:rPr>
          <w:rFonts w:ascii="Arial" w:hAnsi="Arial"/>
          <w:b/>
          <w:bCs/>
          <w:sz w:val="32"/>
          <w:szCs w:val="32"/>
        </w:rPr>
        <w:t>OECD</w:t>
      </w:r>
      <w:r w:rsidR="00892B4A" w:rsidRPr="00994190">
        <w:rPr>
          <w:rFonts w:ascii="Arial" w:hAnsi="Arial"/>
          <w:b/>
          <w:bCs/>
          <w:sz w:val="32"/>
          <w:szCs w:val="32"/>
        </w:rPr>
        <w:t xml:space="preserve"> comparisons</w:t>
      </w:r>
    </w:p>
    <w:p w14:paraId="539F6EB6" w14:textId="266712A9" w:rsidR="00892B4A" w:rsidRDefault="00892B4A" w:rsidP="00855D4E">
      <w:pPr>
        <w:spacing w:after="0" w:line="240" w:lineRule="auto"/>
        <w:rPr>
          <w:rFonts w:ascii="Arial" w:hAnsi="Arial"/>
          <w:b/>
          <w:bCs/>
          <w:sz w:val="24"/>
          <w:szCs w:val="28"/>
        </w:rPr>
      </w:pPr>
    </w:p>
    <w:p w14:paraId="5B43AF5D" w14:textId="44DCEC3A" w:rsidR="00892B4A" w:rsidRPr="006C6420" w:rsidRDefault="00E53998" w:rsidP="00855D4E">
      <w:pPr>
        <w:spacing w:after="0" w:line="240" w:lineRule="auto"/>
        <w:rPr>
          <w:rFonts w:ascii="Arial" w:hAnsi="Arial"/>
          <w:szCs w:val="20"/>
        </w:rPr>
      </w:pPr>
      <w:r w:rsidRPr="006C6420">
        <w:rPr>
          <w:rFonts w:ascii="Arial" w:hAnsi="Arial"/>
          <w:szCs w:val="20"/>
        </w:rPr>
        <w:t>The OECD’s 2018 Housing Affordability Report and its recent update</w:t>
      </w:r>
      <w:r w:rsidR="009453BD" w:rsidRPr="006C6420">
        <w:rPr>
          <w:rFonts w:ascii="Arial" w:hAnsi="Arial"/>
          <w:szCs w:val="20"/>
        </w:rPr>
        <w:t xml:space="preserve"> (see OECD (2021))</w:t>
      </w:r>
      <w:r w:rsidR="00DE45EF" w:rsidRPr="006C6420">
        <w:rPr>
          <w:rFonts w:ascii="Arial" w:hAnsi="Arial"/>
          <w:szCs w:val="20"/>
        </w:rPr>
        <w:t xml:space="preserve"> provide comparisons </w:t>
      </w:r>
      <w:r w:rsidR="00637EF9">
        <w:rPr>
          <w:rFonts w:ascii="Arial" w:hAnsi="Arial"/>
          <w:szCs w:val="20"/>
        </w:rPr>
        <w:t xml:space="preserve">across member countries </w:t>
      </w:r>
      <w:r w:rsidR="00DE45EF" w:rsidRPr="006C6420">
        <w:rPr>
          <w:rFonts w:ascii="Arial" w:hAnsi="Arial"/>
          <w:szCs w:val="20"/>
        </w:rPr>
        <w:t>of the proportion of households spending more than 40% of their income on housing costs</w:t>
      </w:r>
      <w:r w:rsidR="00637EF9">
        <w:rPr>
          <w:rFonts w:ascii="Arial" w:hAnsi="Arial"/>
          <w:szCs w:val="20"/>
        </w:rPr>
        <w:t>.</w:t>
      </w:r>
      <w:r w:rsidR="00A31274">
        <w:rPr>
          <w:rStyle w:val="FootnoteReference"/>
          <w:rFonts w:ascii="Arial" w:hAnsi="Arial"/>
          <w:szCs w:val="20"/>
        </w:rPr>
        <w:footnoteReference w:id="16"/>
      </w:r>
      <w:r w:rsidR="00637EF9">
        <w:rPr>
          <w:rFonts w:ascii="Arial" w:hAnsi="Arial"/>
          <w:szCs w:val="20"/>
        </w:rPr>
        <w:t xml:space="preserve"> They</w:t>
      </w:r>
      <w:r w:rsidR="00DE45EF" w:rsidRPr="006C6420">
        <w:rPr>
          <w:rFonts w:ascii="Arial" w:hAnsi="Arial"/>
          <w:szCs w:val="20"/>
        </w:rPr>
        <w:t xml:space="preserve"> us</w:t>
      </w:r>
      <w:r w:rsidR="00637EF9">
        <w:rPr>
          <w:rFonts w:ascii="Arial" w:hAnsi="Arial"/>
          <w:szCs w:val="20"/>
        </w:rPr>
        <w:t>e</w:t>
      </w:r>
      <w:r w:rsidR="00DE45EF" w:rsidRPr="006C6420">
        <w:rPr>
          <w:rFonts w:ascii="Arial" w:hAnsi="Arial"/>
          <w:szCs w:val="20"/>
        </w:rPr>
        <w:t xml:space="preserve"> the following</w:t>
      </w:r>
      <w:r w:rsidR="006C6420" w:rsidRPr="006C6420">
        <w:rPr>
          <w:rFonts w:ascii="Arial" w:hAnsi="Arial"/>
          <w:szCs w:val="20"/>
        </w:rPr>
        <w:t xml:space="preserve"> definitions:</w:t>
      </w:r>
    </w:p>
    <w:p w14:paraId="29A04290" w14:textId="590BBD60" w:rsidR="00DE45EF" w:rsidRPr="006C6420" w:rsidRDefault="006C6420" w:rsidP="00F70E4F">
      <w:pPr>
        <w:pStyle w:val="ListParagraph"/>
        <w:numPr>
          <w:ilvl w:val="0"/>
          <w:numId w:val="12"/>
        </w:numPr>
        <w:spacing w:before="60" w:after="0" w:line="240" w:lineRule="auto"/>
        <w:ind w:left="714" w:hanging="357"/>
        <w:contextualSpacing w:val="0"/>
        <w:rPr>
          <w:rFonts w:ascii="Arial" w:hAnsi="Arial"/>
          <w:szCs w:val="20"/>
        </w:rPr>
      </w:pPr>
      <w:r w:rsidRPr="006C6420">
        <w:rPr>
          <w:rFonts w:ascii="Arial" w:hAnsi="Arial"/>
          <w:szCs w:val="20"/>
        </w:rPr>
        <w:t>i</w:t>
      </w:r>
      <w:r w:rsidR="00DE45EF" w:rsidRPr="006C6420">
        <w:rPr>
          <w:rFonts w:ascii="Arial" w:hAnsi="Arial"/>
          <w:szCs w:val="20"/>
        </w:rPr>
        <w:t xml:space="preserve">ncome is household disposable income – </w:t>
      </w:r>
      <w:proofErr w:type="spellStart"/>
      <w:r w:rsidR="00DE45EF" w:rsidRPr="006C6420">
        <w:rPr>
          <w:rFonts w:ascii="Arial" w:hAnsi="Arial"/>
          <w:szCs w:val="20"/>
        </w:rPr>
        <w:t>ie</w:t>
      </w:r>
      <w:proofErr w:type="spellEnd"/>
      <w:r w:rsidR="00DE45EF" w:rsidRPr="006C6420">
        <w:rPr>
          <w:rFonts w:ascii="Arial" w:hAnsi="Arial"/>
          <w:szCs w:val="20"/>
        </w:rPr>
        <w:t xml:space="preserve"> income from all sources (including any housing support</w:t>
      </w:r>
      <w:r w:rsidR="00A31274">
        <w:rPr>
          <w:rFonts w:ascii="Arial" w:hAnsi="Arial"/>
          <w:szCs w:val="20"/>
        </w:rPr>
        <w:t xml:space="preserve"> and other government transfers and social welfare benefits</w:t>
      </w:r>
      <w:r w:rsidR="00DE45EF" w:rsidRPr="006C6420">
        <w:rPr>
          <w:rFonts w:ascii="Arial" w:hAnsi="Arial"/>
          <w:szCs w:val="20"/>
        </w:rPr>
        <w:t>),</w:t>
      </w:r>
      <w:r w:rsidR="00DE45EF" w:rsidRPr="006C6420">
        <w:rPr>
          <w:rFonts w:ascii="Arial" w:hAnsi="Arial"/>
          <w:i/>
          <w:iCs/>
          <w:szCs w:val="20"/>
        </w:rPr>
        <w:t xml:space="preserve"> less</w:t>
      </w:r>
      <w:r w:rsidR="00DE45EF" w:rsidRPr="006C6420">
        <w:rPr>
          <w:rFonts w:ascii="Arial" w:hAnsi="Arial"/>
          <w:szCs w:val="20"/>
        </w:rPr>
        <w:t xml:space="preserve"> income tax</w:t>
      </w:r>
    </w:p>
    <w:p w14:paraId="45535EED" w14:textId="35041B61" w:rsidR="00DE45EF" w:rsidRPr="006C6420" w:rsidRDefault="006C6420" w:rsidP="00F70E4F">
      <w:pPr>
        <w:pStyle w:val="ListParagraph"/>
        <w:numPr>
          <w:ilvl w:val="0"/>
          <w:numId w:val="12"/>
        </w:numPr>
        <w:spacing w:before="60" w:after="0" w:line="240" w:lineRule="auto"/>
        <w:ind w:left="714" w:hanging="357"/>
        <w:contextualSpacing w:val="0"/>
        <w:rPr>
          <w:rFonts w:ascii="Arial" w:hAnsi="Arial"/>
          <w:szCs w:val="20"/>
        </w:rPr>
      </w:pPr>
      <w:r w:rsidRPr="006C6420">
        <w:rPr>
          <w:rFonts w:ascii="Arial" w:hAnsi="Arial"/>
          <w:szCs w:val="20"/>
        </w:rPr>
        <w:t>h</w:t>
      </w:r>
      <w:r w:rsidR="00DE45EF" w:rsidRPr="006C6420">
        <w:rPr>
          <w:rFonts w:ascii="Arial" w:hAnsi="Arial"/>
          <w:szCs w:val="20"/>
        </w:rPr>
        <w:t>ousing costs</w:t>
      </w:r>
      <w:r>
        <w:rPr>
          <w:rFonts w:ascii="Arial" w:hAnsi="Arial"/>
          <w:szCs w:val="20"/>
        </w:rPr>
        <w:t xml:space="preserve"> </w:t>
      </w:r>
      <w:r w:rsidRPr="006C6420">
        <w:rPr>
          <w:rFonts w:ascii="Arial" w:hAnsi="Arial"/>
          <w:szCs w:val="20"/>
        </w:rPr>
        <w:t>are gross housing costs</w:t>
      </w:r>
      <w:r w:rsidR="00DE45EF" w:rsidRPr="006C6420">
        <w:rPr>
          <w:rFonts w:ascii="Arial" w:hAnsi="Arial"/>
          <w:szCs w:val="20"/>
        </w:rPr>
        <w:t xml:space="preserve"> </w:t>
      </w:r>
      <w:r w:rsidRPr="006C6420">
        <w:rPr>
          <w:rFonts w:ascii="Arial" w:hAnsi="Arial"/>
          <w:szCs w:val="20"/>
        </w:rPr>
        <w:t>for</w:t>
      </w:r>
      <w:r w:rsidR="00DE45EF" w:rsidRPr="006C6420">
        <w:rPr>
          <w:rFonts w:ascii="Arial" w:hAnsi="Arial"/>
          <w:szCs w:val="20"/>
        </w:rPr>
        <w:t xml:space="preserve"> rent and mortgage </w:t>
      </w:r>
      <w:r w:rsidR="00A31274">
        <w:rPr>
          <w:rFonts w:ascii="Arial" w:hAnsi="Arial"/>
          <w:szCs w:val="20"/>
        </w:rPr>
        <w:t xml:space="preserve">(both </w:t>
      </w:r>
      <w:r w:rsidR="00DE45EF" w:rsidRPr="006C6420">
        <w:rPr>
          <w:rFonts w:ascii="Arial" w:hAnsi="Arial"/>
          <w:szCs w:val="20"/>
        </w:rPr>
        <w:t>principal and interest</w:t>
      </w:r>
      <w:r w:rsidR="00A31274">
        <w:rPr>
          <w:rFonts w:ascii="Arial" w:hAnsi="Arial"/>
          <w:szCs w:val="20"/>
        </w:rPr>
        <w:t>)</w:t>
      </w:r>
    </w:p>
    <w:p w14:paraId="508BB290" w14:textId="77777777" w:rsidR="000D1455" w:rsidRDefault="006C6420" w:rsidP="00F70E4F">
      <w:pPr>
        <w:pStyle w:val="ListParagraph"/>
        <w:numPr>
          <w:ilvl w:val="0"/>
          <w:numId w:val="12"/>
        </w:numPr>
        <w:spacing w:before="60" w:after="0" w:line="240" w:lineRule="auto"/>
        <w:ind w:left="714" w:hanging="357"/>
        <w:contextualSpacing w:val="0"/>
        <w:rPr>
          <w:rFonts w:ascii="Arial" w:hAnsi="Arial"/>
          <w:szCs w:val="20"/>
        </w:rPr>
      </w:pPr>
      <w:r w:rsidRPr="006C6420">
        <w:rPr>
          <w:rFonts w:ascii="Arial" w:hAnsi="Arial"/>
          <w:szCs w:val="20"/>
        </w:rPr>
        <w:t xml:space="preserve">the focus is on households with </w:t>
      </w:r>
      <w:r w:rsidR="00C9533C">
        <w:rPr>
          <w:rFonts w:ascii="Arial" w:hAnsi="Arial"/>
          <w:szCs w:val="20"/>
        </w:rPr>
        <w:t xml:space="preserve">these </w:t>
      </w:r>
      <w:r w:rsidRPr="006C6420">
        <w:rPr>
          <w:rFonts w:ascii="Arial" w:hAnsi="Arial"/>
          <w:szCs w:val="20"/>
        </w:rPr>
        <w:t>housing costs (households who own outright (no mortgage) are excluded)</w:t>
      </w:r>
    </w:p>
    <w:p w14:paraId="1535DAA1" w14:textId="3DA926D1" w:rsidR="006C6420" w:rsidRPr="006C6420" w:rsidRDefault="000D1455" w:rsidP="00F70E4F">
      <w:pPr>
        <w:pStyle w:val="ListParagraph"/>
        <w:numPr>
          <w:ilvl w:val="0"/>
          <w:numId w:val="12"/>
        </w:numPr>
        <w:spacing w:before="60" w:after="0" w:line="240" w:lineRule="auto"/>
        <w:ind w:left="714" w:hanging="357"/>
        <w:contextualSpacing w:val="0"/>
        <w:rPr>
          <w:rFonts w:ascii="Arial" w:hAnsi="Arial"/>
          <w:szCs w:val="20"/>
        </w:rPr>
      </w:pPr>
      <w:r>
        <w:rPr>
          <w:rFonts w:ascii="Arial" w:hAnsi="Arial"/>
          <w:szCs w:val="20"/>
        </w:rPr>
        <w:t>rental households are sometimes just private rentals and sometimes social housing renters are also included.</w:t>
      </w:r>
    </w:p>
    <w:p w14:paraId="477E01AD" w14:textId="77777777" w:rsidR="004E6DCD" w:rsidRPr="006C6420" w:rsidRDefault="004E6DCD" w:rsidP="006C1113">
      <w:pPr>
        <w:spacing w:after="0" w:line="240" w:lineRule="auto"/>
        <w:rPr>
          <w:rFonts w:ascii="Arial" w:hAnsi="Arial"/>
        </w:rPr>
      </w:pPr>
    </w:p>
    <w:p w14:paraId="6C5FD144" w14:textId="4559F183" w:rsidR="00C30730" w:rsidRDefault="006C6420" w:rsidP="006C6420">
      <w:pPr>
        <w:spacing w:after="0" w:line="240" w:lineRule="auto"/>
        <w:rPr>
          <w:rFonts w:ascii="Arial" w:eastAsia="Times New Roman" w:hAnsi="Arial" w:cs="Times New Roman"/>
          <w:szCs w:val="20"/>
        </w:rPr>
      </w:pPr>
      <w:r w:rsidRPr="00BE162F">
        <w:rPr>
          <w:rFonts w:ascii="Arial" w:eastAsia="Times New Roman" w:hAnsi="Arial" w:cs="Times New Roman"/>
          <w:szCs w:val="20"/>
        </w:rPr>
        <w:t>High outgoings for</w:t>
      </w:r>
      <w:r w:rsidR="00637EF9">
        <w:rPr>
          <w:rFonts w:ascii="Arial" w:eastAsia="Times New Roman" w:hAnsi="Arial" w:cs="Times New Roman"/>
          <w:szCs w:val="20"/>
        </w:rPr>
        <w:t xml:space="preserve"> housing costs </w:t>
      </w:r>
      <w:r w:rsidRPr="00BE162F">
        <w:rPr>
          <w:rFonts w:ascii="Arial" w:eastAsia="Times New Roman" w:hAnsi="Arial" w:cs="Times New Roman"/>
          <w:szCs w:val="20"/>
        </w:rPr>
        <w:t xml:space="preserve">relative to </w:t>
      </w:r>
      <w:r>
        <w:rPr>
          <w:rFonts w:ascii="Arial" w:eastAsia="Times New Roman" w:hAnsi="Arial" w:cs="Times New Roman"/>
          <w:szCs w:val="20"/>
        </w:rPr>
        <w:t xml:space="preserve">household </w:t>
      </w:r>
      <w:r w:rsidRPr="00BE162F">
        <w:rPr>
          <w:rFonts w:ascii="Arial" w:eastAsia="Times New Roman" w:hAnsi="Arial" w:cs="Times New Roman"/>
          <w:szCs w:val="20"/>
        </w:rPr>
        <w:t>income</w:t>
      </w:r>
      <w:r w:rsidR="00F22072">
        <w:rPr>
          <w:rFonts w:ascii="Arial" w:eastAsia="Times New Roman" w:hAnsi="Arial" w:cs="Times New Roman"/>
          <w:szCs w:val="20"/>
        </w:rPr>
        <w:t xml:space="preserve"> ( ‘high OTIs’)</w:t>
      </w:r>
      <w:r w:rsidRPr="00BE162F">
        <w:rPr>
          <w:rFonts w:ascii="Arial" w:eastAsia="Times New Roman" w:hAnsi="Arial" w:cs="Times New Roman"/>
          <w:szCs w:val="20"/>
        </w:rPr>
        <w:t xml:space="preserve"> are often associated with financial stress for low- to middle-income households. Low-income households especially can be left with insufficient income to meet other basic needs such as food, clothing, basic household operations, transport, medical care and education for household members.</w:t>
      </w:r>
      <w:r w:rsidR="0038499F">
        <w:rPr>
          <w:rStyle w:val="FootnoteReference"/>
          <w:rFonts w:ascii="Arial" w:eastAsia="Times New Roman" w:hAnsi="Arial" w:cs="Times New Roman"/>
          <w:szCs w:val="20"/>
        </w:rPr>
        <w:footnoteReference w:id="17"/>
      </w:r>
      <w:r w:rsidR="006C1113">
        <w:rPr>
          <w:rFonts w:ascii="Arial" w:eastAsia="Times New Roman" w:hAnsi="Arial" w:cs="Times New Roman"/>
          <w:szCs w:val="20"/>
        </w:rPr>
        <w:t xml:space="preserve"> </w:t>
      </w:r>
      <w:r w:rsidR="00F70E4F">
        <w:rPr>
          <w:rFonts w:ascii="Arial" w:eastAsia="Times New Roman" w:hAnsi="Arial" w:cs="Times New Roman"/>
          <w:szCs w:val="20"/>
        </w:rPr>
        <w:t xml:space="preserve">Unaffordable housing can also lead to overcrowding </w:t>
      </w:r>
      <w:r w:rsidR="0007759D">
        <w:rPr>
          <w:rFonts w:ascii="Arial" w:eastAsia="Times New Roman" w:hAnsi="Arial" w:cs="Times New Roman"/>
          <w:szCs w:val="20"/>
        </w:rPr>
        <w:t>with</w:t>
      </w:r>
      <w:r w:rsidR="00F70E4F">
        <w:rPr>
          <w:rFonts w:ascii="Arial" w:eastAsia="Times New Roman" w:hAnsi="Arial" w:cs="Times New Roman"/>
          <w:szCs w:val="20"/>
        </w:rPr>
        <w:t xml:space="preserve"> sharing accommodation and housing costs with others </w:t>
      </w:r>
      <w:r w:rsidR="0007759D">
        <w:rPr>
          <w:rFonts w:ascii="Arial" w:eastAsia="Times New Roman" w:hAnsi="Arial" w:cs="Times New Roman"/>
          <w:szCs w:val="20"/>
        </w:rPr>
        <w:t>used as a survival strategy.</w:t>
      </w:r>
    </w:p>
    <w:p w14:paraId="53819893" w14:textId="2DC713C6" w:rsidR="003A5215" w:rsidRDefault="003A5215" w:rsidP="006C6420">
      <w:pPr>
        <w:spacing w:after="0" w:line="240" w:lineRule="auto"/>
        <w:rPr>
          <w:rFonts w:ascii="Arial" w:eastAsia="Times New Roman" w:hAnsi="Arial" w:cs="Times New Roman"/>
          <w:szCs w:val="20"/>
        </w:rPr>
      </w:pPr>
    </w:p>
    <w:p w14:paraId="1E06CDD2" w14:textId="049BB163" w:rsidR="00C9364F" w:rsidRDefault="003A5215" w:rsidP="00C9364F">
      <w:pPr>
        <w:spacing w:after="0" w:line="240" w:lineRule="auto"/>
        <w:rPr>
          <w:rFonts w:ascii="Arial" w:eastAsia="Times New Roman" w:hAnsi="Arial" w:cs="Times New Roman"/>
          <w:szCs w:val="20"/>
        </w:rPr>
      </w:pPr>
      <w:r>
        <w:rPr>
          <w:rFonts w:ascii="Arial" w:eastAsia="Times New Roman" w:hAnsi="Arial" w:cs="Times New Roman"/>
          <w:szCs w:val="20"/>
        </w:rPr>
        <w:t xml:space="preserve">This section opens with </w:t>
      </w:r>
      <w:r w:rsidR="0072206A">
        <w:rPr>
          <w:rFonts w:ascii="Arial" w:eastAsia="Times New Roman" w:hAnsi="Arial" w:cs="Times New Roman"/>
          <w:szCs w:val="20"/>
        </w:rPr>
        <w:t xml:space="preserve">country </w:t>
      </w:r>
      <w:r w:rsidR="00C9364F">
        <w:rPr>
          <w:rFonts w:ascii="Arial" w:eastAsia="Times New Roman" w:hAnsi="Arial" w:cs="Times New Roman"/>
          <w:szCs w:val="20"/>
        </w:rPr>
        <w:t xml:space="preserve">comparisons for high spending on </w:t>
      </w:r>
      <w:r w:rsidR="009031C6">
        <w:rPr>
          <w:rFonts w:ascii="Arial" w:eastAsia="Times New Roman" w:hAnsi="Arial" w:cs="Times New Roman"/>
          <w:szCs w:val="20"/>
        </w:rPr>
        <w:t>housing costs</w:t>
      </w:r>
      <w:r w:rsidR="00C9364F">
        <w:rPr>
          <w:rFonts w:ascii="Arial" w:eastAsia="Times New Roman" w:hAnsi="Arial" w:cs="Times New Roman"/>
          <w:szCs w:val="20"/>
        </w:rPr>
        <w:t xml:space="preserve"> for households </w:t>
      </w:r>
      <w:r w:rsidR="009031C6">
        <w:rPr>
          <w:rFonts w:ascii="Arial" w:eastAsia="Times New Roman" w:hAnsi="Arial" w:cs="Times New Roman"/>
          <w:szCs w:val="20"/>
        </w:rPr>
        <w:t>in</w:t>
      </w:r>
      <w:r w:rsidR="00C9364F">
        <w:rPr>
          <w:rFonts w:ascii="Arial" w:eastAsia="Times New Roman" w:hAnsi="Arial" w:cs="Times New Roman"/>
          <w:szCs w:val="20"/>
        </w:rPr>
        <w:t xml:space="preserve"> </w:t>
      </w:r>
      <w:r w:rsidR="009031C6">
        <w:rPr>
          <w:rFonts w:ascii="Arial" w:eastAsia="Times New Roman" w:hAnsi="Arial" w:cs="Times New Roman"/>
          <w:szCs w:val="20"/>
        </w:rPr>
        <w:t>the lower</w:t>
      </w:r>
      <w:r w:rsidR="00C9364F">
        <w:rPr>
          <w:rFonts w:ascii="Arial" w:eastAsia="Times New Roman" w:hAnsi="Arial" w:cs="Times New Roman"/>
          <w:szCs w:val="20"/>
        </w:rPr>
        <w:t xml:space="preserve"> income quintile</w:t>
      </w:r>
      <w:r w:rsidR="009031C6">
        <w:rPr>
          <w:rFonts w:ascii="Arial" w:eastAsia="Times New Roman" w:hAnsi="Arial" w:cs="Times New Roman"/>
          <w:szCs w:val="20"/>
        </w:rPr>
        <w:t xml:space="preserve">s (OTIs &gt; 40%) </w:t>
      </w:r>
      <w:r w:rsidR="00C9364F">
        <w:rPr>
          <w:rFonts w:ascii="Arial" w:eastAsia="Times New Roman" w:hAnsi="Arial" w:cs="Times New Roman"/>
          <w:szCs w:val="20"/>
        </w:rPr>
        <w:t xml:space="preserve">as this is where the highest housing stress is likely to be found. </w:t>
      </w:r>
    </w:p>
    <w:p w14:paraId="19CA26D4" w14:textId="77777777" w:rsidR="00C9364F" w:rsidRDefault="00C9364F" w:rsidP="00F038B4">
      <w:pPr>
        <w:spacing w:after="0" w:line="240" w:lineRule="auto"/>
        <w:rPr>
          <w:rFonts w:ascii="Arial" w:eastAsia="Times New Roman" w:hAnsi="Arial" w:cs="Times New Roman"/>
          <w:szCs w:val="20"/>
        </w:rPr>
      </w:pPr>
    </w:p>
    <w:p w14:paraId="54C38399" w14:textId="2BA4249A" w:rsidR="00F038B4" w:rsidRDefault="00F038B4" w:rsidP="00F038B4">
      <w:pPr>
        <w:spacing w:after="0" w:line="240" w:lineRule="auto"/>
        <w:rPr>
          <w:rFonts w:ascii="Arial" w:eastAsia="Times New Roman" w:hAnsi="Arial" w:cs="Times New Roman"/>
          <w:szCs w:val="20"/>
        </w:rPr>
      </w:pPr>
      <w:r>
        <w:rPr>
          <w:rFonts w:ascii="Arial" w:eastAsia="Times New Roman" w:hAnsi="Arial" w:cs="Times New Roman"/>
          <w:szCs w:val="20"/>
        </w:rPr>
        <w:t xml:space="preserve">It then </w:t>
      </w:r>
      <w:r w:rsidR="009031C6">
        <w:rPr>
          <w:rFonts w:ascii="Arial" w:eastAsia="Times New Roman" w:hAnsi="Arial" w:cs="Times New Roman"/>
          <w:szCs w:val="20"/>
        </w:rPr>
        <w:t>reports on the median OTI</w:t>
      </w:r>
      <w:r w:rsidR="00C9364F">
        <w:rPr>
          <w:rFonts w:ascii="Arial" w:eastAsia="Times New Roman" w:hAnsi="Arial" w:cs="Times New Roman"/>
          <w:szCs w:val="20"/>
        </w:rPr>
        <w:t xml:space="preserve"> for</w:t>
      </w:r>
      <w:r>
        <w:rPr>
          <w:rFonts w:ascii="Arial" w:eastAsia="Times New Roman" w:hAnsi="Arial" w:cs="Times New Roman"/>
          <w:szCs w:val="20"/>
        </w:rPr>
        <w:t xml:space="preserve"> </w:t>
      </w:r>
      <w:r w:rsidR="009031C6">
        <w:rPr>
          <w:rFonts w:ascii="Arial" w:eastAsia="Times New Roman" w:hAnsi="Arial" w:cs="Times New Roman"/>
          <w:szCs w:val="20"/>
        </w:rPr>
        <w:t>low to middle</w:t>
      </w:r>
      <w:r w:rsidR="0072206A">
        <w:rPr>
          <w:rFonts w:ascii="Arial" w:eastAsia="Times New Roman" w:hAnsi="Arial" w:cs="Times New Roman"/>
          <w:szCs w:val="20"/>
        </w:rPr>
        <w:t>-</w:t>
      </w:r>
      <w:r w:rsidR="009031C6">
        <w:rPr>
          <w:rFonts w:ascii="Arial" w:eastAsia="Times New Roman" w:hAnsi="Arial" w:cs="Times New Roman"/>
          <w:szCs w:val="20"/>
        </w:rPr>
        <w:t>income households (</w:t>
      </w:r>
      <w:r>
        <w:rPr>
          <w:rFonts w:ascii="Arial" w:eastAsia="Times New Roman" w:hAnsi="Arial" w:cs="Times New Roman"/>
          <w:szCs w:val="20"/>
        </w:rPr>
        <w:t>Q1, Q2, Q3</w:t>
      </w:r>
      <w:r w:rsidR="009031C6">
        <w:rPr>
          <w:rFonts w:ascii="Arial" w:eastAsia="Times New Roman" w:hAnsi="Arial" w:cs="Times New Roman"/>
          <w:szCs w:val="20"/>
        </w:rPr>
        <w:t>)</w:t>
      </w:r>
      <w:r>
        <w:rPr>
          <w:rFonts w:ascii="Arial" w:eastAsia="Times New Roman" w:hAnsi="Arial" w:cs="Times New Roman"/>
          <w:szCs w:val="20"/>
        </w:rPr>
        <w:t xml:space="preserve"> </w:t>
      </w:r>
      <w:r w:rsidR="00C9364F">
        <w:rPr>
          <w:rFonts w:ascii="Arial" w:eastAsia="Times New Roman" w:hAnsi="Arial" w:cs="Times New Roman"/>
          <w:szCs w:val="20"/>
        </w:rPr>
        <w:t>with</w:t>
      </w:r>
      <w:r>
        <w:rPr>
          <w:rFonts w:ascii="Arial" w:eastAsia="Times New Roman" w:hAnsi="Arial" w:cs="Times New Roman"/>
          <w:szCs w:val="20"/>
        </w:rPr>
        <w:t xml:space="preserve"> overall rates for context.</w:t>
      </w:r>
    </w:p>
    <w:p w14:paraId="26BBBDC9" w14:textId="0B6C84B7" w:rsidR="009031C6" w:rsidRDefault="009031C6" w:rsidP="00F038B4">
      <w:pPr>
        <w:spacing w:after="0" w:line="240" w:lineRule="auto"/>
        <w:rPr>
          <w:rFonts w:ascii="Arial" w:eastAsia="Times New Roman" w:hAnsi="Arial" w:cs="Times New Roman"/>
          <w:szCs w:val="20"/>
        </w:rPr>
      </w:pPr>
    </w:p>
    <w:p w14:paraId="5D2C2467" w14:textId="324197F6" w:rsidR="009031C6" w:rsidRDefault="009031C6" w:rsidP="00F038B4">
      <w:pPr>
        <w:spacing w:after="0" w:line="240" w:lineRule="auto"/>
        <w:rPr>
          <w:rFonts w:ascii="Arial" w:eastAsia="Times New Roman" w:hAnsi="Arial" w:cs="Times New Roman"/>
          <w:szCs w:val="20"/>
        </w:rPr>
      </w:pPr>
      <w:r>
        <w:rPr>
          <w:rFonts w:ascii="Arial" w:eastAsia="Times New Roman" w:hAnsi="Arial" w:cs="Times New Roman"/>
          <w:szCs w:val="20"/>
        </w:rPr>
        <w:t xml:space="preserve">For both measures (proportion with OTIs &gt; 40% and median OTIs), rankings are provided for both renting households and households with mortgage payments. </w:t>
      </w:r>
    </w:p>
    <w:p w14:paraId="025E3605" w14:textId="734B1DA7" w:rsidR="00D377EC" w:rsidRDefault="00D377EC" w:rsidP="006C6420">
      <w:pPr>
        <w:spacing w:after="0" w:line="240" w:lineRule="auto"/>
        <w:rPr>
          <w:rFonts w:ascii="Arial" w:eastAsia="Times New Roman" w:hAnsi="Arial" w:cs="Times New Roman"/>
          <w:szCs w:val="20"/>
        </w:rPr>
      </w:pPr>
    </w:p>
    <w:p w14:paraId="1FBF1F17" w14:textId="549DAF8D" w:rsidR="00635431" w:rsidRDefault="003051CC" w:rsidP="006C6420">
      <w:pPr>
        <w:spacing w:after="0" w:line="240" w:lineRule="auto"/>
        <w:rPr>
          <w:rFonts w:ascii="Arial" w:eastAsia="Times New Roman" w:hAnsi="Arial" w:cs="Times New Roman"/>
          <w:color w:val="000000" w:themeColor="text1"/>
          <w:szCs w:val="20"/>
        </w:rPr>
      </w:pPr>
      <w:r w:rsidRPr="00C56B6F">
        <w:rPr>
          <w:rFonts w:ascii="Arial" w:eastAsia="Times New Roman" w:hAnsi="Arial" w:cs="Times New Roman"/>
          <w:color w:val="000000" w:themeColor="text1"/>
          <w:szCs w:val="20"/>
        </w:rPr>
        <w:t xml:space="preserve">For interpreting the numbers and relativities, it is important to note that they apply only to those </w:t>
      </w:r>
      <w:r w:rsidR="00C56B6F" w:rsidRPr="00C56B6F">
        <w:rPr>
          <w:rFonts w:ascii="Arial" w:eastAsia="Times New Roman" w:hAnsi="Arial" w:cs="Times New Roman"/>
          <w:color w:val="000000" w:themeColor="text1"/>
          <w:szCs w:val="20"/>
        </w:rPr>
        <w:t xml:space="preserve">with housing </w:t>
      </w:r>
      <w:r w:rsidR="00C56B6F" w:rsidRPr="009031C6">
        <w:rPr>
          <w:rFonts w:ascii="Arial" w:eastAsia="Times New Roman" w:hAnsi="Arial" w:cs="Times New Roman"/>
          <w:color w:val="000000" w:themeColor="text1"/>
          <w:szCs w:val="20"/>
        </w:rPr>
        <w:t xml:space="preserve">costs (rent or mortgage in this case). There are </w:t>
      </w:r>
      <w:r w:rsidR="0072206A">
        <w:rPr>
          <w:rFonts w:ascii="Arial" w:eastAsia="Times New Roman" w:hAnsi="Arial" w:cs="Times New Roman"/>
          <w:color w:val="000000" w:themeColor="text1"/>
          <w:szCs w:val="20"/>
        </w:rPr>
        <w:t>a good number of</w:t>
      </w:r>
      <w:r w:rsidR="00C56B6F" w:rsidRPr="009031C6">
        <w:rPr>
          <w:rFonts w:ascii="Arial" w:eastAsia="Times New Roman" w:hAnsi="Arial" w:cs="Times New Roman"/>
          <w:color w:val="000000" w:themeColor="text1"/>
          <w:szCs w:val="20"/>
        </w:rPr>
        <w:t xml:space="preserve"> households in both Q1 and Q2 who own outright (no mortgage costs) and who therefore are not counted. </w:t>
      </w:r>
      <w:r w:rsidR="009031C6" w:rsidRPr="009031C6">
        <w:rPr>
          <w:rFonts w:ascii="Arial" w:eastAsia="Times New Roman" w:hAnsi="Arial" w:cs="Times New Roman"/>
          <w:color w:val="000000" w:themeColor="text1"/>
          <w:szCs w:val="20"/>
        </w:rPr>
        <w:t>For example, as reported in Table 1</w:t>
      </w:r>
      <w:r w:rsidR="0072206A">
        <w:rPr>
          <w:rFonts w:ascii="Arial" w:eastAsia="Times New Roman" w:hAnsi="Arial" w:cs="Times New Roman"/>
          <w:color w:val="000000" w:themeColor="text1"/>
          <w:szCs w:val="20"/>
        </w:rPr>
        <w:t>a</w:t>
      </w:r>
      <w:r w:rsidR="009031C6" w:rsidRPr="009031C6">
        <w:rPr>
          <w:rFonts w:ascii="Arial" w:eastAsia="Times New Roman" w:hAnsi="Arial" w:cs="Times New Roman"/>
          <w:color w:val="000000" w:themeColor="text1"/>
          <w:szCs w:val="20"/>
        </w:rPr>
        <w:t xml:space="preserve"> above for New Zealand, </w:t>
      </w:r>
      <w:r w:rsidR="00C56B6F" w:rsidRPr="009031C6">
        <w:rPr>
          <w:rFonts w:ascii="Arial" w:eastAsia="Times New Roman" w:hAnsi="Arial" w:cs="Times New Roman"/>
          <w:color w:val="000000" w:themeColor="text1"/>
          <w:szCs w:val="20"/>
        </w:rPr>
        <w:t>4</w:t>
      </w:r>
      <w:r w:rsidR="003C32D8" w:rsidRPr="009031C6">
        <w:rPr>
          <w:rFonts w:ascii="Arial" w:eastAsia="Times New Roman" w:hAnsi="Arial" w:cs="Times New Roman"/>
          <w:color w:val="000000" w:themeColor="text1"/>
          <w:szCs w:val="20"/>
        </w:rPr>
        <w:t>1</w:t>
      </w:r>
      <w:r w:rsidR="00C56B6F" w:rsidRPr="009031C6">
        <w:rPr>
          <w:rFonts w:ascii="Arial" w:eastAsia="Times New Roman" w:hAnsi="Arial" w:cs="Times New Roman"/>
          <w:color w:val="000000" w:themeColor="text1"/>
          <w:szCs w:val="20"/>
        </w:rPr>
        <w:t>% of Q1 households and 3</w:t>
      </w:r>
      <w:r w:rsidR="003C32D8" w:rsidRPr="009031C6">
        <w:rPr>
          <w:rFonts w:ascii="Arial" w:eastAsia="Times New Roman" w:hAnsi="Arial" w:cs="Times New Roman"/>
          <w:color w:val="000000" w:themeColor="text1"/>
          <w:szCs w:val="20"/>
        </w:rPr>
        <w:t>1</w:t>
      </w:r>
      <w:r w:rsidR="00C56B6F" w:rsidRPr="009031C6">
        <w:rPr>
          <w:rFonts w:ascii="Arial" w:eastAsia="Times New Roman" w:hAnsi="Arial" w:cs="Times New Roman"/>
          <w:color w:val="000000" w:themeColor="text1"/>
          <w:szCs w:val="20"/>
        </w:rPr>
        <w:t>% of Q2 households own outright</w:t>
      </w:r>
      <w:r w:rsidR="006848DF" w:rsidRPr="009031C6">
        <w:rPr>
          <w:rFonts w:ascii="Arial" w:eastAsia="Times New Roman" w:hAnsi="Arial" w:cs="Times New Roman"/>
          <w:color w:val="000000" w:themeColor="text1"/>
          <w:szCs w:val="20"/>
        </w:rPr>
        <w:t xml:space="preserve"> (201</w:t>
      </w:r>
      <w:r w:rsidR="003C32D8" w:rsidRPr="009031C6">
        <w:rPr>
          <w:rFonts w:ascii="Arial" w:eastAsia="Times New Roman" w:hAnsi="Arial" w:cs="Times New Roman"/>
          <w:color w:val="000000" w:themeColor="text1"/>
          <w:szCs w:val="20"/>
        </w:rPr>
        <w:t>7</w:t>
      </w:r>
      <w:r w:rsidR="006848DF" w:rsidRPr="009031C6">
        <w:rPr>
          <w:rFonts w:ascii="Arial" w:eastAsia="Times New Roman" w:hAnsi="Arial" w:cs="Times New Roman"/>
          <w:color w:val="000000" w:themeColor="text1"/>
          <w:szCs w:val="20"/>
        </w:rPr>
        <w:t>-</w:t>
      </w:r>
      <w:r w:rsidR="003C32D8" w:rsidRPr="009031C6">
        <w:rPr>
          <w:rFonts w:ascii="Arial" w:eastAsia="Times New Roman" w:hAnsi="Arial" w:cs="Times New Roman"/>
          <w:color w:val="000000" w:themeColor="text1"/>
          <w:szCs w:val="20"/>
        </w:rPr>
        <w:t>18</w:t>
      </w:r>
      <w:r w:rsidR="006848DF" w:rsidRPr="009031C6">
        <w:rPr>
          <w:rFonts w:ascii="Arial" w:eastAsia="Times New Roman" w:hAnsi="Arial" w:cs="Times New Roman"/>
          <w:color w:val="000000" w:themeColor="text1"/>
          <w:szCs w:val="20"/>
        </w:rPr>
        <w:t xml:space="preserve"> HES data)</w:t>
      </w:r>
      <w:r w:rsidR="00C56B6F" w:rsidRPr="009031C6">
        <w:rPr>
          <w:rFonts w:ascii="Arial" w:eastAsia="Times New Roman" w:hAnsi="Arial" w:cs="Times New Roman"/>
          <w:color w:val="000000" w:themeColor="text1"/>
          <w:szCs w:val="20"/>
        </w:rPr>
        <w:t>.</w:t>
      </w:r>
      <w:r w:rsidRPr="009031C6">
        <w:rPr>
          <w:rFonts w:ascii="Arial" w:eastAsia="Times New Roman" w:hAnsi="Arial" w:cs="Times New Roman"/>
          <w:color w:val="000000" w:themeColor="text1"/>
          <w:szCs w:val="20"/>
        </w:rPr>
        <w:t xml:space="preserve"> </w:t>
      </w:r>
      <w:r w:rsidR="00C56B6F" w:rsidRPr="009031C6">
        <w:rPr>
          <w:rFonts w:ascii="Arial" w:eastAsia="Times New Roman" w:hAnsi="Arial" w:cs="Times New Roman"/>
          <w:color w:val="000000" w:themeColor="text1"/>
          <w:szCs w:val="20"/>
        </w:rPr>
        <w:t>Australia’s distribution is very similar</w:t>
      </w:r>
      <w:r w:rsidR="006848DF" w:rsidRPr="009031C6">
        <w:rPr>
          <w:rFonts w:ascii="Arial" w:eastAsia="Times New Roman" w:hAnsi="Arial" w:cs="Times New Roman"/>
          <w:color w:val="000000" w:themeColor="text1"/>
          <w:szCs w:val="20"/>
        </w:rPr>
        <w:t>.</w:t>
      </w:r>
    </w:p>
    <w:p w14:paraId="698A6336" w14:textId="77777777" w:rsidR="00C56B6F" w:rsidRPr="00C56B6F" w:rsidRDefault="00C56B6F" w:rsidP="006C6420">
      <w:pPr>
        <w:spacing w:after="0" w:line="240" w:lineRule="auto"/>
        <w:rPr>
          <w:rFonts w:ascii="Arial" w:eastAsia="Times New Roman" w:hAnsi="Arial" w:cs="Times New Roman"/>
          <w:color w:val="000000" w:themeColor="text1"/>
          <w:szCs w:val="20"/>
        </w:rPr>
      </w:pPr>
    </w:p>
    <w:p w14:paraId="1CEEDD19" w14:textId="4DDB8351" w:rsidR="003A5215" w:rsidRDefault="006848DF">
      <w:pPr>
        <w:spacing w:after="0" w:line="240" w:lineRule="auto"/>
        <w:rPr>
          <w:rFonts w:ascii="Arial" w:eastAsia="Times New Roman" w:hAnsi="Arial" w:cs="Times New Roman"/>
          <w:szCs w:val="20"/>
        </w:rPr>
      </w:pPr>
      <w:r w:rsidRPr="009031C6">
        <w:rPr>
          <w:rFonts w:ascii="Arial" w:eastAsia="Times New Roman" w:hAnsi="Arial" w:cs="Times New Roman"/>
          <w:szCs w:val="20"/>
        </w:rPr>
        <w:t xml:space="preserve">Across the OECD as a whole, there is a wide range of outright ownership for Q1 and Q2 households. </w:t>
      </w:r>
      <w:r w:rsidRPr="0072206A">
        <w:rPr>
          <w:rFonts w:ascii="Arial" w:eastAsia="Times New Roman" w:hAnsi="Arial" w:cs="Times New Roman"/>
          <w:szCs w:val="20"/>
        </w:rPr>
        <w:t>Figure 3</w:t>
      </w:r>
      <w:r w:rsidRPr="009031C6">
        <w:rPr>
          <w:rFonts w:ascii="Arial" w:eastAsia="Times New Roman" w:hAnsi="Arial" w:cs="Times New Roman"/>
          <w:szCs w:val="20"/>
        </w:rPr>
        <w:t xml:space="preserve"> </w:t>
      </w:r>
      <w:r w:rsidR="003C32D8" w:rsidRPr="009031C6">
        <w:rPr>
          <w:rFonts w:ascii="Arial" w:eastAsia="Times New Roman" w:hAnsi="Arial" w:cs="Times New Roman"/>
          <w:szCs w:val="20"/>
        </w:rPr>
        <w:t>(</w:t>
      </w:r>
      <w:r w:rsidRPr="009031C6">
        <w:rPr>
          <w:rFonts w:ascii="Arial" w:eastAsia="Times New Roman" w:hAnsi="Arial" w:cs="Times New Roman"/>
          <w:szCs w:val="20"/>
        </w:rPr>
        <w:t>above</w:t>
      </w:r>
      <w:r w:rsidR="003C32D8" w:rsidRPr="009031C6">
        <w:rPr>
          <w:rFonts w:ascii="Arial" w:eastAsia="Times New Roman" w:hAnsi="Arial" w:cs="Times New Roman"/>
          <w:szCs w:val="20"/>
        </w:rPr>
        <w:t>)</w:t>
      </w:r>
      <w:r w:rsidRPr="009031C6">
        <w:rPr>
          <w:rFonts w:ascii="Arial" w:eastAsia="Times New Roman" w:hAnsi="Arial" w:cs="Times New Roman"/>
          <w:szCs w:val="20"/>
        </w:rPr>
        <w:t xml:space="preserve"> shows this for Q1, with the proportion ranging from </w:t>
      </w:r>
      <w:r w:rsidR="00B91E5D" w:rsidRPr="009031C6">
        <w:rPr>
          <w:rFonts w:ascii="Arial" w:eastAsia="Times New Roman" w:hAnsi="Arial" w:cs="Times New Roman"/>
          <w:szCs w:val="20"/>
        </w:rPr>
        <w:t xml:space="preserve">around </w:t>
      </w:r>
      <w:r w:rsidRPr="009031C6">
        <w:rPr>
          <w:rFonts w:ascii="Arial" w:eastAsia="Times New Roman" w:hAnsi="Arial" w:cs="Times New Roman"/>
          <w:szCs w:val="20"/>
        </w:rPr>
        <w:t>1</w:t>
      </w:r>
      <w:r w:rsidR="00B91E5D" w:rsidRPr="009031C6">
        <w:rPr>
          <w:rFonts w:ascii="Arial" w:eastAsia="Times New Roman" w:hAnsi="Arial" w:cs="Times New Roman"/>
          <w:szCs w:val="20"/>
        </w:rPr>
        <w:t>0</w:t>
      </w:r>
      <w:r w:rsidRPr="009031C6">
        <w:rPr>
          <w:rFonts w:ascii="Arial" w:eastAsia="Times New Roman" w:hAnsi="Arial" w:cs="Times New Roman"/>
          <w:szCs w:val="20"/>
        </w:rPr>
        <w:t>%</w:t>
      </w:r>
      <w:r w:rsidR="00B91E5D" w:rsidRPr="009031C6">
        <w:rPr>
          <w:rFonts w:ascii="Arial" w:eastAsia="Times New Roman" w:hAnsi="Arial" w:cs="Times New Roman"/>
          <w:szCs w:val="20"/>
        </w:rPr>
        <w:t xml:space="preserve"> for Switzerland and the Netherlands to</w:t>
      </w:r>
      <w:r w:rsidRPr="009031C6">
        <w:rPr>
          <w:rFonts w:ascii="Arial" w:eastAsia="Times New Roman" w:hAnsi="Arial" w:cs="Times New Roman"/>
          <w:szCs w:val="20"/>
        </w:rPr>
        <w:t xml:space="preserve"> </w:t>
      </w:r>
      <w:r w:rsidR="00B91E5D" w:rsidRPr="009031C6">
        <w:rPr>
          <w:rFonts w:ascii="Arial" w:eastAsia="Times New Roman" w:hAnsi="Arial" w:cs="Times New Roman"/>
          <w:szCs w:val="20"/>
        </w:rPr>
        <w:t>75% and more for Poland</w:t>
      </w:r>
      <w:r w:rsidR="00467900">
        <w:rPr>
          <w:rFonts w:ascii="Arial" w:eastAsia="Times New Roman" w:hAnsi="Arial" w:cs="Times New Roman"/>
          <w:szCs w:val="20"/>
        </w:rPr>
        <w:t xml:space="preserve"> and </w:t>
      </w:r>
      <w:r w:rsidR="00B91E5D" w:rsidRPr="009031C6">
        <w:rPr>
          <w:rFonts w:ascii="Arial" w:eastAsia="Times New Roman" w:hAnsi="Arial" w:cs="Times New Roman"/>
          <w:szCs w:val="20"/>
        </w:rPr>
        <w:t xml:space="preserve">Hungary </w:t>
      </w:r>
      <w:r w:rsidR="00467900">
        <w:rPr>
          <w:rFonts w:ascii="Arial" w:eastAsia="Times New Roman" w:hAnsi="Arial" w:cs="Times New Roman"/>
          <w:szCs w:val="20"/>
        </w:rPr>
        <w:t xml:space="preserve">(and Bulgaria </w:t>
      </w:r>
      <w:r w:rsidR="00B91E5D" w:rsidRPr="009031C6">
        <w:rPr>
          <w:rFonts w:ascii="Arial" w:eastAsia="Times New Roman" w:hAnsi="Arial" w:cs="Times New Roman"/>
          <w:szCs w:val="20"/>
        </w:rPr>
        <w:t>and Romania</w:t>
      </w:r>
      <w:r w:rsidR="00467900">
        <w:rPr>
          <w:rFonts w:ascii="Arial" w:eastAsia="Times New Roman" w:hAnsi="Arial" w:cs="Times New Roman"/>
          <w:szCs w:val="20"/>
        </w:rPr>
        <w:t xml:space="preserve"> who are not OECD countries).</w:t>
      </w:r>
      <w:r>
        <w:rPr>
          <w:rFonts w:ascii="Arial" w:eastAsia="Times New Roman" w:hAnsi="Arial" w:cs="Times New Roman"/>
          <w:szCs w:val="20"/>
        </w:rPr>
        <w:t xml:space="preserve"> </w:t>
      </w:r>
    </w:p>
    <w:p w14:paraId="6F20BB68" w14:textId="782623D7" w:rsidR="007F36E0" w:rsidRDefault="007F36E0">
      <w:pPr>
        <w:spacing w:after="0" w:line="240" w:lineRule="auto"/>
        <w:rPr>
          <w:rFonts w:ascii="Arial" w:eastAsia="Times New Roman" w:hAnsi="Arial" w:cs="Times New Roman"/>
          <w:szCs w:val="20"/>
        </w:rPr>
      </w:pPr>
    </w:p>
    <w:p w14:paraId="6A39E0C5" w14:textId="76ABF40E" w:rsidR="007F36E0" w:rsidRDefault="007F36E0">
      <w:pPr>
        <w:spacing w:after="0" w:line="240" w:lineRule="auto"/>
        <w:rPr>
          <w:rFonts w:ascii="Arial" w:eastAsia="Times New Roman" w:hAnsi="Arial" w:cs="Times New Roman"/>
          <w:szCs w:val="20"/>
        </w:rPr>
      </w:pPr>
      <w:r w:rsidRPr="00885387">
        <w:rPr>
          <w:rFonts w:ascii="Arial" w:eastAsia="Times New Roman" w:hAnsi="Arial" w:cs="Times New Roman"/>
          <w:szCs w:val="20"/>
        </w:rPr>
        <w:t xml:space="preserve">There are 38 OECD countries. </w:t>
      </w:r>
      <w:r w:rsidR="00467900" w:rsidRPr="00885387">
        <w:rPr>
          <w:rFonts w:ascii="Arial" w:eastAsia="Times New Roman" w:hAnsi="Arial" w:cs="Times New Roman"/>
          <w:szCs w:val="20"/>
        </w:rPr>
        <w:t xml:space="preserve">Not all member countries provide housing affordability information and some provide only partial information. All the countries with which New Zealand usually compares itself have provided </w:t>
      </w:r>
      <w:r w:rsidR="00F97151" w:rsidRPr="00885387">
        <w:rPr>
          <w:rFonts w:ascii="Arial" w:eastAsia="Times New Roman" w:hAnsi="Arial" w:cs="Times New Roman"/>
          <w:szCs w:val="20"/>
        </w:rPr>
        <w:t>sufficient housing affordability information to allow clear conclusions about New Zealand’s relative ranking.</w:t>
      </w:r>
    </w:p>
    <w:p w14:paraId="25F66BE9" w14:textId="77777777" w:rsidR="00BA5697" w:rsidRDefault="00BA5697">
      <w:pPr>
        <w:spacing w:after="0" w:line="240" w:lineRule="auto"/>
        <w:rPr>
          <w:rFonts w:ascii="Arial" w:eastAsia="Times New Roman" w:hAnsi="Arial" w:cs="Times New Roman"/>
          <w:b/>
          <w:bCs/>
          <w:szCs w:val="20"/>
        </w:rPr>
      </w:pPr>
      <w:r>
        <w:rPr>
          <w:rFonts w:ascii="Arial" w:eastAsia="Times New Roman" w:hAnsi="Arial" w:cs="Times New Roman"/>
          <w:b/>
          <w:bCs/>
          <w:szCs w:val="20"/>
        </w:rPr>
        <w:br w:type="page"/>
      </w:r>
    </w:p>
    <w:p w14:paraId="4CAD954F" w14:textId="77777777" w:rsidR="00BC2EEF" w:rsidRPr="00B91E5D" w:rsidRDefault="00BC2EEF" w:rsidP="00BC2EEF">
      <w:pPr>
        <w:spacing w:after="0" w:line="240" w:lineRule="auto"/>
        <w:rPr>
          <w:rFonts w:ascii="Arial" w:eastAsia="Times New Roman" w:hAnsi="Arial" w:cs="Times New Roman"/>
          <w:b/>
          <w:bCs/>
          <w:sz w:val="22"/>
        </w:rPr>
      </w:pPr>
      <w:r>
        <w:rPr>
          <w:rFonts w:ascii="Arial" w:eastAsia="Times New Roman" w:hAnsi="Arial" w:cs="Times New Roman"/>
          <w:b/>
          <w:bCs/>
          <w:sz w:val="22"/>
        </w:rPr>
        <w:lastRenderedPageBreak/>
        <w:t xml:space="preserve">Individuals in </w:t>
      </w:r>
      <w:r w:rsidRPr="003A3E03">
        <w:rPr>
          <w:rFonts w:ascii="Arial" w:eastAsia="Times New Roman" w:hAnsi="Arial" w:cs="Times New Roman"/>
          <w:b/>
          <w:bCs/>
          <w:sz w:val="22"/>
          <w:u w:val="single"/>
        </w:rPr>
        <w:t>low-income households</w:t>
      </w:r>
      <w:r w:rsidRPr="00B91E5D">
        <w:rPr>
          <w:rFonts w:ascii="Arial" w:eastAsia="Times New Roman" w:hAnsi="Arial" w:cs="Times New Roman"/>
          <w:b/>
          <w:bCs/>
          <w:sz w:val="22"/>
        </w:rPr>
        <w:t xml:space="preserve"> </w:t>
      </w:r>
      <w:r>
        <w:rPr>
          <w:rFonts w:ascii="Arial" w:eastAsia="Times New Roman" w:hAnsi="Arial" w:cs="Times New Roman"/>
          <w:b/>
          <w:bCs/>
          <w:sz w:val="22"/>
        </w:rPr>
        <w:t>that spend</w:t>
      </w:r>
      <w:r w:rsidRPr="00B91E5D">
        <w:rPr>
          <w:rFonts w:ascii="Arial" w:eastAsia="Times New Roman" w:hAnsi="Arial" w:cs="Times New Roman"/>
          <w:b/>
          <w:bCs/>
          <w:sz w:val="22"/>
        </w:rPr>
        <w:t xml:space="preserve"> more than 40% of their income on housing costs (private rent and mortgage)</w:t>
      </w:r>
    </w:p>
    <w:p w14:paraId="3A45E026" w14:textId="77777777" w:rsidR="00BC2EEF" w:rsidRDefault="00BC2EEF" w:rsidP="00BC2EEF">
      <w:pPr>
        <w:spacing w:after="0" w:line="240" w:lineRule="auto"/>
        <w:rPr>
          <w:rFonts w:ascii="Arial" w:eastAsia="Times New Roman" w:hAnsi="Arial" w:cs="Times New Roman"/>
          <w:szCs w:val="20"/>
        </w:rPr>
      </w:pPr>
    </w:p>
    <w:p w14:paraId="25B4F397" w14:textId="4E59B31D" w:rsidR="00BC2EEF" w:rsidRDefault="00BC2EEF" w:rsidP="00BC2EEF">
      <w:pPr>
        <w:spacing w:after="0" w:line="240" w:lineRule="auto"/>
        <w:rPr>
          <w:rFonts w:ascii="Arial" w:eastAsia="Times New Roman" w:hAnsi="Arial" w:cs="Times New Roman"/>
          <w:szCs w:val="20"/>
        </w:rPr>
      </w:pPr>
      <w:r w:rsidRPr="00F05E65">
        <w:rPr>
          <w:rFonts w:ascii="Arial" w:eastAsia="Times New Roman" w:hAnsi="Arial" w:cs="Times New Roman"/>
          <w:szCs w:val="20"/>
        </w:rPr>
        <w:t>New Zealand has the highest housing affordability stress in the OECD for low-income households (Q1)</w:t>
      </w:r>
      <w:r>
        <w:rPr>
          <w:rFonts w:ascii="Arial" w:eastAsia="Times New Roman" w:hAnsi="Arial" w:cs="Times New Roman"/>
          <w:szCs w:val="20"/>
        </w:rPr>
        <w:t xml:space="preserve"> </w:t>
      </w:r>
      <w:r w:rsidRPr="0099249E">
        <w:rPr>
          <w:rFonts w:ascii="Arial" w:eastAsia="Times New Roman" w:hAnsi="Arial" w:cs="Times New Roman"/>
          <w:szCs w:val="20"/>
          <w:u w:val="single"/>
        </w:rPr>
        <w:t>renting privately</w:t>
      </w:r>
      <w:r>
        <w:rPr>
          <w:rFonts w:ascii="Arial" w:eastAsia="Times New Roman" w:hAnsi="Arial" w:cs="Times New Roman"/>
          <w:szCs w:val="20"/>
        </w:rPr>
        <w:t>, with 61% of individuals living in households spending more than 40% of their income on rent. This places New Zealand clearly at the ‘top’ of the OECD league table (</w:t>
      </w:r>
      <w:r w:rsidRPr="00F05E65">
        <w:rPr>
          <w:rFonts w:ascii="Arial" w:eastAsia="Times New Roman" w:hAnsi="Arial" w:cs="Times New Roman"/>
          <w:b/>
          <w:bCs/>
          <w:szCs w:val="20"/>
        </w:rPr>
        <w:t xml:space="preserve">Figure </w:t>
      </w:r>
      <w:r>
        <w:rPr>
          <w:rFonts w:ascii="Arial" w:eastAsia="Times New Roman" w:hAnsi="Arial" w:cs="Times New Roman"/>
          <w:b/>
          <w:bCs/>
          <w:szCs w:val="20"/>
        </w:rPr>
        <w:t>5</w:t>
      </w:r>
      <w:r w:rsidR="00B51308">
        <w:rPr>
          <w:rFonts w:ascii="Arial" w:eastAsia="Times New Roman" w:hAnsi="Arial" w:cs="Times New Roman"/>
          <w:b/>
          <w:bCs/>
          <w:szCs w:val="20"/>
        </w:rPr>
        <w:t>a</w:t>
      </w:r>
      <w:r>
        <w:rPr>
          <w:rFonts w:ascii="Arial" w:eastAsia="Times New Roman" w:hAnsi="Arial" w:cs="Times New Roman"/>
          <w:szCs w:val="20"/>
        </w:rPr>
        <w:t>) with a rate double the OECD median of around 30%.</w:t>
      </w:r>
      <w:r>
        <w:rPr>
          <w:rStyle w:val="FootnoteReference"/>
          <w:rFonts w:ascii="Arial" w:eastAsia="Times New Roman" w:hAnsi="Arial" w:cs="Times New Roman"/>
          <w:szCs w:val="20"/>
        </w:rPr>
        <w:footnoteReference w:id="18"/>
      </w:r>
      <w:r>
        <w:rPr>
          <w:rFonts w:ascii="Arial" w:eastAsia="Times New Roman" w:hAnsi="Arial" w:cs="Times New Roman"/>
          <w:szCs w:val="20"/>
        </w:rPr>
        <w:t xml:space="preserve">  </w:t>
      </w:r>
    </w:p>
    <w:p w14:paraId="7A47F169" w14:textId="5D1CC493" w:rsidR="00160D1F" w:rsidRDefault="00160D1F" w:rsidP="00BC2EEF">
      <w:pPr>
        <w:spacing w:after="0" w:line="240" w:lineRule="auto"/>
        <w:rPr>
          <w:rFonts w:ascii="Arial" w:eastAsia="Times New Roman" w:hAnsi="Arial" w:cs="Times New Roman"/>
          <w:szCs w:val="20"/>
        </w:rPr>
      </w:pPr>
    </w:p>
    <w:p w14:paraId="0C40B16F" w14:textId="09F0B7D1" w:rsidR="00160D1F" w:rsidRPr="00C245E4" w:rsidRDefault="00160D1F" w:rsidP="00C245E4">
      <w:pPr>
        <w:spacing w:after="0" w:line="240" w:lineRule="auto"/>
        <w:rPr>
          <w:rFonts w:ascii="Arial" w:hAnsi="Arial"/>
        </w:rPr>
      </w:pPr>
      <w:r w:rsidRPr="00C245E4">
        <w:rPr>
          <w:rFonts w:ascii="Arial" w:hAnsi="Arial"/>
        </w:rPr>
        <w:t>For Q2</w:t>
      </w:r>
      <w:r w:rsidRPr="006B1548">
        <w:rPr>
          <w:rFonts w:ascii="Arial" w:hAnsi="Arial"/>
        </w:rPr>
        <w:t>, New Zealand is also at the ‘wrong end’ of the league table</w:t>
      </w:r>
      <w:r>
        <w:rPr>
          <w:rFonts w:ascii="Arial" w:hAnsi="Arial"/>
        </w:rPr>
        <w:t>s</w:t>
      </w:r>
      <w:r w:rsidR="00C245E4">
        <w:rPr>
          <w:rFonts w:ascii="Arial" w:hAnsi="Arial"/>
        </w:rPr>
        <w:t xml:space="preserve"> (</w:t>
      </w:r>
      <w:r w:rsidR="00C245E4" w:rsidRPr="00C245E4">
        <w:rPr>
          <w:rFonts w:ascii="Arial" w:hAnsi="Arial"/>
          <w:b/>
          <w:bCs/>
        </w:rPr>
        <w:t>Figure 5b</w:t>
      </w:r>
      <w:r w:rsidR="00C245E4">
        <w:rPr>
          <w:rFonts w:ascii="Arial" w:hAnsi="Arial"/>
        </w:rPr>
        <w:t xml:space="preserve">). </w:t>
      </w:r>
      <w:r w:rsidRPr="00C245E4">
        <w:rPr>
          <w:rFonts w:ascii="Arial" w:hAnsi="Arial"/>
        </w:rPr>
        <w:t xml:space="preserve">For those </w:t>
      </w:r>
      <w:r w:rsidR="00C245E4">
        <w:rPr>
          <w:rFonts w:ascii="Arial" w:hAnsi="Arial"/>
        </w:rPr>
        <w:t xml:space="preserve">in Q2 households </w:t>
      </w:r>
      <w:r w:rsidRPr="00C245E4">
        <w:rPr>
          <w:rFonts w:ascii="Arial" w:hAnsi="Arial"/>
        </w:rPr>
        <w:t xml:space="preserve">renting privately, 22% are in households that spend more than 40% of their income on HC, </w:t>
      </w:r>
      <w:r w:rsidR="00465BF2">
        <w:rPr>
          <w:rFonts w:ascii="Arial" w:hAnsi="Arial"/>
        </w:rPr>
        <w:t>lower than second-placed UK (26%)</w:t>
      </w:r>
      <w:r w:rsidRPr="00C245E4">
        <w:rPr>
          <w:rFonts w:ascii="Arial" w:hAnsi="Arial"/>
        </w:rPr>
        <w:t xml:space="preserve"> UK and</w:t>
      </w:r>
      <w:r w:rsidR="00465BF2">
        <w:rPr>
          <w:rFonts w:ascii="Arial" w:hAnsi="Arial"/>
        </w:rPr>
        <w:t xml:space="preserve"> higher than</w:t>
      </w:r>
      <w:r w:rsidRPr="00C245E4">
        <w:rPr>
          <w:rFonts w:ascii="Arial" w:hAnsi="Arial"/>
        </w:rPr>
        <w:t xml:space="preserve"> Spain</w:t>
      </w:r>
      <w:r w:rsidR="00465BF2">
        <w:rPr>
          <w:rFonts w:ascii="Arial" w:hAnsi="Arial"/>
        </w:rPr>
        <w:t xml:space="preserve"> (19%). </w:t>
      </w:r>
      <w:r w:rsidRPr="00C245E4">
        <w:rPr>
          <w:rFonts w:ascii="Arial" w:hAnsi="Arial"/>
        </w:rPr>
        <w:t xml:space="preserve">The </w:t>
      </w:r>
      <w:r w:rsidR="00465BF2">
        <w:rPr>
          <w:rFonts w:ascii="Arial" w:hAnsi="Arial"/>
        </w:rPr>
        <w:t>New Zealand rate is well more than double the OECD median rate of around 9% for</w:t>
      </w:r>
      <w:r w:rsidRPr="00C245E4">
        <w:rPr>
          <w:rFonts w:ascii="Arial" w:hAnsi="Arial"/>
        </w:rPr>
        <w:t xml:space="preserve"> Q2 renters</w:t>
      </w:r>
      <w:r w:rsidR="00465BF2">
        <w:rPr>
          <w:rFonts w:ascii="Arial" w:hAnsi="Arial"/>
        </w:rPr>
        <w:t>.</w:t>
      </w:r>
    </w:p>
    <w:p w14:paraId="33AE14A5" w14:textId="77777777" w:rsidR="00160D1F" w:rsidRDefault="00160D1F" w:rsidP="00BC2EEF">
      <w:pPr>
        <w:spacing w:after="0" w:line="240" w:lineRule="auto"/>
        <w:rPr>
          <w:rFonts w:ascii="Arial" w:eastAsia="Times New Roman" w:hAnsi="Arial" w:cs="Times New Roman"/>
          <w:szCs w:val="20"/>
        </w:rPr>
      </w:pPr>
    </w:p>
    <w:p w14:paraId="29F19CE8" w14:textId="77777777" w:rsidR="00BC2EEF" w:rsidRDefault="00BC2EEF" w:rsidP="00BC2EEF">
      <w:pPr>
        <w:spacing w:after="0" w:line="240" w:lineRule="auto"/>
        <w:rPr>
          <w:rFonts w:ascii="Arial" w:eastAsia="Times New Roman" w:hAnsi="Arial" w:cs="Times New Roman"/>
          <w:szCs w:val="20"/>
        </w:rPr>
      </w:pPr>
    </w:p>
    <w:p w14:paraId="3D66F351" w14:textId="77777777" w:rsidR="00BC2EEF" w:rsidRPr="006C6420" w:rsidRDefault="00BC2EEF" w:rsidP="00BC2EEF">
      <w:pPr>
        <w:spacing w:after="0" w:line="240" w:lineRule="auto"/>
        <w:rPr>
          <w:rFonts w:ascii="Arial" w:hAnsi="Arial"/>
        </w:rPr>
      </w:pPr>
    </w:p>
    <w:p w14:paraId="31914085" w14:textId="1A2D7863" w:rsidR="00BC2EEF" w:rsidRPr="006C1113" w:rsidRDefault="00BC2EEF" w:rsidP="00BC2EEF">
      <w:pPr>
        <w:spacing w:after="0" w:line="240" w:lineRule="auto"/>
        <w:jc w:val="center"/>
        <w:rPr>
          <w:rFonts w:ascii="Arial" w:hAnsi="Arial"/>
          <w:b/>
          <w:bCs/>
          <w:sz w:val="18"/>
          <w:szCs w:val="18"/>
        </w:rPr>
      </w:pPr>
      <w:r w:rsidRPr="006C1113">
        <w:rPr>
          <w:rFonts w:ascii="Arial" w:hAnsi="Arial"/>
          <w:b/>
          <w:bCs/>
          <w:sz w:val="18"/>
          <w:szCs w:val="18"/>
        </w:rPr>
        <w:t xml:space="preserve">Figure </w:t>
      </w:r>
      <w:r>
        <w:rPr>
          <w:rFonts w:ascii="Arial" w:hAnsi="Arial"/>
          <w:b/>
          <w:bCs/>
          <w:sz w:val="18"/>
          <w:szCs w:val="18"/>
        </w:rPr>
        <w:t>5</w:t>
      </w:r>
      <w:r w:rsidR="00160D1F">
        <w:rPr>
          <w:rFonts w:ascii="Arial" w:hAnsi="Arial"/>
          <w:b/>
          <w:bCs/>
          <w:sz w:val="18"/>
          <w:szCs w:val="18"/>
        </w:rPr>
        <w:t>a</w:t>
      </w:r>
    </w:p>
    <w:p w14:paraId="2C64FCD8" w14:textId="1E04BABC" w:rsidR="00BC2EEF" w:rsidRDefault="00DE3959" w:rsidP="00BC2EEF">
      <w:pPr>
        <w:spacing w:after="0" w:line="240" w:lineRule="auto"/>
        <w:jc w:val="center"/>
        <w:rPr>
          <w:rFonts w:ascii="Arial" w:hAnsi="Arial"/>
          <w:b/>
          <w:bCs/>
          <w:sz w:val="18"/>
          <w:szCs w:val="18"/>
        </w:rPr>
      </w:pPr>
      <w:r w:rsidRPr="003F22F5">
        <w:rPr>
          <w:noProof/>
        </w:rPr>
        <w:drawing>
          <wp:anchor distT="0" distB="0" distL="114300" distR="114300" simplePos="0" relativeHeight="251854848" behindDoc="0" locked="0" layoutInCell="1" allowOverlap="1" wp14:anchorId="367C87BA" wp14:editId="7E947808">
            <wp:simplePos x="0" y="0"/>
            <wp:positionH relativeFrom="column">
              <wp:posOffset>1085850</wp:posOffset>
            </wp:positionH>
            <wp:positionV relativeFrom="paragraph">
              <wp:posOffset>132715</wp:posOffset>
            </wp:positionV>
            <wp:extent cx="3442970" cy="224790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2970" cy="2247900"/>
                    </a:xfrm>
                    <a:prstGeom prst="rect">
                      <a:avLst/>
                    </a:prstGeom>
                  </pic:spPr>
                </pic:pic>
              </a:graphicData>
            </a:graphic>
            <wp14:sizeRelH relativeFrom="margin">
              <wp14:pctWidth>0</wp14:pctWidth>
            </wp14:sizeRelH>
            <wp14:sizeRelV relativeFrom="margin">
              <wp14:pctHeight>0</wp14:pctHeight>
            </wp14:sizeRelV>
          </wp:anchor>
        </w:drawing>
      </w:r>
      <w:r w:rsidR="00BC2EEF" w:rsidRPr="006C1113">
        <w:rPr>
          <w:rFonts w:ascii="Arial" w:hAnsi="Arial"/>
          <w:b/>
          <w:bCs/>
          <w:sz w:val="18"/>
          <w:szCs w:val="18"/>
        </w:rPr>
        <w:t>Q1</w:t>
      </w:r>
      <w:r w:rsidR="00BC2EEF">
        <w:rPr>
          <w:rFonts w:ascii="Arial" w:hAnsi="Arial"/>
          <w:b/>
          <w:bCs/>
          <w:sz w:val="18"/>
          <w:szCs w:val="18"/>
        </w:rPr>
        <w:t>,</w:t>
      </w:r>
      <w:r w:rsidR="00BC2EEF" w:rsidRPr="006C1113">
        <w:rPr>
          <w:rFonts w:ascii="Arial" w:hAnsi="Arial"/>
          <w:b/>
          <w:bCs/>
          <w:sz w:val="18"/>
          <w:szCs w:val="18"/>
        </w:rPr>
        <w:t xml:space="preserve"> </w:t>
      </w:r>
      <w:r w:rsidR="00BC2EEF">
        <w:rPr>
          <w:rFonts w:ascii="Arial" w:hAnsi="Arial"/>
          <w:b/>
          <w:bCs/>
          <w:sz w:val="18"/>
          <w:szCs w:val="18"/>
        </w:rPr>
        <w:t xml:space="preserve">renting privately, spending more than 40% of income on rent, c.2018 </w:t>
      </w:r>
      <w:r w:rsidR="00126D6C">
        <w:rPr>
          <w:rFonts w:ascii="Arial" w:hAnsi="Arial"/>
          <w:b/>
          <w:bCs/>
          <w:sz w:val="18"/>
          <w:szCs w:val="18"/>
        </w:rPr>
        <w:t>(OECD)</w:t>
      </w:r>
    </w:p>
    <w:p w14:paraId="3944ABBB" w14:textId="7E94666B" w:rsidR="00BC2EEF" w:rsidRPr="006C1113" w:rsidRDefault="00BC2EEF" w:rsidP="00BC2EEF">
      <w:pPr>
        <w:spacing w:after="0" w:line="240" w:lineRule="auto"/>
        <w:jc w:val="center"/>
        <w:rPr>
          <w:rFonts w:ascii="Arial" w:hAnsi="Arial"/>
          <w:b/>
          <w:bCs/>
          <w:sz w:val="18"/>
          <w:szCs w:val="18"/>
        </w:rPr>
      </w:pPr>
    </w:p>
    <w:p w14:paraId="46E25A7D" w14:textId="0315DD04" w:rsidR="00B51308" w:rsidRDefault="00B51308" w:rsidP="00160D1F">
      <w:pPr>
        <w:spacing w:after="0" w:line="240" w:lineRule="auto"/>
        <w:jc w:val="center"/>
        <w:rPr>
          <w:rFonts w:ascii="Arial" w:hAnsi="Arial"/>
          <w:b/>
          <w:bCs/>
          <w:sz w:val="18"/>
          <w:szCs w:val="18"/>
        </w:rPr>
      </w:pPr>
    </w:p>
    <w:p w14:paraId="63CAAA91" w14:textId="62392F8F" w:rsidR="00160D1F" w:rsidRPr="006C1113" w:rsidRDefault="00160D1F" w:rsidP="00160D1F">
      <w:pPr>
        <w:spacing w:after="0" w:line="240" w:lineRule="auto"/>
        <w:jc w:val="center"/>
        <w:rPr>
          <w:rFonts w:ascii="Arial" w:hAnsi="Arial"/>
          <w:b/>
          <w:bCs/>
          <w:sz w:val="18"/>
          <w:szCs w:val="18"/>
        </w:rPr>
      </w:pPr>
      <w:r w:rsidRPr="006C1113">
        <w:rPr>
          <w:rFonts w:ascii="Arial" w:hAnsi="Arial"/>
          <w:b/>
          <w:bCs/>
          <w:sz w:val="18"/>
          <w:szCs w:val="18"/>
        </w:rPr>
        <w:t xml:space="preserve">Figure </w:t>
      </w:r>
      <w:r>
        <w:rPr>
          <w:rFonts w:ascii="Arial" w:hAnsi="Arial"/>
          <w:b/>
          <w:bCs/>
          <w:sz w:val="18"/>
          <w:szCs w:val="18"/>
        </w:rPr>
        <w:t>5b</w:t>
      </w:r>
    </w:p>
    <w:p w14:paraId="70FE789B" w14:textId="3D88645A" w:rsidR="00160D1F" w:rsidRDefault="00160D1F" w:rsidP="00160D1F">
      <w:pPr>
        <w:spacing w:after="0" w:line="240" w:lineRule="auto"/>
        <w:jc w:val="center"/>
        <w:rPr>
          <w:rFonts w:ascii="Arial" w:hAnsi="Arial"/>
          <w:b/>
          <w:bCs/>
          <w:sz w:val="18"/>
          <w:szCs w:val="18"/>
        </w:rPr>
      </w:pPr>
      <w:r w:rsidRPr="006C1113">
        <w:rPr>
          <w:rFonts w:ascii="Arial" w:hAnsi="Arial"/>
          <w:b/>
          <w:bCs/>
          <w:sz w:val="18"/>
          <w:szCs w:val="18"/>
        </w:rPr>
        <w:t>Q</w:t>
      </w:r>
      <w:r w:rsidR="00B51308">
        <w:rPr>
          <w:rFonts w:ascii="Arial" w:hAnsi="Arial"/>
          <w:b/>
          <w:bCs/>
          <w:sz w:val="18"/>
          <w:szCs w:val="18"/>
        </w:rPr>
        <w:t>2</w:t>
      </w:r>
      <w:r>
        <w:rPr>
          <w:rFonts w:ascii="Arial" w:hAnsi="Arial"/>
          <w:b/>
          <w:bCs/>
          <w:sz w:val="18"/>
          <w:szCs w:val="18"/>
        </w:rPr>
        <w:t>,</w:t>
      </w:r>
      <w:r w:rsidRPr="006C1113">
        <w:rPr>
          <w:rFonts w:ascii="Arial" w:hAnsi="Arial"/>
          <w:b/>
          <w:bCs/>
          <w:sz w:val="18"/>
          <w:szCs w:val="18"/>
        </w:rPr>
        <w:t xml:space="preserve"> </w:t>
      </w:r>
      <w:r>
        <w:rPr>
          <w:rFonts w:ascii="Arial" w:hAnsi="Arial"/>
          <w:b/>
          <w:bCs/>
          <w:sz w:val="18"/>
          <w:szCs w:val="18"/>
        </w:rPr>
        <w:t xml:space="preserve">renting privately, spending more than 40% of income on rent, c.2018 </w:t>
      </w:r>
      <w:r w:rsidR="00126D6C">
        <w:rPr>
          <w:rFonts w:ascii="Arial" w:hAnsi="Arial"/>
          <w:b/>
          <w:bCs/>
          <w:sz w:val="18"/>
          <w:szCs w:val="18"/>
        </w:rPr>
        <w:t>(OECD)</w:t>
      </w:r>
    </w:p>
    <w:p w14:paraId="34BA2282" w14:textId="08516617" w:rsidR="00160D1F" w:rsidRDefault="005E132B">
      <w:pPr>
        <w:spacing w:after="0" w:line="240" w:lineRule="auto"/>
        <w:rPr>
          <w:rFonts w:ascii="Arial" w:eastAsia="Times New Roman" w:hAnsi="Arial" w:cs="Times New Roman"/>
          <w:szCs w:val="20"/>
        </w:rPr>
      </w:pPr>
      <w:r w:rsidRPr="005E132B">
        <w:rPr>
          <w:noProof/>
        </w:rPr>
        <w:drawing>
          <wp:anchor distT="0" distB="0" distL="114300" distR="114300" simplePos="0" relativeHeight="251822080" behindDoc="0" locked="0" layoutInCell="1" allowOverlap="1" wp14:anchorId="3FD11A43" wp14:editId="2C086FF3">
            <wp:simplePos x="0" y="0"/>
            <wp:positionH relativeFrom="column">
              <wp:posOffset>1168400</wp:posOffset>
            </wp:positionH>
            <wp:positionV relativeFrom="paragraph">
              <wp:posOffset>99695</wp:posOffset>
            </wp:positionV>
            <wp:extent cx="3318510" cy="21653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8510" cy="2165350"/>
                    </a:xfrm>
                    <a:prstGeom prst="rect">
                      <a:avLst/>
                    </a:prstGeom>
                  </pic:spPr>
                </pic:pic>
              </a:graphicData>
            </a:graphic>
            <wp14:sizeRelH relativeFrom="margin">
              <wp14:pctWidth>0</wp14:pctWidth>
            </wp14:sizeRelH>
            <wp14:sizeRelV relativeFrom="margin">
              <wp14:pctHeight>0</wp14:pctHeight>
            </wp14:sizeRelV>
          </wp:anchor>
        </w:drawing>
      </w:r>
    </w:p>
    <w:p w14:paraId="35AEF42A" w14:textId="68B87AF1" w:rsidR="00160D1F" w:rsidRDefault="00160D1F">
      <w:pPr>
        <w:spacing w:after="0" w:line="240" w:lineRule="auto"/>
        <w:rPr>
          <w:rFonts w:ascii="Arial" w:eastAsia="Times New Roman" w:hAnsi="Arial" w:cs="Times New Roman"/>
          <w:szCs w:val="20"/>
        </w:rPr>
      </w:pPr>
      <w:r>
        <w:rPr>
          <w:rFonts w:ascii="Arial" w:eastAsia="Times New Roman" w:hAnsi="Arial" w:cs="Times New Roman"/>
          <w:szCs w:val="20"/>
        </w:rPr>
        <w:br w:type="page"/>
      </w:r>
    </w:p>
    <w:p w14:paraId="4D029D5D" w14:textId="40F6ABE6" w:rsidR="00C245E4" w:rsidRDefault="00160D1F" w:rsidP="00160D1F">
      <w:pPr>
        <w:spacing w:after="0" w:line="240" w:lineRule="auto"/>
        <w:rPr>
          <w:rFonts w:ascii="Arial" w:eastAsia="Times New Roman" w:hAnsi="Arial" w:cs="Times New Roman"/>
          <w:szCs w:val="20"/>
        </w:rPr>
      </w:pPr>
      <w:r>
        <w:rPr>
          <w:rFonts w:ascii="Arial" w:eastAsia="Times New Roman" w:hAnsi="Arial" w:cs="Times New Roman"/>
          <w:szCs w:val="20"/>
        </w:rPr>
        <w:lastRenderedPageBreak/>
        <w:t xml:space="preserve">For those in low-income (Q1) </w:t>
      </w:r>
      <w:r w:rsidRPr="00D76795">
        <w:rPr>
          <w:rFonts w:ascii="Arial" w:eastAsia="Times New Roman" w:hAnsi="Arial" w:cs="Times New Roman"/>
          <w:szCs w:val="20"/>
        </w:rPr>
        <w:t xml:space="preserve">households </w:t>
      </w:r>
      <w:r w:rsidRPr="0099249E">
        <w:rPr>
          <w:rFonts w:ascii="Arial" w:eastAsia="Times New Roman" w:hAnsi="Arial" w:cs="Times New Roman"/>
          <w:szCs w:val="20"/>
          <w:u w:val="single"/>
        </w:rPr>
        <w:t>with a mortgage</w:t>
      </w:r>
      <w:r>
        <w:rPr>
          <w:rFonts w:ascii="Arial" w:eastAsia="Times New Roman" w:hAnsi="Arial" w:cs="Times New Roman"/>
          <w:szCs w:val="20"/>
        </w:rPr>
        <w:t>, around 30% spend more than 40% of their income on mortgage repayments, similar to the UK, but above Australia (24%) and well above many other European countries with whom we usually compare ourselves</w:t>
      </w:r>
      <w:r w:rsidR="00CC4B5D">
        <w:rPr>
          <w:rFonts w:ascii="Arial" w:eastAsia="Times New Roman" w:hAnsi="Arial" w:cs="Times New Roman"/>
          <w:szCs w:val="20"/>
        </w:rPr>
        <w:t xml:space="preserve"> (</w:t>
      </w:r>
      <w:r w:rsidR="00CC4B5D" w:rsidRPr="00CC4B5D">
        <w:rPr>
          <w:rFonts w:ascii="Arial" w:eastAsia="Times New Roman" w:hAnsi="Arial" w:cs="Times New Roman"/>
          <w:b/>
          <w:bCs/>
          <w:szCs w:val="20"/>
        </w:rPr>
        <w:t>Figure 6a</w:t>
      </w:r>
      <w:r w:rsidR="00CC4B5D">
        <w:rPr>
          <w:rFonts w:ascii="Arial" w:eastAsia="Times New Roman" w:hAnsi="Arial" w:cs="Times New Roman"/>
          <w:szCs w:val="20"/>
        </w:rPr>
        <w:t>)</w:t>
      </w:r>
      <w:r>
        <w:rPr>
          <w:rFonts w:ascii="Arial" w:eastAsia="Times New Roman" w:hAnsi="Arial" w:cs="Times New Roman"/>
          <w:szCs w:val="20"/>
        </w:rPr>
        <w:t xml:space="preserve">. </w:t>
      </w:r>
    </w:p>
    <w:p w14:paraId="75E59335" w14:textId="1AE36054" w:rsidR="00C245E4" w:rsidRDefault="00C245E4" w:rsidP="00160D1F">
      <w:pPr>
        <w:spacing w:after="0" w:line="240" w:lineRule="auto"/>
        <w:rPr>
          <w:rFonts w:ascii="Arial" w:eastAsia="Times New Roman" w:hAnsi="Arial" w:cs="Times New Roman"/>
          <w:szCs w:val="20"/>
        </w:rPr>
      </w:pPr>
    </w:p>
    <w:p w14:paraId="1A7D06CB" w14:textId="66A7C922" w:rsidR="00BC2EEF" w:rsidRPr="006C1113" w:rsidRDefault="00BC2EEF" w:rsidP="009F6D92">
      <w:pPr>
        <w:spacing w:after="0" w:line="240" w:lineRule="auto"/>
        <w:jc w:val="center"/>
        <w:rPr>
          <w:rFonts w:ascii="Arial" w:hAnsi="Arial"/>
          <w:b/>
          <w:sz w:val="18"/>
          <w:szCs w:val="18"/>
        </w:rPr>
      </w:pPr>
      <w:r w:rsidRPr="006C1113">
        <w:rPr>
          <w:rFonts w:ascii="Arial" w:hAnsi="Arial"/>
          <w:b/>
          <w:sz w:val="18"/>
          <w:szCs w:val="18"/>
        </w:rPr>
        <w:t xml:space="preserve">Figure </w:t>
      </w:r>
      <w:r>
        <w:rPr>
          <w:rFonts w:ascii="Arial" w:hAnsi="Arial"/>
          <w:b/>
          <w:sz w:val="18"/>
          <w:szCs w:val="18"/>
        </w:rPr>
        <w:t>6</w:t>
      </w:r>
      <w:r w:rsidR="009F6D92">
        <w:rPr>
          <w:rFonts w:ascii="Arial" w:hAnsi="Arial"/>
          <w:b/>
          <w:sz w:val="18"/>
          <w:szCs w:val="18"/>
        </w:rPr>
        <w:t>a</w:t>
      </w:r>
    </w:p>
    <w:p w14:paraId="497A55C3" w14:textId="4301AC89" w:rsidR="00BC2EEF" w:rsidRPr="00D66566" w:rsidRDefault="00CC4B5D" w:rsidP="009F6D92">
      <w:pPr>
        <w:spacing w:after="0" w:line="240" w:lineRule="auto"/>
        <w:jc w:val="center"/>
        <w:rPr>
          <w:rFonts w:ascii="Arial" w:hAnsi="Arial"/>
          <w:b/>
          <w:color w:val="FF0000"/>
          <w:sz w:val="18"/>
          <w:szCs w:val="18"/>
        </w:rPr>
      </w:pPr>
      <w:r w:rsidRPr="009F6D92">
        <w:rPr>
          <w:noProof/>
        </w:rPr>
        <w:drawing>
          <wp:anchor distT="0" distB="0" distL="114300" distR="114300" simplePos="0" relativeHeight="251828224" behindDoc="0" locked="0" layoutInCell="1" allowOverlap="1" wp14:anchorId="5A7F2D78" wp14:editId="08A0E5F3">
            <wp:simplePos x="0" y="0"/>
            <wp:positionH relativeFrom="column">
              <wp:posOffset>1168400</wp:posOffset>
            </wp:positionH>
            <wp:positionV relativeFrom="paragraph">
              <wp:posOffset>193675</wp:posOffset>
            </wp:positionV>
            <wp:extent cx="3397250" cy="22174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7250" cy="2217420"/>
                    </a:xfrm>
                    <a:prstGeom prst="rect">
                      <a:avLst/>
                    </a:prstGeom>
                  </pic:spPr>
                </pic:pic>
              </a:graphicData>
            </a:graphic>
            <wp14:sizeRelH relativeFrom="margin">
              <wp14:pctWidth>0</wp14:pctWidth>
            </wp14:sizeRelH>
            <wp14:sizeRelV relativeFrom="margin">
              <wp14:pctHeight>0</wp14:pctHeight>
            </wp14:sizeRelV>
          </wp:anchor>
        </w:drawing>
      </w:r>
      <w:r w:rsidR="00BC2EEF" w:rsidRPr="006C1113">
        <w:rPr>
          <w:rFonts w:ascii="Arial" w:hAnsi="Arial"/>
          <w:b/>
          <w:sz w:val="18"/>
          <w:szCs w:val="18"/>
        </w:rPr>
        <w:t>Q</w:t>
      </w:r>
      <w:r w:rsidR="009F6D92">
        <w:rPr>
          <w:rFonts w:ascii="Arial" w:hAnsi="Arial"/>
          <w:b/>
          <w:sz w:val="18"/>
          <w:szCs w:val="18"/>
        </w:rPr>
        <w:t>1</w:t>
      </w:r>
      <w:r w:rsidR="00BC2EEF">
        <w:rPr>
          <w:rFonts w:ascii="Arial" w:hAnsi="Arial"/>
          <w:b/>
          <w:sz w:val="18"/>
          <w:szCs w:val="18"/>
        </w:rPr>
        <w:t>,</w:t>
      </w:r>
      <w:r w:rsidR="00BC2EEF" w:rsidRPr="006C1113">
        <w:rPr>
          <w:rFonts w:ascii="Arial" w:hAnsi="Arial"/>
          <w:b/>
          <w:sz w:val="18"/>
          <w:szCs w:val="18"/>
        </w:rPr>
        <w:t xml:space="preserve"> owne</w:t>
      </w:r>
      <w:r w:rsidR="00BC2EEF">
        <w:rPr>
          <w:rFonts w:ascii="Arial" w:hAnsi="Arial"/>
          <w:b/>
          <w:sz w:val="18"/>
          <w:szCs w:val="18"/>
        </w:rPr>
        <w:t>d</w:t>
      </w:r>
      <w:r w:rsidR="00BC2EEF" w:rsidRPr="006C1113">
        <w:rPr>
          <w:rFonts w:ascii="Arial" w:hAnsi="Arial"/>
          <w:b/>
          <w:sz w:val="18"/>
          <w:szCs w:val="18"/>
        </w:rPr>
        <w:t xml:space="preserve"> with a mortgage</w:t>
      </w:r>
      <w:r w:rsidR="00BC2EEF">
        <w:rPr>
          <w:rFonts w:ascii="Arial" w:hAnsi="Arial"/>
          <w:b/>
          <w:sz w:val="18"/>
          <w:szCs w:val="18"/>
        </w:rPr>
        <w:t xml:space="preserve">, </w:t>
      </w:r>
      <w:r w:rsidR="00BC2EEF">
        <w:rPr>
          <w:rFonts w:ascii="Arial" w:hAnsi="Arial"/>
          <w:b/>
          <w:bCs/>
          <w:sz w:val="18"/>
          <w:szCs w:val="18"/>
        </w:rPr>
        <w:t>spending more than 40% of income on mortgage repayments,</w:t>
      </w:r>
      <w:r w:rsidR="00BC2EEF">
        <w:rPr>
          <w:rFonts w:ascii="Arial" w:hAnsi="Arial"/>
          <w:b/>
          <w:sz w:val="18"/>
          <w:szCs w:val="18"/>
        </w:rPr>
        <w:t xml:space="preserve"> c.2018</w:t>
      </w:r>
      <w:r w:rsidR="002F6FD7">
        <w:rPr>
          <w:rFonts w:ascii="Arial" w:hAnsi="Arial"/>
          <w:b/>
          <w:sz w:val="18"/>
          <w:szCs w:val="18"/>
        </w:rPr>
        <w:t xml:space="preserve"> (OECD)</w:t>
      </w:r>
    </w:p>
    <w:p w14:paraId="52459573" w14:textId="58839D5E" w:rsidR="00D66566" w:rsidRPr="006C1113" w:rsidRDefault="00D66566" w:rsidP="00BC2EEF">
      <w:pPr>
        <w:spacing w:after="0" w:line="240" w:lineRule="auto"/>
        <w:jc w:val="center"/>
        <w:rPr>
          <w:rFonts w:ascii="Arial" w:hAnsi="Arial"/>
          <w:b/>
          <w:sz w:val="18"/>
          <w:szCs w:val="18"/>
        </w:rPr>
      </w:pPr>
    </w:p>
    <w:p w14:paraId="2B7A41FE" w14:textId="64EF023C" w:rsidR="00D2435C" w:rsidRPr="0062231F" w:rsidRDefault="002E6E61" w:rsidP="00D2435C">
      <w:pPr>
        <w:spacing w:after="0" w:line="240" w:lineRule="auto"/>
        <w:rPr>
          <w:rFonts w:ascii="Arial" w:eastAsia="Times New Roman" w:hAnsi="Arial" w:cs="Times New Roman"/>
          <w:bCs/>
          <w:color w:val="FF0000"/>
          <w:szCs w:val="20"/>
          <w:lang w:val="en-GB"/>
        </w:rPr>
      </w:pPr>
      <w:bookmarkStart w:id="12" w:name="_Hlk83788906"/>
      <w:r w:rsidRPr="002E6E61">
        <w:rPr>
          <w:rFonts w:ascii="Arial" w:eastAsia="Times New Roman" w:hAnsi="Arial" w:cs="Times New Roman"/>
          <w:bCs/>
          <w:szCs w:val="20"/>
          <w:lang w:val="en-GB"/>
        </w:rPr>
        <w:t>A q</w:t>
      </w:r>
      <w:r w:rsidR="00126D6C" w:rsidRPr="002E6E61">
        <w:rPr>
          <w:rFonts w:ascii="Arial" w:eastAsia="Times New Roman" w:hAnsi="Arial" w:cs="Times New Roman"/>
          <w:bCs/>
          <w:szCs w:val="20"/>
          <w:lang w:val="en-GB"/>
        </w:rPr>
        <w:t>uarter of mortgaged households</w:t>
      </w:r>
      <w:r w:rsidR="00D2435C" w:rsidRPr="002E6E61">
        <w:rPr>
          <w:rFonts w:ascii="Arial" w:eastAsia="Times New Roman" w:hAnsi="Arial" w:cs="Times New Roman"/>
          <w:bCs/>
          <w:szCs w:val="20"/>
          <w:lang w:val="en-GB"/>
        </w:rPr>
        <w:t xml:space="preserve"> in Q1 are older New Zealanders, many of whom will have been in the same house for many years and have only modest mortgage repayments</w:t>
      </w:r>
      <w:r w:rsidRPr="002E6E61">
        <w:rPr>
          <w:rFonts w:ascii="Arial" w:eastAsia="Times New Roman" w:hAnsi="Arial" w:cs="Times New Roman"/>
          <w:bCs/>
          <w:szCs w:val="20"/>
          <w:lang w:val="en-GB"/>
        </w:rPr>
        <w:t xml:space="preserve"> relative to most low-income under 65s</w:t>
      </w:r>
      <w:r w:rsidR="00D2435C" w:rsidRPr="002E6E61">
        <w:rPr>
          <w:rFonts w:ascii="Arial" w:eastAsia="Times New Roman" w:hAnsi="Arial" w:cs="Times New Roman"/>
          <w:bCs/>
          <w:szCs w:val="20"/>
          <w:lang w:val="en-GB"/>
        </w:rPr>
        <w:t>.</w:t>
      </w:r>
      <w:r w:rsidR="00126D6C" w:rsidRPr="002E6E61">
        <w:rPr>
          <w:rFonts w:ascii="Arial" w:eastAsia="Times New Roman" w:hAnsi="Arial" w:cs="Times New Roman"/>
          <w:bCs/>
          <w:szCs w:val="20"/>
          <w:lang w:val="en-GB"/>
        </w:rPr>
        <w:t xml:space="preserve"> This exerts downward pressure on the OTI &gt; 40% rate</w:t>
      </w:r>
      <w:r w:rsidRPr="002E6E61">
        <w:rPr>
          <w:rFonts w:ascii="Arial" w:eastAsia="Times New Roman" w:hAnsi="Arial" w:cs="Times New Roman"/>
          <w:bCs/>
          <w:szCs w:val="20"/>
          <w:lang w:val="en-GB"/>
        </w:rPr>
        <w:t xml:space="preserve"> for Q1</w:t>
      </w:r>
      <w:r w:rsidR="00126D6C" w:rsidRPr="002E6E61">
        <w:rPr>
          <w:rFonts w:ascii="Arial" w:eastAsia="Times New Roman" w:hAnsi="Arial" w:cs="Times New Roman"/>
          <w:bCs/>
          <w:szCs w:val="20"/>
          <w:lang w:val="en-GB"/>
        </w:rPr>
        <w:t>.</w:t>
      </w:r>
      <w:r w:rsidR="004C44A1" w:rsidRPr="002E6E61">
        <w:rPr>
          <w:rStyle w:val="FootnoteReference"/>
          <w:rFonts w:ascii="Arial" w:eastAsia="Times New Roman" w:hAnsi="Arial" w:cs="Times New Roman"/>
          <w:bCs/>
          <w:szCs w:val="20"/>
          <w:lang w:val="en-GB"/>
        </w:rPr>
        <w:footnoteReference w:id="19"/>
      </w:r>
      <w:r w:rsidR="00D2435C" w:rsidRPr="002E6E61">
        <w:rPr>
          <w:rFonts w:ascii="Arial" w:eastAsia="Times New Roman" w:hAnsi="Arial" w:cs="Times New Roman"/>
          <w:bCs/>
          <w:szCs w:val="20"/>
          <w:lang w:val="en-GB"/>
        </w:rPr>
        <w:t xml:space="preserve"> </w:t>
      </w:r>
      <w:r w:rsidR="0062231F" w:rsidRPr="002E6E61">
        <w:rPr>
          <w:rFonts w:ascii="Arial" w:eastAsia="Times New Roman" w:hAnsi="Arial" w:cs="Times New Roman"/>
          <w:bCs/>
          <w:szCs w:val="20"/>
          <w:lang w:val="en-GB"/>
        </w:rPr>
        <w:t xml:space="preserve"> </w:t>
      </w:r>
      <w:bookmarkStart w:id="13" w:name="_Hlk85641977"/>
      <w:r w:rsidRPr="002E6E61">
        <w:rPr>
          <w:rFonts w:ascii="Arial" w:eastAsia="Times New Roman" w:hAnsi="Arial" w:cs="Times New Roman"/>
          <w:szCs w:val="20"/>
        </w:rPr>
        <w:t>As</w:t>
      </w:r>
      <w:r>
        <w:rPr>
          <w:rFonts w:ascii="Arial" w:eastAsia="Times New Roman" w:hAnsi="Arial" w:cs="Times New Roman"/>
          <w:szCs w:val="20"/>
        </w:rPr>
        <w:t xml:space="preserve"> noted above, the households-with-mortgage group in Q1 is relatively small (only 1</w:t>
      </w:r>
      <w:r w:rsidR="0063207C">
        <w:rPr>
          <w:rFonts w:ascii="Arial" w:eastAsia="Times New Roman" w:hAnsi="Arial" w:cs="Times New Roman"/>
          <w:szCs w:val="20"/>
        </w:rPr>
        <w:t>4</w:t>
      </w:r>
      <w:r>
        <w:rPr>
          <w:rFonts w:ascii="Arial" w:eastAsia="Times New Roman" w:hAnsi="Arial" w:cs="Times New Roman"/>
          <w:szCs w:val="20"/>
        </w:rPr>
        <w:t xml:space="preserve">% of all Q1 </w:t>
      </w:r>
      <w:r w:rsidRPr="003473FD">
        <w:rPr>
          <w:rFonts w:ascii="Arial" w:eastAsia="Times New Roman" w:hAnsi="Arial" w:cs="Times New Roman"/>
          <w:szCs w:val="20"/>
        </w:rPr>
        <w:t>households – see Table 1)</w:t>
      </w:r>
      <w:r>
        <w:rPr>
          <w:rFonts w:ascii="Arial" w:eastAsia="Times New Roman" w:hAnsi="Arial" w:cs="Times New Roman"/>
          <w:szCs w:val="20"/>
        </w:rPr>
        <w:t xml:space="preserve"> which means there is a sizeable sampling error / degree of uncertainty about the figures and precise rankings.</w:t>
      </w:r>
    </w:p>
    <w:bookmarkEnd w:id="12"/>
    <w:bookmarkEnd w:id="13"/>
    <w:p w14:paraId="3F7B1CAE" w14:textId="77777777" w:rsidR="00CC4B5D" w:rsidRDefault="00CC4B5D" w:rsidP="00CC4B5D">
      <w:pPr>
        <w:spacing w:after="0" w:line="240" w:lineRule="auto"/>
        <w:rPr>
          <w:rFonts w:ascii="Arial" w:eastAsia="Times New Roman" w:hAnsi="Arial" w:cs="Times New Roman"/>
          <w:szCs w:val="20"/>
        </w:rPr>
      </w:pPr>
    </w:p>
    <w:p w14:paraId="7108075D" w14:textId="0F2C5B2D" w:rsidR="00CC4B5D" w:rsidRDefault="00CC4B5D" w:rsidP="00CC4B5D">
      <w:pPr>
        <w:spacing w:after="0" w:line="240" w:lineRule="auto"/>
        <w:rPr>
          <w:rFonts w:ascii="Arial" w:eastAsia="Times New Roman" w:hAnsi="Arial" w:cs="Times New Roman"/>
          <w:szCs w:val="20"/>
        </w:rPr>
      </w:pPr>
      <w:r w:rsidRPr="0013469A">
        <w:rPr>
          <w:rFonts w:ascii="Arial" w:eastAsia="Times New Roman" w:hAnsi="Arial" w:cs="Times New Roman"/>
          <w:b/>
          <w:bCs/>
          <w:szCs w:val="20"/>
        </w:rPr>
        <w:t>Figure 6</w:t>
      </w:r>
      <w:r>
        <w:rPr>
          <w:rFonts w:ascii="Arial" w:eastAsia="Times New Roman" w:hAnsi="Arial" w:cs="Times New Roman"/>
          <w:b/>
          <w:bCs/>
          <w:szCs w:val="20"/>
        </w:rPr>
        <w:t>b</w:t>
      </w:r>
      <w:r>
        <w:rPr>
          <w:rFonts w:ascii="Arial" w:eastAsia="Times New Roman" w:hAnsi="Arial" w:cs="Times New Roman"/>
          <w:szCs w:val="20"/>
        </w:rPr>
        <w:t xml:space="preserve"> below uses Q2 households to report on New Zealand’s ranking for housing stress for those in owned-with-mortgage </w:t>
      </w:r>
      <w:r w:rsidR="00ED3CB2">
        <w:rPr>
          <w:rFonts w:ascii="Arial" w:eastAsia="Times New Roman" w:hAnsi="Arial" w:cs="Times New Roman"/>
          <w:szCs w:val="20"/>
        </w:rPr>
        <w:t>household</w:t>
      </w:r>
      <w:r w:rsidR="00465BF2">
        <w:rPr>
          <w:rFonts w:ascii="Arial" w:eastAsia="Times New Roman" w:hAnsi="Arial" w:cs="Times New Roman"/>
          <w:szCs w:val="20"/>
        </w:rPr>
        <w:t>s.</w:t>
      </w:r>
      <w:r w:rsidR="00ED3CB2">
        <w:rPr>
          <w:rFonts w:ascii="Arial" w:eastAsia="Times New Roman" w:hAnsi="Arial" w:cs="Times New Roman"/>
          <w:szCs w:val="20"/>
        </w:rPr>
        <w:t xml:space="preserve"> </w:t>
      </w:r>
      <w:r>
        <w:rPr>
          <w:rFonts w:ascii="Arial" w:eastAsia="Times New Roman" w:hAnsi="Arial" w:cs="Times New Roman"/>
          <w:szCs w:val="20"/>
        </w:rPr>
        <w:t>The numbers and rankings are much more reliable here.</w:t>
      </w:r>
    </w:p>
    <w:p w14:paraId="5C0F77EA" w14:textId="15656844" w:rsidR="00CC4B5D" w:rsidRDefault="00CC4B5D" w:rsidP="00CC4B5D">
      <w:pPr>
        <w:spacing w:after="0" w:line="240" w:lineRule="auto"/>
        <w:rPr>
          <w:rFonts w:ascii="Arial" w:eastAsia="Times New Roman" w:hAnsi="Arial" w:cs="Times New Roman"/>
          <w:szCs w:val="20"/>
        </w:rPr>
      </w:pPr>
    </w:p>
    <w:p w14:paraId="01E3B191" w14:textId="6C93FF12" w:rsidR="009F6D92" w:rsidRPr="00CC4B5D" w:rsidRDefault="009F6D92" w:rsidP="004C44A1">
      <w:pPr>
        <w:spacing w:after="0" w:line="240" w:lineRule="auto"/>
        <w:rPr>
          <w:rFonts w:ascii="Arial" w:hAnsi="Arial"/>
          <w:color w:val="000000" w:themeColor="text1"/>
        </w:rPr>
      </w:pPr>
      <w:r w:rsidRPr="00CC4B5D">
        <w:rPr>
          <w:rFonts w:ascii="Arial" w:hAnsi="Arial"/>
          <w:color w:val="000000" w:themeColor="text1"/>
        </w:rPr>
        <w:t xml:space="preserve">For </w:t>
      </w:r>
      <w:r w:rsidR="00CC4B5D">
        <w:rPr>
          <w:rFonts w:ascii="Arial" w:hAnsi="Arial"/>
          <w:color w:val="000000" w:themeColor="text1"/>
        </w:rPr>
        <w:t>those in Q2 households and making mortgage repayments</w:t>
      </w:r>
      <w:r w:rsidRPr="00CC4B5D">
        <w:rPr>
          <w:rFonts w:ascii="Arial" w:hAnsi="Arial"/>
          <w:color w:val="000000" w:themeColor="text1"/>
        </w:rPr>
        <w:t xml:space="preserve">, 17% spend more than 40% of their income on </w:t>
      </w:r>
      <w:r w:rsidR="00CC4B5D">
        <w:rPr>
          <w:rFonts w:ascii="Arial" w:hAnsi="Arial"/>
          <w:color w:val="000000" w:themeColor="text1"/>
        </w:rPr>
        <w:t>h</w:t>
      </w:r>
      <w:r w:rsidR="00CC4B5D" w:rsidRPr="00885387">
        <w:rPr>
          <w:rFonts w:ascii="Arial" w:hAnsi="Arial"/>
          <w:color w:val="000000" w:themeColor="text1"/>
        </w:rPr>
        <w:t>ousing costs</w:t>
      </w:r>
      <w:r w:rsidRPr="00885387">
        <w:rPr>
          <w:rFonts w:ascii="Arial" w:hAnsi="Arial"/>
          <w:color w:val="000000" w:themeColor="text1"/>
        </w:rPr>
        <w:t>, third highest after Greece (30%) and Luxembourg (21%)</w:t>
      </w:r>
      <w:r w:rsidR="00465BF2" w:rsidRPr="00885387">
        <w:rPr>
          <w:rFonts w:ascii="Arial" w:hAnsi="Arial"/>
          <w:color w:val="000000" w:themeColor="text1"/>
        </w:rPr>
        <w:t xml:space="preserve"> (not shown in the chart)</w:t>
      </w:r>
      <w:r w:rsidRPr="00885387">
        <w:rPr>
          <w:rFonts w:ascii="Arial" w:hAnsi="Arial"/>
          <w:color w:val="000000" w:themeColor="text1"/>
        </w:rPr>
        <w:t>, higher</w:t>
      </w:r>
      <w:r w:rsidRPr="00CC4B5D">
        <w:rPr>
          <w:rFonts w:ascii="Arial" w:hAnsi="Arial"/>
          <w:color w:val="000000" w:themeColor="text1"/>
        </w:rPr>
        <w:t xml:space="preserve"> than Australia (14%) and Canada (12%), and well above the UK, France and Norway (5-6%). The OECD median for Q2 owners with a mortgage is around 7%.</w:t>
      </w:r>
    </w:p>
    <w:p w14:paraId="373D0B64" w14:textId="6F72DA05" w:rsidR="00CC4B5D" w:rsidRDefault="00CC4B5D" w:rsidP="009F6D92">
      <w:pPr>
        <w:spacing w:after="0" w:line="240" w:lineRule="auto"/>
        <w:jc w:val="center"/>
        <w:rPr>
          <w:rFonts w:ascii="Arial" w:hAnsi="Arial"/>
          <w:b/>
          <w:sz w:val="18"/>
          <w:szCs w:val="18"/>
        </w:rPr>
      </w:pPr>
    </w:p>
    <w:p w14:paraId="19A0D3A3" w14:textId="3BC6FB5F" w:rsidR="009F6D92" w:rsidRPr="006C1113" w:rsidRDefault="009F6D92" w:rsidP="009F6D92">
      <w:pPr>
        <w:spacing w:after="0" w:line="240" w:lineRule="auto"/>
        <w:jc w:val="center"/>
        <w:rPr>
          <w:rFonts w:ascii="Arial" w:hAnsi="Arial"/>
          <w:b/>
          <w:sz w:val="18"/>
          <w:szCs w:val="18"/>
        </w:rPr>
      </w:pPr>
      <w:r w:rsidRPr="006C1113">
        <w:rPr>
          <w:rFonts w:ascii="Arial" w:hAnsi="Arial"/>
          <w:b/>
          <w:sz w:val="18"/>
          <w:szCs w:val="18"/>
        </w:rPr>
        <w:t xml:space="preserve">Figure </w:t>
      </w:r>
      <w:r>
        <w:rPr>
          <w:rFonts w:ascii="Arial" w:hAnsi="Arial"/>
          <w:b/>
          <w:sz w:val="18"/>
          <w:szCs w:val="18"/>
        </w:rPr>
        <w:t>6</w:t>
      </w:r>
      <w:r w:rsidR="00CC4B5D">
        <w:rPr>
          <w:rFonts w:ascii="Arial" w:hAnsi="Arial"/>
          <w:b/>
          <w:sz w:val="18"/>
          <w:szCs w:val="18"/>
        </w:rPr>
        <w:t>b</w:t>
      </w:r>
    </w:p>
    <w:p w14:paraId="49E3E6B6" w14:textId="0EC27BEE" w:rsidR="009F6D92" w:rsidRPr="00D66566" w:rsidRDefault="00DE3959" w:rsidP="009F6D92">
      <w:pPr>
        <w:spacing w:after="0" w:line="240" w:lineRule="auto"/>
        <w:jc w:val="center"/>
        <w:rPr>
          <w:rFonts w:ascii="Arial" w:hAnsi="Arial"/>
          <w:b/>
          <w:color w:val="FF0000"/>
          <w:sz w:val="18"/>
          <w:szCs w:val="18"/>
        </w:rPr>
      </w:pPr>
      <w:r w:rsidRPr="003F22F5">
        <w:rPr>
          <w:noProof/>
        </w:rPr>
        <w:drawing>
          <wp:anchor distT="0" distB="0" distL="114300" distR="114300" simplePos="0" relativeHeight="251856896" behindDoc="0" locked="0" layoutInCell="1" allowOverlap="1" wp14:anchorId="70606AFC" wp14:editId="2B4C4BF9">
            <wp:simplePos x="0" y="0"/>
            <wp:positionH relativeFrom="column">
              <wp:posOffset>1168400</wp:posOffset>
            </wp:positionH>
            <wp:positionV relativeFrom="paragraph">
              <wp:posOffset>219710</wp:posOffset>
            </wp:positionV>
            <wp:extent cx="3397250" cy="22161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7250" cy="2216150"/>
                    </a:xfrm>
                    <a:prstGeom prst="rect">
                      <a:avLst/>
                    </a:prstGeom>
                  </pic:spPr>
                </pic:pic>
              </a:graphicData>
            </a:graphic>
            <wp14:sizeRelH relativeFrom="margin">
              <wp14:pctWidth>0</wp14:pctWidth>
            </wp14:sizeRelH>
            <wp14:sizeRelV relativeFrom="margin">
              <wp14:pctHeight>0</wp14:pctHeight>
            </wp14:sizeRelV>
          </wp:anchor>
        </w:drawing>
      </w:r>
      <w:r w:rsidR="009F6D92" w:rsidRPr="006C1113">
        <w:rPr>
          <w:rFonts w:ascii="Arial" w:hAnsi="Arial"/>
          <w:b/>
          <w:sz w:val="18"/>
          <w:szCs w:val="18"/>
        </w:rPr>
        <w:t>Q</w:t>
      </w:r>
      <w:r w:rsidR="00CC4B5D">
        <w:rPr>
          <w:rFonts w:ascii="Arial" w:hAnsi="Arial"/>
          <w:b/>
          <w:sz w:val="18"/>
          <w:szCs w:val="18"/>
        </w:rPr>
        <w:t>2</w:t>
      </w:r>
      <w:r w:rsidR="009F6D92">
        <w:rPr>
          <w:rFonts w:ascii="Arial" w:hAnsi="Arial"/>
          <w:b/>
          <w:sz w:val="18"/>
          <w:szCs w:val="18"/>
        </w:rPr>
        <w:t>,</w:t>
      </w:r>
      <w:r w:rsidR="009F6D92" w:rsidRPr="006C1113">
        <w:rPr>
          <w:rFonts w:ascii="Arial" w:hAnsi="Arial"/>
          <w:b/>
          <w:sz w:val="18"/>
          <w:szCs w:val="18"/>
        </w:rPr>
        <w:t xml:space="preserve"> owne</w:t>
      </w:r>
      <w:r w:rsidR="009F6D92">
        <w:rPr>
          <w:rFonts w:ascii="Arial" w:hAnsi="Arial"/>
          <w:b/>
          <w:sz w:val="18"/>
          <w:szCs w:val="18"/>
        </w:rPr>
        <w:t>d</w:t>
      </w:r>
      <w:r w:rsidR="009F6D92" w:rsidRPr="006C1113">
        <w:rPr>
          <w:rFonts w:ascii="Arial" w:hAnsi="Arial"/>
          <w:b/>
          <w:sz w:val="18"/>
          <w:szCs w:val="18"/>
        </w:rPr>
        <w:t xml:space="preserve"> with a mortgage</w:t>
      </w:r>
      <w:r w:rsidR="009F6D92">
        <w:rPr>
          <w:rFonts w:ascii="Arial" w:hAnsi="Arial"/>
          <w:b/>
          <w:sz w:val="18"/>
          <w:szCs w:val="18"/>
        </w:rPr>
        <w:t xml:space="preserve">, </w:t>
      </w:r>
      <w:r w:rsidR="009F6D92">
        <w:rPr>
          <w:rFonts w:ascii="Arial" w:hAnsi="Arial"/>
          <w:b/>
          <w:bCs/>
          <w:sz w:val="18"/>
          <w:szCs w:val="18"/>
        </w:rPr>
        <w:t>spending more than 40% of income on mortgage repayments,</w:t>
      </w:r>
      <w:r w:rsidR="009F6D92">
        <w:rPr>
          <w:rFonts w:ascii="Arial" w:hAnsi="Arial"/>
          <w:b/>
          <w:sz w:val="18"/>
          <w:szCs w:val="18"/>
        </w:rPr>
        <w:t xml:space="preserve"> c.2018</w:t>
      </w:r>
      <w:r w:rsidR="002F6FD7">
        <w:rPr>
          <w:rFonts w:ascii="Arial" w:hAnsi="Arial"/>
          <w:b/>
          <w:sz w:val="18"/>
          <w:szCs w:val="18"/>
        </w:rPr>
        <w:t xml:space="preserve"> (OECD)</w:t>
      </w:r>
    </w:p>
    <w:p w14:paraId="155C8682" w14:textId="7028DB56" w:rsidR="009F6D92" w:rsidRPr="00C245E4" w:rsidRDefault="009F6D92" w:rsidP="009F6D92">
      <w:pPr>
        <w:spacing w:before="60" w:after="0" w:line="240" w:lineRule="auto"/>
        <w:rPr>
          <w:rFonts w:ascii="Arial" w:hAnsi="Arial"/>
          <w:color w:val="FF0000"/>
          <w:highlight w:val="yellow"/>
        </w:rPr>
      </w:pPr>
    </w:p>
    <w:p w14:paraId="55D98400" w14:textId="0EE2D351" w:rsidR="00BC2EEF" w:rsidRPr="00B91E5D" w:rsidRDefault="00BC2EEF" w:rsidP="00BC2EEF">
      <w:pPr>
        <w:spacing w:after="0" w:line="240" w:lineRule="auto"/>
        <w:rPr>
          <w:rFonts w:ascii="Arial" w:eastAsia="Times New Roman" w:hAnsi="Arial" w:cs="Times New Roman"/>
          <w:b/>
          <w:bCs/>
          <w:sz w:val="22"/>
        </w:rPr>
      </w:pPr>
      <w:r>
        <w:rPr>
          <w:rFonts w:ascii="Arial" w:eastAsia="Times New Roman" w:hAnsi="Arial" w:cs="Times New Roman"/>
          <w:b/>
          <w:bCs/>
          <w:sz w:val="22"/>
        </w:rPr>
        <w:lastRenderedPageBreak/>
        <w:t>Individuals in households</w:t>
      </w:r>
      <w:r w:rsidRPr="00B91E5D">
        <w:rPr>
          <w:rFonts w:ascii="Arial" w:eastAsia="Times New Roman" w:hAnsi="Arial" w:cs="Times New Roman"/>
          <w:b/>
          <w:bCs/>
          <w:sz w:val="22"/>
        </w:rPr>
        <w:t xml:space="preserve"> spending more than 40% of their income on housing costs (private rent and mortgage)</w:t>
      </w:r>
      <w:r w:rsidR="00781D50">
        <w:rPr>
          <w:rFonts w:ascii="Arial" w:eastAsia="Times New Roman" w:hAnsi="Arial" w:cs="Times New Roman"/>
          <w:b/>
          <w:bCs/>
          <w:sz w:val="22"/>
        </w:rPr>
        <w:t xml:space="preserve">, </w:t>
      </w:r>
      <w:r w:rsidR="00781D50" w:rsidRPr="003A3E03">
        <w:rPr>
          <w:rFonts w:ascii="Arial" w:eastAsia="Times New Roman" w:hAnsi="Arial" w:cs="Times New Roman"/>
          <w:b/>
          <w:bCs/>
          <w:sz w:val="22"/>
          <w:u w:val="single"/>
        </w:rPr>
        <w:t>all incomes</w:t>
      </w:r>
    </w:p>
    <w:p w14:paraId="14A9C4A0" w14:textId="77777777" w:rsidR="00BC2EEF" w:rsidRDefault="00BC2EEF" w:rsidP="00BC2EEF">
      <w:pPr>
        <w:spacing w:after="0" w:line="240" w:lineRule="auto"/>
        <w:rPr>
          <w:rFonts w:ascii="Arial" w:eastAsia="Times New Roman" w:hAnsi="Arial" w:cs="Times New Roman"/>
          <w:szCs w:val="20"/>
        </w:rPr>
      </w:pPr>
    </w:p>
    <w:p w14:paraId="4FE8F2AF" w14:textId="77777777" w:rsidR="00BC2EEF" w:rsidRPr="00D120C2" w:rsidRDefault="00BC2EEF" w:rsidP="00BC2EEF">
      <w:pPr>
        <w:spacing w:after="0" w:line="240" w:lineRule="auto"/>
        <w:rPr>
          <w:rFonts w:ascii="Arial" w:eastAsia="Times New Roman" w:hAnsi="Arial" w:cs="Times New Roman"/>
          <w:szCs w:val="20"/>
        </w:rPr>
      </w:pPr>
      <w:r>
        <w:rPr>
          <w:rFonts w:ascii="Arial" w:eastAsia="Times New Roman" w:hAnsi="Arial" w:cs="Times New Roman"/>
          <w:szCs w:val="20"/>
        </w:rPr>
        <w:t xml:space="preserve">When looking at households across the whole income spectrum, New Zealand’s rates for OTI &gt; 40% are again near the ‘top’ of the OECD table. This full spectrum analysis does not tell us about housing stress or housing affordability – that occurs mainly for Q1 and Q2 households. Looking at all incomes </w:t>
      </w:r>
      <w:r w:rsidRPr="00D120C2">
        <w:rPr>
          <w:rFonts w:ascii="Arial" w:eastAsia="Times New Roman" w:hAnsi="Arial" w:cs="Times New Roman"/>
          <w:szCs w:val="20"/>
        </w:rPr>
        <w:t xml:space="preserve">nevertheless provides useful information in itself and for context for the Q1 and Q2 figures. </w:t>
      </w:r>
    </w:p>
    <w:p w14:paraId="0CD8AFDD" w14:textId="6D78FB1C" w:rsidR="00BC2EEF" w:rsidRPr="00D120C2" w:rsidRDefault="00BC2EEF" w:rsidP="00ED3CB2">
      <w:pPr>
        <w:pStyle w:val="ListParagraph"/>
        <w:numPr>
          <w:ilvl w:val="0"/>
          <w:numId w:val="13"/>
        </w:numPr>
        <w:spacing w:before="120" w:after="0" w:line="240" w:lineRule="auto"/>
        <w:ind w:left="714" w:hanging="357"/>
        <w:contextualSpacing w:val="0"/>
        <w:rPr>
          <w:rFonts w:ascii="Arial" w:hAnsi="Arial"/>
        </w:rPr>
      </w:pPr>
      <w:r w:rsidRPr="00D120C2">
        <w:rPr>
          <w:rFonts w:ascii="Arial" w:hAnsi="Arial"/>
        </w:rPr>
        <w:t>For private renters (</w:t>
      </w:r>
      <w:r w:rsidRPr="00D120C2">
        <w:rPr>
          <w:rFonts w:ascii="Arial" w:hAnsi="Arial"/>
          <w:b/>
          <w:bCs/>
        </w:rPr>
        <w:t>Figure 7</w:t>
      </w:r>
      <w:r w:rsidRPr="00D120C2">
        <w:rPr>
          <w:rFonts w:ascii="Arial" w:hAnsi="Arial"/>
        </w:rPr>
        <w:t xml:space="preserve">), 24% spend more than 40% of their income on </w:t>
      </w:r>
      <w:r w:rsidR="00CC4B5D" w:rsidRPr="00D120C2">
        <w:rPr>
          <w:rFonts w:ascii="Arial" w:hAnsi="Arial"/>
        </w:rPr>
        <w:t>housing costs</w:t>
      </w:r>
      <w:r w:rsidRPr="00D120C2">
        <w:rPr>
          <w:rFonts w:ascii="Arial" w:hAnsi="Arial"/>
        </w:rPr>
        <w:t>, second highest after the UK (25%) and well above Australia and Ireland (11%) and the OECD median of 12%.</w:t>
      </w:r>
    </w:p>
    <w:p w14:paraId="6FDF61D6" w14:textId="300C5113" w:rsidR="00BC2EEF" w:rsidRPr="00D120C2" w:rsidRDefault="00BC2EEF" w:rsidP="00ED3CB2">
      <w:pPr>
        <w:pStyle w:val="ListParagraph"/>
        <w:numPr>
          <w:ilvl w:val="0"/>
          <w:numId w:val="13"/>
        </w:numPr>
        <w:spacing w:before="120" w:after="0" w:line="240" w:lineRule="auto"/>
        <w:ind w:left="714" w:hanging="357"/>
        <w:contextualSpacing w:val="0"/>
        <w:rPr>
          <w:rFonts w:ascii="Arial" w:hAnsi="Arial"/>
        </w:rPr>
      </w:pPr>
      <w:r w:rsidRPr="00D120C2">
        <w:rPr>
          <w:rFonts w:ascii="Arial" w:hAnsi="Arial"/>
        </w:rPr>
        <w:t>For owners with a mortgage (</w:t>
      </w:r>
      <w:r w:rsidRPr="00D120C2">
        <w:rPr>
          <w:rFonts w:ascii="Arial" w:hAnsi="Arial"/>
          <w:b/>
          <w:bCs/>
        </w:rPr>
        <w:t>Figure 8</w:t>
      </w:r>
      <w:r w:rsidRPr="00D120C2">
        <w:rPr>
          <w:rFonts w:ascii="Arial" w:hAnsi="Arial"/>
        </w:rPr>
        <w:t xml:space="preserve">), 9% spend more than 40% of their income on </w:t>
      </w:r>
      <w:r w:rsidR="00CC4B5D" w:rsidRPr="00D120C2">
        <w:rPr>
          <w:rFonts w:ascii="Arial" w:hAnsi="Arial"/>
        </w:rPr>
        <w:t>housing costs</w:t>
      </w:r>
      <w:r w:rsidRPr="00D120C2">
        <w:rPr>
          <w:rFonts w:ascii="Arial" w:hAnsi="Arial"/>
        </w:rPr>
        <w:t xml:space="preserve">, </w:t>
      </w:r>
      <w:r w:rsidR="00781D50" w:rsidRPr="00D120C2">
        <w:rPr>
          <w:rFonts w:ascii="Arial" w:hAnsi="Arial"/>
        </w:rPr>
        <w:t>lower only than Greece and Bulgaria (12-15%) (not shown)</w:t>
      </w:r>
      <w:r w:rsidR="00FD5325" w:rsidRPr="00D120C2">
        <w:rPr>
          <w:rFonts w:ascii="Arial" w:hAnsi="Arial"/>
        </w:rPr>
        <w:t xml:space="preserve"> </w:t>
      </w:r>
      <w:r w:rsidRPr="00D120C2">
        <w:rPr>
          <w:rFonts w:ascii="Arial" w:hAnsi="Arial"/>
        </w:rPr>
        <w:t xml:space="preserve">and higher than Australia, Canada and Ireland (5-6%), and well above the OECD median of </w:t>
      </w:r>
      <w:r w:rsidR="002F6FD7" w:rsidRPr="00D120C2">
        <w:rPr>
          <w:rFonts w:ascii="Arial" w:hAnsi="Arial"/>
        </w:rPr>
        <w:t>just under 4</w:t>
      </w:r>
      <w:r w:rsidRPr="00D120C2">
        <w:rPr>
          <w:rFonts w:ascii="Arial" w:hAnsi="Arial"/>
        </w:rPr>
        <w:t>%.</w:t>
      </w:r>
      <w:r w:rsidR="0062231F" w:rsidRPr="00D120C2">
        <w:rPr>
          <w:rFonts w:ascii="Arial" w:hAnsi="Arial"/>
        </w:rPr>
        <w:t xml:space="preserve"> For New Zealand </w:t>
      </w:r>
      <w:r w:rsidR="00F63FBF" w:rsidRPr="00D120C2">
        <w:rPr>
          <w:rFonts w:ascii="Arial" w:hAnsi="Arial"/>
        </w:rPr>
        <w:t>around half (47%)</w:t>
      </w:r>
      <w:r w:rsidR="0062231F" w:rsidRPr="00D120C2">
        <w:rPr>
          <w:rFonts w:ascii="Arial" w:hAnsi="Arial"/>
        </w:rPr>
        <w:t xml:space="preserve"> of the 9% come from Q1 or Q2.</w:t>
      </w:r>
      <w:r w:rsidR="00781D50" w:rsidRPr="00D120C2">
        <w:rPr>
          <w:rFonts w:ascii="Arial" w:hAnsi="Arial"/>
        </w:rPr>
        <w:t xml:space="preserve"> </w:t>
      </w:r>
    </w:p>
    <w:p w14:paraId="49617F51" w14:textId="77777777" w:rsidR="00BC2EEF" w:rsidRDefault="00BC2EEF" w:rsidP="00BC2EEF">
      <w:pPr>
        <w:spacing w:after="0" w:line="240" w:lineRule="auto"/>
        <w:rPr>
          <w:rFonts w:ascii="Arial" w:eastAsia="Times New Roman" w:hAnsi="Arial" w:cs="Times New Roman"/>
          <w:szCs w:val="20"/>
        </w:rPr>
      </w:pPr>
    </w:p>
    <w:p w14:paraId="3C5E335F" w14:textId="437FE97F" w:rsidR="00BC2EEF" w:rsidRDefault="00BC2EEF" w:rsidP="00BC2EEF">
      <w:pPr>
        <w:spacing w:after="0" w:line="240" w:lineRule="auto"/>
        <w:jc w:val="center"/>
        <w:rPr>
          <w:rFonts w:ascii="Arial" w:hAnsi="Arial"/>
          <w:b/>
          <w:bCs/>
          <w:sz w:val="18"/>
          <w:szCs w:val="18"/>
        </w:rPr>
      </w:pPr>
    </w:p>
    <w:p w14:paraId="04E5A167" w14:textId="075C54BE" w:rsidR="00BC2EEF" w:rsidRPr="006C1113" w:rsidRDefault="00BC2EEF" w:rsidP="00BC2EEF">
      <w:pPr>
        <w:spacing w:after="0" w:line="240" w:lineRule="auto"/>
        <w:jc w:val="center"/>
        <w:rPr>
          <w:rFonts w:ascii="Arial" w:hAnsi="Arial"/>
          <w:b/>
          <w:bCs/>
          <w:sz w:val="18"/>
          <w:szCs w:val="18"/>
        </w:rPr>
      </w:pPr>
      <w:r w:rsidRPr="006C1113">
        <w:rPr>
          <w:rFonts w:ascii="Arial" w:hAnsi="Arial"/>
          <w:b/>
          <w:bCs/>
          <w:sz w:val="18"/>
          <w:szCs w:val="18"/>
        </w:rPr>
        <w:t xml:space="preserve">Figure </w:t>
      </w:r>
      <w:r>
        <w:rPr>
          <w:rFonts w:ascii="Arial" w:hAnsi="Arial"/>
          <w:b/>
          <w:bCs/>
          <w:sz w:val="18"/>
          <w:szCs w:val="18"/>
        </w:rPr>
        <w:t>7</w:t>
      </w:r>
    </w:p>
    <w:p w14:paraId="786D9061" w14:textId="4002C8E7" w:rsidR="00BC2EEF" w:rsidRDefault="00BC2EEF" w:rsidP="00BC2EEF">
      <w:pPr>
        <w:spacing w:after="0" w:line="240" w:lineRule="auto"/>
        <w:jc w:val="center"/>
        <w:rPr>
          <w:rFonts w:ascii="Arial" w:hAnsi="Arial"/>
          <w:b/>
          <w:bCs/>
          <w:sz w:val="18"/>
          <w:szCs w:val="18"/>
        </w:rPr>
      </w:pPr>
      <w:r w:rsidRPr="00AF5B11">
        <w:rPr>
          <w:noProof/>
        </w:rPr>
        <w:drawing>
          <wp:anchor distT="0" distB="0" distL="114300" distR="114300" simplePos="0" relativeHeight="251815936" behindDoc="0" locked="0" layoutInCell="1" allowOverlap="1" wp14:anchorId="32136E7D" wp14:editId="12F1CCD0">
            <wp:simplePos x="0" y="0"/>
            <wp:positionH relativeFrom="column">
              <wp:posOffset>1219200</wp:posOffset>
            </wp:positionH>
            <wp:positionV relativeFrom="paragraph">
              <wp:posOffset>173990</wp:posOffset>
            </wp:positionV>
            <wp:extent cx="3359785" cy="219202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9785" cy="2192020"/>
                    </a:xfrm>
                    <a:prstGeom prst="rect">
                      <a:avLst/>
                    </a:prstGeom>
                  </pic:spPr>
                </pic:pic>
              </a:graphicData>
            </a:graphic>
            <wp14:sizeRelH relativeFrom="margin">
              <wp14:pctWidth>0</wp14:pctWidth>
            </wp14:sizeRelH>
            <wp14:sizeRelV relativeFrom="margin">
              <wp14:pctHeight>0</wp14:pctHeight>
            </wp14:sizeRelV>
          </wp:anchor>
        </w:drawing>
      </w:r>
      <w:r w:rsidRPr="00612C44">
        <w:rPr>
          <w:rFonts w:ascii="Arial" w:hAnsi="Arial"/>
          <w:b/>
          <w:bCs/>
          <w:sz w:val="18"/>
          <w:szCs w:val="18"/>
        </w:rPr>
        <w:t>Those in households</w:t>
      </w:r>
      <w:r>
        <w:rPr>
          <w:rFonts w:ascii="Arial" w:hAnsi="Arial"/>
          <w:b/>
          <w:bCs/>
          <w:sz w:val="18"/>
          <w:szCs w:val="18"/>
        </w:rPr>
        <w:t xml:space="preserve"> </w:t>
      </w:r>
      <w:r w:rsidRPr="00FD5325">
        <w:rPr>
          <w:rFonts w:ascii="Arial" w:hAnsi="Arial"/>
          <w:b/>
          <w:bCs/>
          <w:sz w:val="18"/>
          <w:szCs w:val="18"/>
          <w:u w:val="single"/>
        </w:rPr>
        <w:t>renting privately</w:t>
      </w:r>
      <w:r w:rsidR="00781D50">
        <w:rPr>
          <w:rFonts w:ascii="Arial" w:hAnsi="Arial"/>
          <w:b/>
          <w:bCs/>
          <w:sz w:val="18"/>
          <w:szCs w:val="18"/>
        </w:rPr>
        <w:t xml:space="preserve"> and</w:t>
      </w:r>
      <w:r w:rsidRPr="00612C44">
        <w:rPr>
          <w:rFonts w:ascii="Arial" w:hAnsi="Arial"/>
          <w:b/>
          <w:bCs/>
          <w:sz w:val="18"/>
          <w:szCs w:val="18"/>
        </w:rPr>
        <w:t xml:space="preserve"> spending more</w:t>
      </w:r>
      <w:r>
        <w:rPr>
          <w:rFonts w:ascii="Arial" w:hAnsi="Arial"/>
          <w:b/>
          <w:bCs/>
          <w:sz w:val="18"/>
          <w:szCs w:val="18"/>
        </w:rPr>
        <w:t xml:space="preserve"> than 40% of income on rent, c.2018</w:t>
      </w:r>
      <w:r w:rsidR="002F6FD7">
        <w:rPr>
          <w:rFonts w:ascii="Arial" w:hAnsi="Arial"/>
          <w:b/>
          <w:bCs/>
          <w:sz w:val="18"/>
          <w:szCs w:val="18"/>
        </w:rPr>
        <w:t xml:space="preserve"> (OECD)</w:t>
      </w:r>
      <w:r>
        <w:rPr>
          <w:rFonts w:ascii="Arial" w:hAnsi="Arial"/>
          <w:b/>
          <w:bCs/>
          <w:sz w:val="18"/>
          <w:szCs w:val="18"/>
        </w:rPr>
        <w:t xml:space="preserve"> </w:t>
      </w:r>
    </w:p>
    <w:p w14:paraId="1E48E0A3" w14:textId="7C487C80" w:rsidR="00BC2EEF" w:rsidRDefault="00BC2EEF" w:rsidP="00BC2EEF">
      <w:pPr>
        <w:spacing w:after="0" w:line="240" w:lineRule="auto"/>
        <w:jc w:val="center"/>
        <w:rPr>
          <w:rFonts w:ascii="Arial" w:hAnsi="Arial"/>
          <w:b/>
          <w:sz w:val="18"/>
          <w:szCs w:val="18"/>
        </w:rPr>
      </w:pPr>
    </w:p>
    <w:p w14:paraId="6CDE8961" w14:textId="5A813371" w:rsidR="00BC2EEF" w:rsidRPr="006C1113" w:rsidRDefault="00BC2EEF" w:rsidP="00BC2EEF">
      <w:pPr>
        <w:spacing w:after="0" w:line="240" w:lineRule="auto"/>
        <w:jc w:val="center"/>
        <w:rPr>
          <w:rFonts w:ascii="Arial" w:hAnsi="Arial"/>
          <w:b/>
          <w:sz w:val="18"/>
          <w:szCs w:val="18"/>
        </w:rPr>
      </w:pPr>
      <w:r w:rsidRPr="006C1113">
        <w:rPr>
          <w:rFonts w:ascii="Arial" w:hAnsi="Arial"/>
          <w:b/>
          <w:sz w:val="18"/>
          <w:szCs w:val="18"/>
        </w:rPr>
        <w:t xml:space="preserve">Figure </w:t>
      </w:r>
      <w:r>
        <w:rPr>
          <w:rFonts w:ascii="Arial" w:hAnsi="Arial"/>
          <w:b/>
          <w:sz w:val="18"/>
          <w:szCs w:val="18"/>
        </w:rPr>
        <w:t>8</w:t>
      </w:r>
    </w:p>
    <w:p w14:paraId="304948F9" w14:textId="3D8FB714" w:rsidR="00BC2EEF" w:rsidRDefault="00781D50" w:rsidP="00BC2EEF">
      <w:pPr>
        <w:spacing w:after="0" w:line="240" w:lineRule="auto"/>
        <w:jc w:val="center"/>
        <w:rPr>
          <w:rFonts w:ascii="Arial" w:hAnsi="Arial"/>
          <w:b/>
          <w:bCs/>
          <w:sz w:val="18"/>
          <w:szCs w:val="18"/>
        </w:rPr>
      </w:pPr>
      <w:r w:rsidRPr="00781D50">
        <w:rPr>
          <w:noProof/>
        </w:rPr>
        <w:drawing>
          <wp:anchor distT="0" distB="0" distL="114300" distR="114300" simplePos="0" relativeHeight="251830272" behindDoc="0" locked="0" layoutInCell="1" allowOverlap="1" wp14:anchorId="286261F3" wp14:editId="0B438874">
            <wp:simplePos x="0" y="0"/>
            <wp:positionH relativeFrom="column">
              <wp:posOffset>1219200</wp:posOffset>
            </wp:positionH>
            <wp:positionV relativeFrom="paragraph">
              <wp:posOffset>180975</wp:posOffset>
            </wp:positionV>
            <wp:extent cx="3444240" cy="2247900"/>
            <wp:effectExtent l="0" t="0" r="381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4240" cy="2247900"/>
                    </a:xfrm>
                    <a:prstGeom prst="rect">
                      <a:avLst/>
                    </a:prstGeom>
                  </pic:spPr>
                </pic:pic>
              </a:graphicData>
            </a:graphic>
            <wp14:sizeRelH relativeFrom="margin">
              <wp14:pctWidth>0</wp14:pctWidth>
            </wp14:sizeRelH>
            <wp14:sizeRelV relativeFrom="margin">
              <wp14:pctHeight>0</wp14:pctHeight>
            </wp14:sizeRelV>
          </wp:anchor>
        </w:drawing>
      </w:r>
      <w:r w:rsidR="00BC2EEF" w:rsidRPr="00AF5B11">
        <w:rPr>
          <w:rFonts w:ascii="Arial" w:hAnsi="Arial"/>
          <w:b/>
          <w:bCs/>
          <w:sz w:val="18"/>
          <w:szCs w:val="18"/>
        </w:rPr>
        <w:t xml:space="preserve"> </w:t>
      </w:r>
      <w:r w:rsidR="00BC2EEF" w:rsidRPr="00612C44">
        <w:rPr>
          <w:rFonts w:ascii="Arial" w:hAnsi="Arial"/>
          <w:b/>
          <w:bCs/>
          <w:sz w:val="18"/>
          <w:szCs w:val="18"/>
        </w:rPr>
        <w:t>Those in households</w:t>
      </w:r>
      <w:r w:rsidR="00BC2EEF">
        <w:rPr>
          <w:rFonts w:ascii="Arial" w:hAnsi="Arial"/>
          <w:b/>
          <w:bCs/>
          <w:sz w:val="18"/>
          <w:szCs w:val="18"/>
        </w:rPr>
        <w:t xml:space="preserve"> </w:t>
      </w:r>
      <w:r w:rsidR="00BC2EEF" w:rsidRPr="00FD5325">
        <w:rPr>
          <w:rFonts w:ascii="Arial" w:hAnsi="Arial"/>
          <w:b/>
          <w:bCs/>
          <w:sz w:val="18"/>
          <w:szCs w:val="18"/>
          <w:u w:val="single"/>
        </w:rPr>
        <w:t>with a mortgage</w:t>
      </w:r>
      <w:r w:rsidR="00BC2EEF" w:rsidRPr="00612C44">
        <w:rPr>
          <w:rFonts w:ascii="Arial" w:hAnsi="Arial"/>
          <w:b/>
          <w:bCs/>
          <w:sz w:val="18"/>
          <w:szCs w:val="18"/>
        </w:rPr>
        <w:t xml:space="preserve"> </w:t>
      </w:r>
      <w:r>
        <w:rPr>
          <w:rFonts w:ascii="Arial" w:hAnsi="Arial"/>
          <w:b/>
          <w:bCs/>
          <w:sz w:val="18"/>
          <w:szCs w:val="18"/>
        </w:rPr>
        <w:t xml:space="preserve">and </w:t>
      </w:r>
      <w:r w:rsidR="00BC2EEF" w:rsidRPr="00612C44">
        <w:rPr>
          <w:rFonts w:ascii="Arial" w:hAnsi="Arial"/>
          <w:b/>
          <w:bCs/>
          <w:sz w:val="18"/>
          <w:szCs w:val="18"/>
        </w:rPr>
        <w:t>spending more</w:t>
      </w:r>
      <w:r w:rsidR="00BC2EEF">
        <w:rPr>
          <w:rFonts w:ascii="Arial" w:hAnsi="Arial"/>
          <w:b/>
          <w:bCs/>
          <w:sz w:val="18"/>
          <w:szCs w:val="18"/>
        </w:rPr>
        <w:t xml:space="preserve"> than 40% of income on the mortgage, c.2018 </w:t>
      </w:r>
    </w:p>
    <w:p w14:paraId="06814051" w14:textId="5E8C0B05" w:rsidR="00BC2EEF" w:rsidRDefault="00BC2EEF" w:rsidP="00BC2EEF">
      <w:pPr>
        <w:spacing w:after="0" w:line="240" w:lineRule="auto"/>
        <w:ind w:left="357"/>
        <w:rPr>
          <w:rFonts w:ascii="Arial" w:eastAsia="Times New Roman" w:hAnsi="Arial" w:cs="Times New Roman"/>
          <w:b/>
          <w:bCs/>
          <w:szCs w:val="20"/>
        </w:rPr>
      </w:pPr>
      <w:r>
        <w:rPr>
          <w:rFonts w:ascii="Arial" w:eastAsia="Times New Roman" w:hAnsi="Arial" w:cs="Times New Roman"/>
          <w:b/>
          <w:bCs/>
          <w:szCs w:val="20"/>
        </w:rPr>
        <w:br w:type="page"/>
      </w:r>
    </w:p>
    <w:p w14:paraId="278D1E52" w14:textId="2044C8F3" w:rsidR="00BC2EEF" w:rsidRDefault="00BC2EEF" w:rsidP="00BC2EEF">
      <w:pPr>
        <w:spacing w:after="0" w:line="240" w:lineRule="auto"/>
        <w:rPr>
          <w:rFonts w:ascii="Arial" w:eastAsia="Times New Roman" w:hAnsi="Arial" w:cs="Times New Roman"/>
          <w:szCs w:val="20"/>
        </w:rPr>
      </w:pPr>
      <w:r w:rsidRPr="00612C44">
        <w:rPr>
          <w:rFonts w:ascii="Arial" w:eastAsia="Times New Roman" w:hAnsi="Arial" w:cs="Times New Roman"/>
          <w:b/>
          <w:bCs/>
          <w:szCs w:val="20"/>
        </w:rPr>
        <w:lastRenderedPageBreak/>
        <w:t xml:space="preserve">Figure </w:t>
      </w:r>
      <w:r>
        <w:rPr>
          <w:rFonts w:ascii="Arial" w:eastAsia="Times New Roman" w:hAnsi="Arial" w:cs="Times New Roman"/>
          <w:b/>
          <w:bCs/>
          <w:szCs w:val="20"/>
        </w:rPr>
        <w:t>9</w:t>
      </w:r>
      <w:r>
        <w:rPr>
          <w:rFonts w:ascii="Arial" w:eastAsia="Times New Roman" w:hAnsi="Arial" w:cs="Times New Roman"/>
          <w:szCs w:val="20"/>
        </w:rPr>
        <w:t xml:space="preserve"> shows New Zealand’s overall ranking for all those in households with rent or mortgage housing costs, counting households of all incomes. This </w:t>
      </w:r>
      <w:r w:rsidR="00781D50">
        <w:rPr>
          <w:rFonts w:ascii="Arial" w:eastAsia="Times New Roman" w:hAnsi="Arial" w:cs="Times New Roman"/>
          <w:szCs w:val="20"/>
        </w:rPr>
        <w:t>analysis</w:t>
      </w:r>
      <w:r>
        <w:rPr>
          <w:rFonts w:ascii="Arial" w:eastAsia="Times New Roman" w:hAnsi="Arial" w:cs="Times New Roman"/>
          <w:szCs w:val="20"/>
        </w:rPr>
        <w:t xml:space="preserve"> includes social housing renters.</w:t>
      </w:r>
    </w:p>
    <w:p w14:paraId="6BD100C9" w14:textId="77777777" w:rsidR="00BC2EEF" w:rsidRDefault="00BC2EEF" w:rsidP="00BC2EEF">
      <w:pPr>
        <w:spacing w:after="0" w:line="240" w:lineRule="auto"/>
        <w:rPr>
          <w:rFonts w:ascii="Arial" w:eastAsia="Times New Roman" w:hAnsi="Arial" w:cs="Times New Roman"/>
          <w:szCs w:val="20"/>
        </w:rPr>
      </w:pPr>
    </w:p>
    <w:p w14:paraId="4C18066C" w14:textId="0EB27B41" w:rsidR="00BC2EEF" w:rsidRDefault="00BC2EEF" w:rsidP="00BC2EEF">
      <w:pPr>
        <w:spacing w:after="0" w:line="240" w:lineRule="auto"/>
        <w:rPr>
          <w:rFonts w:ascii="Arial" w:eastAsia="Times New Roman" w:hAnsi="Arial" w:cs="Times New Roman"/>
          <w:szCs w:val="20"/>
        </w:rPr>
      </w:pPr>
      <w:r>
        <w:rPr>
          <w:rFonts w:ascii="Arial" w:eastAsia="Times New Roman" w:hAnsi="Arial" w:cs="Times New Roman"/>
          <w:szCs w:val="20"/>
        </w:rPr>
        <w:t xml:space="preserve">New Zealand has </w:t>
      </w:r>
      <w:r w:rsidR="00781D50">
        <w:rPr>
          <w:rFonts w:ascii="Arial" w:eastAsia="Times New Roman" w:hAnsi="Arial" w:cs="Times New Roman"/>
          <w:szCs w:val="20"/>
        </w:rPr>
        <w:t xml:space="preserve">the second highest </w:t>
      </w:r>
      <w:r w:rsidR="00545706">
        <w:rPr>
          <w:rFonts w:ascii="Arial" w:eastAsia="Times New Roman" w:hAnsi="Arial" w:cs="Times New Roman"/>
          <w:szCs w:val="20"/>
        </w:rPr>
        <w:t xml:space="preserve">OECD ranking for </w:t>
      </w:r>
      <w:r w:rsidR="00781D50">
        <w:rPr>
          <w:rFonts w:ascii="Arial" w:eastAsia="Times New Roman" w:hAnsi="Arial" w:cs="Times New Roman"/>
          <w:szCs w:val="20"/>
        </w:rPr>
        <w:t xml:space="preserve">proportion of people in households who spend more than 40% of their income on </w:t>
      </w:r>
      <w:r w:rsidR="00545706">
        <w:rPr>
          <w:rFonts w:ascii="Arial" w:eastAsia="Times New Roman" w:hAnsi="Arial" w:cs="Times New Roman"/>
          <w:szCs w:val="20"/>
        </w:rPr>
        <w:t xml:space="preserve">housing costs (rent or mortgage) </w:t>
      </w:r>
      <w:r w:rsidR="00334F26">
        <w:rPr>
          <w:rFonts w:ascii="Arial" w:eastAsia="Times New Roman" w:hAnsi="Arial" w:cs="Times New Roman"/>
          <w:szCs w:val="20"/>
        </w:rPr>
        <w:t>–</w:t>
      </w:r>
      <w:r w:rsidR="00545706">
        <w:rPr>
          <w:rFonts w:ascii="Arial" w:eastAsia="Times New Roman" w:hAnsi="Arial" w:cs="Times New Roman"/>
          <w:szCs w:val="20"/>
        </w:rPr>
        <w:t xml:space="preserve"> </w:t>
      </w:r>
      <w:r>
        <w:rPr>
          <w:rFonts w:ascii="Arial" w:eastAsia="Times New Roman" w:hAnsi="Arial" w:cs="Times New Roman"/>
          <w:szCs w:val="20"/>
        </w:rPr>
        <w:t>14%</w:t>
      </w:r>
      <w:r w:rsidR="00545706">
        <w:rPr>
          <w:rFonts w:ascii="Arial" w:eastAsia="Times New Roman" w:hAnsi="Arial" w:cs="Times New Roman"/>
          <w:szCs w:val="20"/>
        </w:rPr>
        <w:t>, similar to Greece, and Chile and well above the OECD median and Australia (8%).</w:t>
      </w:r>
      <w:r>
        <w:rPr>
          <w:rFonts w:ascii="Arial" w:eastAsia="Times New Roman" w:hAnsi="Arial" w:cs="Times New Roman"/>
          <w:szCs w:val="20"/>
        </w:rPr>
        <w:t xml:space="preserve"> </w:t>
      </w:r>
    </w:p>
    <w:p w14:paraId="50BB2A2F" w14:textId="77777777" w:rsidR="00BC2EEF" w:rsidRDefault="00BC2EEF" w:rsidP="00BC2EEF">
      <w:pPr>
        <w:spacing w:after="0" w:line="240" w:lineRule="auto"/>
        <w:rPr>
          <w:rFonts w:ascii="Arial" w:hAnsi="Arial"/>
          <w:b/>
          <w:bCs/>
          <w:sz w:val="18"/>
          <w:szCs w:val="18"/>
        </w:rPr>
      </w:pPr>
    </w:p>
    <w:p w14:paraId="374E3BD2" w14:textId="77777777" w:rsidR="00BC2EEF" w:rsidRDefault="00BC2EEF" w:rsidP="00BC2EEF">
      <w:pPr>
        <w:spacing w:after="0" w:line="240" w:lineRule="auto"/>
        <w:jc w:val="center"/>
        <w:rPr>
          <w:rFonts w:ascii="Arial" w:hAnsi="Arial"/>
          <w:b/>
          <w:bCs/>
          <w:sz w:val="18"/>
          <w:szCs w:val="18"/>
        </w:rPr>
      </w:pPr>
    </w:p>
    <w:p w14:paraId="4F59AC99" w14:textId="77777777" w:rsidR="00BC2EEF" w:rsidRPr="006C1113" w:rsidRDefault="00BC2EEF" w:rsidP="00BC2EEF">
      <w:pPr>
        <w:spacing w:after="0" w:line="240" w:lineRule="auto"/>
        <w:jc w:val="center"/>
        <w:rPr>
          <w:rFonts w:ascii="Arial" w:hAnsi="Arial"/>
          <w:b/>
          <w:bCs/>
          <w:sz w:val="18"/>
          <w:szCs w:val="18"/>
        </w:rPr>
      </w:pPr>
      <w:r w:rsidRPr="006C1113">
        <w:rPr>
          <w:rFonts w:ascii="Arial" w:hAnsi="Arial"/>
          <w:b/>
          <w:bCs/>
          <w:sz w:val="18"/>
          <w:szCs w:val="18"/>
        </w:rPr>
        <w:t xml:space="preserve">Figure </w:t>
      </w:r>
      <w:r>
        <w:rPr>
          <w:rFonts w:ascii="Arial" w:hAnsi="Arial"/>
          <w:b/>
          <w:bCs/>
          <w:sz w:val="18"/>
          <w:szCs w:val="18"/>
        </w:rPr>
        <w:t>9</w:t>
      </w:r>
    </w:p>
    <w:p w14:paraId="3E3F4419" w14:textId="1AA0CBAA" w:rsidR="00BC2EEF" w:rsidRDefault="002F6FD7" w:rsidP="00BC2EEF">
      <w:pPr>
        <w:spacing w:after="0" w:line="240" w:lineRule="auto"/>
        <w:jc w:val="center"/>
        <w:rPr>
          <w:rFonts w:ascii="Arial" w:hAnsi="Arial"/>
          <w:b/>
          <w:bCs/>
          <w:sz w:val="18"/>
          <w:szCs w:val="18"/>
        </w:rPr>
      </w:pPr>
      <w:r w:rsidRPr="002F6FD7">
        <w:rPr>
          <w:noProof/>
        </w:rPr>
        <w:drawing>
          <wp:anchor distT="0" distB="0" distL="114300" distR="114300" simplePos="0" relativeHeight="251870208" behindDoc="0" locked="0" layoutInCell="1" allowOverlap="1" wp14:anchorId="7C50A596" wp14:editId="0B5FDC91">
            <wp:simplePos x="0" y="0"/>
            <wp:positionH relativeFrom="column">
              <wp:posOffset>965200</wp:posOffset>
            </wp:positionH>
            <wp:positionV relativeFrom="paragraph">
              <wp:posOffset>324485</wp:posOffset>
            </wp:positionV>
            <wp:extent cx="3714750" cy="242443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750" cy="2424430"/>
                    </a:xfrm>
                    <a:prstGeom prst="rect">
                      <a:avLst/>
                    </a:prstGeom>
                  </pic:spPr>
                </pic:pic>
              </a:graphicData>
            </a:graphic>
            <wp14:sizeRelH relativeFrom="margin">
              <wp14:pctWidth>0</wp14:pctWidth>
            </wp14:sizeRelH>
            <wp14:sizeRelV relativeFrom="margin">
              <wp14:pctHeight>0</wp14:pctHeight>
            </wp14:sizeRelV>
          </wp:anchor>
        </w:drawing>
      </w:r>
      <w:r w:rsidR="00BC2EEF">
        <w:rPr>
          <w:rFonts w:ascii="Arial" w:hAnsi="Arial"/>
          <w:b/>
          <w:bCs/>
          <w:sz w:val="18"/>
          <w:szCs w:val="18"/>
        </w:rPr>
        <w:t>Proportion of t</w:t>
      </w:r>
      <w:r w:rsidR="00BC2EEF" w:rsidRPr="00612C44">
        <w:rPr>
          <w:rFonts w:ascii="Arial" w:hAnsi="Arial"/>
          <w:b/>
          <w:bCs/>
          <w:sz w:val="18"/>
          <w:szCs w:val="18"/>
        </w:rPr>
        <w:t>hose in households</w:t>
      </w:r>
      <w:r w:rsidR="00BC2EEF">
        <w:rPr>
          <w:rFonts w:ascii="Arial" w:hAnsi="Arial"/>
          <w:b/>
          <w:bCs/>
          <w:sz w:val="18"/>
          <w:szCs w:val="18"/>
        </w:rPr>
        <w:t xml:space="preserve"> with rent or mortgage payments</w:t>
      </w:r>
      <w:r w:rsidR="00BC2EEF" w:rsidRPr="00612C44">
        <w:rPr>
          <w:rFonts w:ascii="Arial" w:hAnsi="Arial"/>
          <w:b/>
          <w:bCs/>
          <w:sz w:val="18"/>
          <w:szCs w:val="18"/>
        </w:rPr>
        <w:t xml:space="preserve"> spending more</w:t>
      </w:r>
      <w:r w:rsidR="00BC2EEF">
        <w:rPr>
          <w:rFonts w:ascii="Arial" w:hAnsi="Arial"/>
          <w:b/>
          <w:bCs/>
          <w:sz w:val="18"/>
          <w:szCs w:val="18"/>
        </w:rPr>
        <w:t xml:space="preserve"> than 40% of income on these housing costs, c.2018</w:t>
      </w:r>
      <w:r>
        <w:rPr>
          <w:rFonts w:ascii="Arial" w:hAnsi="Arial"/>
          <w:b/>
          <w:bCs/>
          <w:sz w:val="18"/>
          <w:szCs w:val="18"/>
        </w:rPr>
        <w:t xml:space="preserve"> (OECD)</w:t>
      </w:r>
      <w:r w:rsidR="00BC2EEF">
        <w:rPr>
          <w:rFonts w:ascii="Arial" w:hAnsi="Arial"/>
          <w:b/>
          <w:bCs/>
          <w:sz w:val="18"/>
          <w:szCs w:val="18"/>
        </w:rPr>
        <w:t xml:space="preserve"> </w:t>
      </w:r>
    </w:p>
    <w:p w14:paraId="1C2436BF" w14:textId="2E417D30" w:rsidR="00BC2EEF" w:rsidRDefault="00BC2EEF" w:rsidP="00BC2EEF">
      <w:pPr>
        <w:spacing w:after="0" w:line="240" w:lineRule="auto"/>
        <w:rPr>
          <w:rFonts w:ascii="Arial" w:eastAsia="Times New Roman" w:hAnsi="Arial" w:cs="Times New Roman"/>
          <w:b/>
          <w:bCs/>
          <w:szCs w:val="20"/>
        </w:rPr>
      </w:pPr>
    </w:p>
    <w:p w14:paraId="333073D1" w14:textId="59F13CBF" w:rsidR="00545706" w:rsidRDefault="00545706">
      <w:pPr>
        <w:spacing w:after="0" w:line="240" w:lineRule="auto"/>
        <w:rPr>
          <w:rFonts w:ascii="Arial" w:eastAsia="Times New Roman" w:hAnsi="Arial" w:cs="Times New Roman"/>
          <w:b/>
          <w:bCs/>
          <w:color w:val="000000" w:themeColor="text1"/>
          <w:sz w:val="22"/>
          <w:lang w:val="en-GB"/>
        </w:rPr>
      </w:pPr>
      <w:r>
        <w:rPr>
          <w:rFonts w:ascii="Arial" w:eastAsia="Times New Roman" w:hAnsi="Arial" w:cs="Times New Roman"/>
          <w:b/>
          <w:bCs/>
          <w:color w:val="000000" w:themeColor="text1"/>
          <w:sz w:val="22"/>
          <w:lang w:val="en-GB"/>
        </w:rPr>
        <w:br w:type="page"/>
      </w:r>
    </w:p>
    <w:p w14:paraId="008831EC" w14:textId="6B895F06" w:rsidR="00360AE0" w:rsidRDefault="00CF23EC" w:rsidP="00360AE0">
      <w:pPr>
        <w:spacing w:after="0" w:line="240" w:lineRule="auto"/>
        <w:rPr>
          <w:rFonts w:ascii="Arial" w:eastAsia="Times New Roman" w:hAnsi="Arial" w:cs="Times New Roman"/>
          <w:b/>
          <w:bCs/>
          <w:color w:val="000000" w:themeColor="text1"/>
          <w:sz w:val="22"/>
          <w:lang w:val="en-GB"/>
        </w:rPr>
      </w:pPr>
      <w:r>
        <w:rPr>
          <w:rFonts w:ascii="Arial" w:eastAsia="Times New Roman" w:hAnsi="Arial" w:cs="Times New Roman"/>
          <w:b/>
          <w:bCs/>
          <w:color w:val="000000" w:themeColor="text1"/>
          <w:sz w:val="22"/>
          <w:lang w:val="en-GB"/>
        </w:rPr>
        <w:lastRenderedPageBreak/>
        <w:t>Housing costs as a proportion of household incom</w:t>
      </w:r>
      <w:r w:rsidR="00454620">
        <w:rPr>
          <w:rFonts w:ascii="Arial" w:eastAsia="Times New Roman" w:hAnsi="Arial" w:cs="Times New Roman"/>
          <w:b/>
          <w:bCs/>
          <w:color w:val="000000" w:themeColor="text1"/>
          <w:sz w:val="22"/>
          <w:lang w:val="en-GB"/>
        </w:rPr>
        <w:t xml:space="preserve">e (or ‘OTIs’) </w:t>
      </w:r>
      <w:r>
        <w:rPr>
          <w:rFonts w:ascii="Arial" w:eastAsia="Times New Roman" w:hAnsi="Arial" w:cs="Times New Roman"/>
          <w:b/>
          <w:bCs/>
          <w:color w:val="000000" w:themeColor="text1"/>
          <w:sz w:val="22"/>
          <w:lang w:val="en-GB"/>
        </w:rPr>
        <w:t>across income quintiles for renters and mortgaged owners and all households</w:t>
      </w:r>
      <w:r w:rsidR="00F6631E">
        <w:rPr>
          <w:rFonts w:ascii="Arial" w:eastAsia="Times New Roman" w:hAnsi="Arial" w:cs="Times New Roman"/>
          <w:b/>
          <w:bCs/>
          <w:color w:val="000000" w:themeColor="text1"/>
          <w:sz w:val="22"/>
          <w:lang w:val="en-GB"/>
        </w:rPr>
        <w:t xml:space="preserve"> – </w:t>
      </w:r>
      <w:r w:rsidR="00F6631E" w:rsidRPr="00334F26">
        <w:rPr>
          <w:rFonts w:ascii="Arial" w:eastAsia="Times New Roman" w:hAnsi="Arial" w:cs="Times New Roman"/>
          <w:b/>
          <w:bCs/>
          <w:color w:val="000000" w:themeColor="text1"/>
          <w:sz w:val="22"/>
          <w:u w:val="single"/>
          <w:lang w:val="en-GB"/>
        </w:rPr>
        <w:t>median OTIs</w:t>
      </w:r>
    </w:p>
    <w:p w14:paraId="75F2F045" w14:textId="03F87870" w:rsidR="0015633D" w:rsidRDefault="0015633D" w:rsidP="00360AE0">
      <w:pPr>
        <w:spacing w:after="0" w:line="240" w:lineRule="auto"/>
        <w:rPr>
          <w:rFonts w:ascii="Arial" w:eastAsia="Times New Roman" w:hAnsi="Arial" w:cs="Times New Roman"/>
          <w:b/>
          <w:bCs/>
          <w:color w:val="000000" w:themeColor="text1"/>
          <w:sz w:val="22"/>
          <w:lang w:val="en-GB"/>
        </w:rPr>
      </w:pPr>
    </w:p>
    <w:p w14:paraId="66FA8833" w14:textId="4A0199F1" w:rsidR="00454620" w:rsidRPr="00454620" w:rsidRDefault="00454620" w:rsidP="00360AE0">
      <w:pPr>
        <w:spacing w:after="0" w:line="240" w:lineRule="auto"/>
        <w:rPr>
          <w:rFonts w:ascii="Arial" w:eastAsia="Times New Roman" w:hAnsi="Arial" w:cs="Times New Roman"/>
          <w:color w:val="000000" w:themeColor="text1"/>
          <w:szCs w:val="20"/>
          <w:lang w:val="en-GB"/>
        </w:rPr>
      </w:pPr>
      <w:r w:rsidRPr="00454620">
        <w:rPr>
          <w:rFonts w:ascii="Arial" w:eastAsia="Times New Roman" w:hAnsi="Arial" w:cs="Times New Roman"/>
          <w:color w:val="000000" w:themeColor="text1"/>
          <w:szCs w:val="20"/>
          <w:lang w:val="en-GB"/>
        </w:rPr>
        <w:t xml:space="preserve">This section uses </w:t>
      </w:r>
      <w:r w:rsidR="00545706">
        <w:rPr>
          <w:rFonts w:ascii="Arial" w:eastAsia="Times New Roman" w:hAnsi="Arial" w:cs="Times New Roman"/>
          <w:color w:val="000000" w:themeColor="text1"/>
          <w:szCs w:val="20"/>
          <w:lang w:val="en-GB"/>
        </w:rPr>
        <w:t xml:space="preserve">the median OTI of </w:t>
      </w:r>
      <w:r>
        <w:rPr>
          <w:rFonts w:ascii="Arial" w:eastAsia="Times New Roman" w:hAnsi="Arial" w:cs="Times New Roman"/>
          <w:color w:val="000000" w:themeColor="text1"/>
          <w:szCs w:val="20"/>
          <w:lang w:val="en-GB"/>
        </w:rPr>
        <w:t>a selected group to allow comparison</w:t>
      </w:r>
      <w:r w:rsidR="00C74AFC">
        <w:rPr>
          <w:rFonts w:ascii="Arial" w:eastAsia="Times New Roman" w:hAnsi="Arial" w:cs="Times New Roman"/>
          <w:color w:val="000000" w:themeColor="text1"/>
          <w:szCs w:val="20"/>
          <w:lang w:val="en-GB"/>
        </w:rPr>
        <w:t xml:space="preserve"> of housing costs</w:t>
      </w:r>
      <w:r>
        <w:rPr>
          <w:rFonts w:ascii="Arial" w:eastAsia="Times New Roman" w:hAnsi="Arial" w:cs="Times New Roman"/>
          <w:color w:val="000000" w:themeColor="text1"/>
          <w:szCs w:val="20"/>
          <w:lang w:val="en-GB"/>
        </w:rPr>
        <w:t xml:space="preserve"> for that group with the same group in other countries.</w:t>
      </w:r>
      <w:r w:rsidRPr="00454620">
        <w:rPr>
          <w:rFonts w:ascii="Arial" w:eastAsia="Times New Roman" w:hAnsi="Arial" w:cs="Times New Roman"/>
          <w:color w:val="000000" w:themeColor="text1"/>
          <w:szCs w:val="20"/>
          <w:lang w:val="en-GB"/>
        </w:rPr>
        <w:t xml:space="preserve"> </w:t>
      </w:r>
    </w:p>
    <w:p w14:paraId="48D2CDFD" w14:textId="77777777" w:rsidR="00454620" w:rsidRDefault="00454620" w:rsidP="00360AE0">
      <w:pPr>
        <w:spacing w:after="0" w:line="240" w:lineRule="auto"/>
        <w:rPr>
          <w:rFonts w:ascii="Arial" w:eastAsia="Times New Roman" w:hAnsi="Arial" w:cs="Times New Roman"/>
          <w:b/>
          <w:bCs/>
          <w:color w:val="000000" w:themeColor="text1"/>
          <w:szCs w:val="20"/>
          <w:lang w:val="en-GB"/>
        </w:rPr>
      </w:pPr>
    </w:p>
    <w:p w14:paraId="6E310D6B" w14:textId="7046E453" w:rsidR="0015633D" w:rsidRDefault="0015633D" w:rsidP="00360AE0">
      <w:pPr>
        <w:spacing w:after="0" w:line="240" w:lineRule="auto"/>
        <w:rPr>
          <w:rFonts w:ascii="Arial" w:eastAsia="Times New Roman" w:hAnsi="Arial" w:cs="Times New Roman"/>
          <w:color w:val="000000" w:themeColor="text1"/>
          <w:szCs w:val="20"/>
          <w:lang w:val="en-GB"/>
        </w:rPr>
      </w:pPr>
      <w:r w:rsidRPr="0015633D">
        <w:rPr>
          <w:rFonts w:ascii="Arial" w:eastAsia="Times New Roman" w:hAnsi="Arial" w:cs="Times New Roman"/>
          <w:b/>
          <w:bCs/>
          <w:color w:val="000000" w:themeColor="text1"/>
          <w:szCs w:val="20"/>
          <w:lang w:val="en-GB"/>
        </w:rPr>
        <w:t xml:space="preserve">Figure </w:t>
      </w:r>
      <w:r w:rsidR="00545706">
        <w:rPr>
          <w:rFonts w:ascii="Arial" w:eastAsia="Times New Roman" w:hAnsi="Arial" w:cs="Times New Roman"/>
          <w:b/>
          <w:bCs/>
          <w:color w:val="000000" w:themeColor="text1"/>
          <w:szCs w:val="20"/>
          <w:lang w:val="en-GB"/>
        </w:rPr>
        <w:t>10</w:t>
      </w:r>
      <w:r w:rsidRPr="008525CC">
        <w:rPr>
          <w:rFonts w:ascii="Arial" w:eastAsia="Times New Roman" w:hAnsi="Arial" w:cs="Times New Roman"/>
          <w:color w:val="000000" w:themeColor="text1"/>
          <w:szCs w:val="20"/>
          <w:lang w:val="en-GB"/>
        </w:rPr>
        <w:t xml:space="preserve"> </w:t>
      </w:r>
      <w:r w:rsidR="008525CC" w:rsidRPr="008525CC">
        <w:rPr>
          <w:rFonts w:ascii="Arial" w:eastAsia="Times New Roman" w:hAnsi="Arial" w:cs="Times New Roman"/>
          <w:color w:val="000000" w:themeColor="text1"/>
          <w:szCs w:val="20"/>
          <w:lang w:val="en-GB"/>
        </w:rPr>
        <w:t>shows</w:t>
      </w:r>
      <w:r w:rsidR="00C74AFC">
        <w:rPr>
          <w:rFonts w:ascii="Arial" w:eastAsia="Times New Roman" w:hAnsi="Arial" w:cs="Times New Roman"/>
          <w:color w:val="000000" w:themeColor="text1"/>
          <w:szCs w:val="20"/>
          <w:lang w:val="en-GB"/>
        </w:rPr>
        <w:t xml:space="preserve"> that the median spend on housing costs for New Zealand households that pay rent or mortgage is 22% of household income. This is at the higher end of the spectrum for OECD countries, similar to Australia, France, Finland and the Netherlands, but much more than for </w:t>
      </w:r>
      <w:r w:rsidR="00AC021A">
        <w:rPr>
          <w:rFonts w:ascii="Arial" w:eastAsia="Times New Roman" w:hAnsi="Arial" w:cs="Times New Roman"/>
          <w:color w:val="000000" w:themeColor="text1"/>
          <w:szCs w:val="20"/>
          <w:lang w:val="en-GB"/>
        </w:rPr>
        <w:t>Ireland and Portugal (16%).</w:t>
      </w:r>
    </w:p>
    <w:p w14:paraId="5C9F83CE" w14:textId="6E904AA7" w:rsidR="00AC021A" w:rsidRDefault="00AC021A" w:rsidP="00360AE0">
      <w:pPr>
        <w:spacing w:after="0" w:line="240" w:lineRule="auto"/>
        <w:rPr>
          <w:rFonts w:ascii="Arial" w:eastAsia="Times New Roman" w:hAnsi="Arial" w:cs="Times New Roman"/>
          <w:color w:val="000000" w:themeColor="text1"/>
          <w:szCs w:val="20"/>
          <w:lang w:val="en-GB"/>
        </w:rPr>
      </w:pPr>
    </w:p>
    <w:p w14:paraId="308CDA30" w14:textId="5BED3D59" w:rsidR="00AC021A" w:rsidRPr="0015633D" w:rsidRDefault="00AC021A" w:rsidP="00360AE0">
      <w:pPr>
        <w:spacing w:after="0" w:line="240" w:lineRule="auto"/>
        <w:rPr>
          <w:rFonts w:ascii="Arial" w:eastAsia="Times New Roman" w:hAnsi="Arial" w:cs="Times New Roman"/>
          <w:b/>
          <w:bCs/>
          <w:color w:val="000000" w:themeColor="text1"/>
          <w:szCs w:val="20"/>
          <w:lang w:val="en-GB"/>
        </w:rPr>
      </w:pPr>
      <w:r w:rsidRPr="00AC021A">
        <w:rPr>
          <w:rFonts w:ascii="Arial" w:eastAsia="Times New Roman" w:hAnsi="Arial" w:cs="Times New Roman"/>
          <w:b/>
          <w:bCs/>
          <w:color w:val="000000" w:themeColor="text1"/>
          <w:szCs w:val="20"/>
          <w:lang w:val="en-GB"/>
        </w:rPr>
        <w:t xml:space="preserve">Figure </w:t>
      </w:r>
      <w:r w:rsidR="00545706">
        <w:rPr>
          <w:rFonts w:ascii="Arial" w:eastAsia="Times New Roman" w:hAnsi="Arial" w:cs="Times New Roman"/>
          <w:b/>
          <w:bCs/>
          <w:color w:val="000000" w:themeColor="text1"/>
          <w:szCs w:val="20"/>
          <w:lang w:val="en-GB"/>
        </w:rPr>
        <w:t>11</w:t>
      </w:r>
      <w:r w:rsidR="00121C26">
        <w:rPr>
          <w:rFonts w:ascii="Arial" w:eastAsia="Times New Roman" w:hAnsi="Arial" w:cs="Times New Roman"/>
          <w:b/>
          <w:bCs/>
          <w:color w:val="000000" w:themeColor="text1"/>
          <w:szCs w:val="20"/>
          <w:lang w:val="en-GB"/>
        </w:rPr>
        <w:t xml:space="preserve"> </w:t>
      </w:r>
      <w:r>
        <w:rPr>
          <w:rFonts w:ascii="Arial" w:eastAsia="Times New Roman" w:hAnsi="Arial" w:cs="Times New Roman"/>
          <w:color w:val="000000" w:themeColor="text1"/>
          <w:szCs w:val="20"/>
          <w:lang w:val="en-GB"/>
        </w:rPr>
        <w:t>break</w:t>
      </w:r>
      <w:r w:rsidR="00121C26">
        <w:rPr>
          <w:rFonts w:ascii="Arial" w:eastAsia="Times New Roman" w:hAnsi="Arial" w:cs="Times New Roman"/>
          <w:color w:val="000000" w:themeColor="text1"/>
          <w:szCs w:val="20"/>
          <w:lang w:val="en-GB"/>
        </w:rPr>
        <w:t>s</w:t>
      </w:r>
      <w:r>
        <w:rPr>
          <w:rFonts w:ascii="Arial" w:eastAsia="Times New Roman" w:hAnsi="Arial" w:cs="Times New Roman"/>
          <w:color w:val="000000" w:themeColor="text1"/>
          <w:szCs w:val="20"/>
          <w:lang w:val="en-GB"/>
        </w:rPr>
        <w:t xml:space="preserve"> the rankings down by renting and mortgaged households, with New Zealand at the high end for both – 28% for renters and 20% for those paying off a mortgage.</w:t>
      </w:r>
      <w:r w:rsidR="00A218E4">
        <w:rPr>
          <w:rFonts w:ascii="Arial" w:eastAsia="Times New Roman" w:hAnsi="Arial" w:cs="Times New Roman"/>
          <w:color w:val="000000" w:themeColor="text1"/>
          <w:szCs w:val="20"/>
          <w:lang w:val="en-GB"/>
        </w:rPr>
        <w:t xml:space="preserve"> </w:t>
      </w:r>
    </w:p>
    <w:p w14:paraId="03EFCE8E" w14:textId="27F49F90" w:rsidR="00360AE0" w:rsidRPr="00324C67" w:rsidRDefault="00360AE0" w:rsidP="00360AE0">
      <w:pPr>
        <w:spacing w:after="0" w:line="240" w:lineRule="auto"/>
        <w:jc w:val="both"/>
        <w:rPr>
          <w:rFonts w:ascii="Arial" w:eastAsia="Times New Roman" w:hAnsi="Arial" w:cs="Times New Roman"/>
          <w:color w:val="000000" w:themeColor="text1"/>
          <w:szCs w:val="20"/>
          <w:lang w:val="en-GB"/>
        </w:rPr>
      </w:pPr>
    </w:p>
    <w:p w14:paraId="21D3CA52" w14:textId="084D1906" w:rsidR="00360AE0" w:rsidRPr="00C97F56" w:rsidRDefault="00360AE0" w:rsidP="00360AE0">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545706">
        <w:rPr>
          <w:rFonts w:ascii="Arial" w:eastAsia="Times New Roman" w:hAnsi="Arial" w:cs="Times New Roman"/>
          <w:b/>
          <w:bCs/>
          <w:sz w:val="18"/>
          <w:szCs w:val="18"/>
          <w:lang w:val="en-GB"/>
        </w:rPr>
        <w:t>10</w:t>
      </w:r>
    </w:p>
    <w:p w14:paraId="55057B9F" w14:textId="716A38B0" w:rsidR="00360AE0" w:rsidRDefault="00360AE0" w:rsidP="00360AE0">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4E64566B" w14:textId="6E2A5C29" w:rsidR="00360AE0" w:rsidRPr="002714DC" w:rsidRDefault="00334F26" w:rsidP="00360AE0">
      <w:pPr>
        <w:spacing w:after="0" w:line="240" w:lineRule="auto"/>
        <w:jc w:val="center"/>
        <w:rPr>
          <w:rFonts w:ascii="Arial" w:eastAsia="Times New Roman" w:hAnsi="Arial" w:cs="Times New Roman"/>
          <w:bCs/>
          <w:szCs w:val="20"/>
          <w:lang w:val="en-GB"/>
        </w:rPr>
      </w:pPr>
      <w:r w:rsidRPr="002714DC">
        <w:rPr>
          <w:noProof/>
        </w:rPr>
        <w:drawing>
          <wp:anchor distT="0" distB="0" distL="114300" distR="114300" simplePos="0" relativeHeight="251788288" behindDoc="0" locked="0" layoutInCell="1" allowOverlap="1" wp14:anchorId="0B602934" wp14:editId="6A23418D">
            <wp:simplePos x="0" y="0"/>
            <wp:positionH relativeFrom="column">
              <wp:posOffset>1390650</wp:posOffset>
            </wp:positionH>
            <wp:positionV relativeFrom="paragraph">
              <wp:posOffset>139065</wp:posOffset>
            </wp:positionV>
            <wp:extent cx="3073400" cy="20059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3400" cy="2005965"/>
                    </a:xfrm>
                    <a:prstGeom prst="rect">
                      <a:avLst/>
                    </a:prstGeom>
                  </pic:spPr>
                </pic:pic>
              </a:graphicData>
            </a:graphic>
            <wp14:sizeRelH relativeFrom="margin">
              <wp14:pctWidth>0</wp14:pctWidth>
            </wp14:sizeRelH>
            <wp14:sizeRelV relativeFrom="margin">
              <wp14:pctHeight>0</wp14:pctHeight>
            </wp14:sizeRelV>
          </wp:anchor>
        </w:drawing>
      </w:r>
      <w:r w:rsidR="00360AE0">
        <w:rPr>
          <w:rFonts w:ascii="Arial" w:eastAsia="Times New Roman" w:hAnsi="Arial" w:cs="Times New Roman"/>
          <w:b/>
          <w:bCs/>
          <w:sz w:val="18"/>
          <w:szCs w:val="18"/>
          <w:lang w:val="en-GB"/>
        </w:rPr>
        <w:t>Median OTI for all households renting or owned with a mortgage, c 2018</w:t>
      </w:r>
      <w:r w:rsidR="002F6FD7">
        <w:rPr>
          <w:rFonts w:ascii="Arial" w:eastAsia="Times New Roman" w:hAnsi="Arial" w:cs="Times New Roman"/>
          <w:b/>
          <w:bCs/>
          <w:sz w:val="18"/>
          <w:szCs w:val="18"/>
          <w:lang w:val="en-GB"/>
        </w:rPr>
        <w:t xml:space="preserve"> (OECD)</w:t>
      </w:r>
    </w:p>
    <w:p w14:paraId="0A3543BF" w14:textId="0711109A" w:rsidR="00360AE0" w:rsidRPr="00C97F56" w:rsidRDefault="00360AE0" w:rsidP="00360AE0">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545706">
        <w:rPr>
          <w:rFonts w:ascii="Arial" w:eastAsia="Times New Roman" w:hAnsi="Arial" w:cs="Times New Roman"/>
          <w:b/>
          <w:bCs/>
          <w:sz w:val="18"/>
          <w:szCs w:val="18"/>
          <w:lang w:val="en-GB"/>
        </w:rPr>
        <w:t>11</w:t>
      </w:r>
    </w:p>
    <w:p w14:paraId="3874B6E7" w14:textId="00259FAB" w:rsidR="00360AE0" w:rsidRDefault="00360AE0" w:rsidP="00360AE0">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70997E74" w14:textId="4CFC2BB8" w:rsidR="00360AE0" w:rsidRPr="00C97F56" w:rsidRDefault="00334F26" w:rsidP="00360AE0">
      <w:pPr>
        <w:spacing w:after="0" w:line="240" w:lineRule="auto"/>
        <w:jc w:val="center"/>
        <w:rPr>
          <w:rFonts w:ascii="Arial" w:eastAsia="Times New Roman" w:hAnsi="Arial" w:cs="Times New Roman"/>
          <w:b/>
          <w:bCs/>
          <w:sz w:val="18"/>
          <w:szCs w:val="18"/>
          <w:lang w:val="en-GB"/>
        </w:rPr>
      </w:pPr>
      <w:r w:rsidRPr="00462799">
        <w:rPr>
          <w:noProof/>
        </w:rPr>
        <w:drawing>
          <wp:anchor distT="0" distB="0" distL="114300" distR="114300" simplePos="0" relativeHeight="251789312" behindDoc="0" locked="0" layoutInCell="1" allowOverlap="1" wp14:anchorId="071B9B24" wp14:editId="01267B13">
            <wp:simplePos x="0" y="0"/>
            <wp:positionH relativeFrom="column">
              <wp:posOffset>1460500</wp:posOffset>
            </wp:positionH>
            <wp:positionV relativeFrom="paragraph">
              <wp:posOffset>175895</wp:posOffset>
            </wp:positionV>
            <wp:extent cx="3003550" cy="1885950"/>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3550" cy="1885950"/>
                    </a:xfrm>
                    <a:prstGeom prst="rect">
                      <a:avLst/>
                    </a:prstGeom>
                  </pic:spPr>
                </pic:pic>
              </a:graphicData>
            </a:graphic>
            <wp14:sizeRelH relativeFrom="margin">
              <wp14:pctWidth>0</wp14:pctWidth>
            </wp14:sizeRelH>
            <wp14:sizeRelV relativeFrom="margin">
              <wp14:pctHeight>0</wp14:pctHeight>
            </wp14:sizeRelV>
          </wp:anchor>
        </w:drawing>
      </w:r>
      <w:r w:rsidRPr="00B8583A">
        <w:rPr>
          <w:noProof/>
        </w:rPr>
        <w:drawing>
          <wp:anchor distT="0" distB="0" distL="114300" distR="114300" simplePos="0" relativeHeight="251790336" behindDoc="0" locked="0" layoutInCell="1" allowOverlap="1" wp14:anchorId="007319E9" wp14:editId="077A8255">
            <wp:simplePos x="0" y="0"/>
            <wp:positionH relativeFrom="column">
              <wp:posOffset>1420495</wp:posOffset>
            </wp:positionH>
            <wp:positionV relativeFrom="paragraph">
              <wp:posOffset>2014220</wp:posOffset>
            </wp:positionV>
            <wp:extent cx="3182620" cy="2076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2620" cy="2076450"/>
                    </a:xfrm>
                    <a:prstGeom prst="rect">
                      <a:avLst/>
                    </a:prstGeom>
                  </pic:spPr>
                </pic:pic>
              </a:graphicData>
            </a:graphic>
            <wp14:sizeRelH relativeFrom="margin">
              <wp14:pctWidth>0</wp14:pctWidth>
            </wp14:sizeRelH>
            <wp14:sizeRelV relativeFrom="margin">
              <wp14:pctHeight>0</wp14:pctHeight>
            </wp14:sizeRelV>
          </wp:anchor>
        </w:drawing>
      </w:r>
      <w:r w:rsidR="00360AE0">
        <w:rPr>
          <w:rFonts w:ascii="Arial" w:eastAsia="Times New Roman" w:hAnsi="Arial" w:cs="Times New Roman"/>
          <w:b/>
          <w:bCs/>
          <w:sz w:val="18"/>
          <w:szCs w:val="18"/>
          <w:lang w:val="en-GB"/>
        </w:rPr>
        <w:t>Median OTI for households renting</w:t>
      </w:r>
      <w:r w:rsidR="00121C26">
        <w:rPr>
          <w:rFonts w:ascii="Arial" w:eastAsia="Times New Roman" w:hAnsi="Arial" w:cs="Times New Roman"/>
          <w:b/>
          <w:bCs/>
          <w:sz w:val="18"/>
          <w:szCs w:val="18"/>
          <w:lang w:val="en-GB"/>
        </w:rPr>
        <w:t xml:space="preserve"> or with a mortgage,</w:t>
      </w:r>
      <w:r w:rsidR="00360AE0">
        <w:rPr>
          <w:rFonts w:ascii="Arial" w:eastAsia="Times New Roman" w:hAnsi="Arial" w:cs="Times New Roman"/>
          <w:b/>
          <w:bCs/>
          <w:sz w:val="18"/>
          <w:szCs w:val="18"/>
          <w:lang w:val="en-GB"/>
        </w:rPr>
        <w:t xml:space="preserve"> c 2018</w:t>
      </w:r>
      <w:r w:rsidR="002F6FD7">
        <w:rPr>
          <w:rFonts w:ascii="Arial" w:eastAsia="Times New Roman" w:hAnsi="Arial" w:cs="Times New Roman"/>
          <w:b/>
          <w:bCs/>
          <w:sz w:val="18"/>
          <w:szCs w:val="18"/>
          <w:lang w:val="en-GB"/>
        </w:rPr>
        <w:t xml:space="preserve"> (OECD)</w:t>
      </w:r>
    </w:p>
    <w:p w14:paraId="4B950D5E" w14:textId="68EBE391" w:rsidR="00360AE0" w:rsidRPr="00B20261" w:rsidRDefault="00360AE0" w:rsidP="00360AE0">
      <w:pPr>
        <w:spacing w:after="0" w:line="240" w:lineRule="auto"/>
        <w:rPr>
          <w:rFonts w:ascii="Arial" w:eastAsia="Times New Roman" w:hAnsi="Arial"/>
          <w:b/>
          <w:sz w:val="32"/>
          <w:szCs w:val="32"/>
          <w:lang w:val="en-GB"/>
        </w:rPr>
      </w:pPr>
    </w:p>
    <w:p w14:paraId="302EB846" w14:textId="544C89E6" w:rsidR="00360AE0" w:rsidRDefault="00360AE0" w:rsidP="00360AE0">
      <w:pPr>
        <w:spacing w:after="0" w:line="240" w:lineRule="auto"/>
        <w:rPr>
          <w:rFonts w:ascii="Arial" w:eastAsia="Times New Roman" w:hAnsi="Arial" w:cs="Times New Roman"/>
          <w:b/>
          <w:sz w:val="32"/>
          <w:szCs w:val="32"/>
          <w:lang w:val="en-GB"/>
        </w:rPr>
      </w:pPr>
      <w:r>
        <w:rPr>
          <w:rFonts w:ascii="Arial" w:eastAsia="Times New Roman" w:hAnsi="Arial" w:cs="Times New Roman"/>
          <w:b/>
          <w:sz w:val="32"/>
          <w:szCs w:val="32"/>
          <w:lang w:val="en-GB"/>
        </w:rPr>
        <w:br w:type="page"/>
      </w:r>
    </w:p>
    <w:p w14:paraId="41C03CC6" w14:textId="1EBE5A50" w:rsidR="00BC51A2" w:rsidRDefault="00AC021A" w:rsidP="0015633D">
      <w:pPr>
        <w:spacing w:after="0" w:line="240" w:lineRule="auto"/>
        <w:rPr>
          <w:rFonts w:ascii="Arial" w:eastAsia="Times New Roman" w:hAnsi="Arial" w:cs="Times New Roman"/>
          <w:color w:val="000000" w:themeColor="text1"/>
          <w:szCs w:val="20"/>
          <w:lang w:val="en-GB"/>
        </w:rPr>
      </w:pPr>
      <w:r w:rsidRPr="00AC021A">
        <w:rPr>
          <w:rFonts w:ascii="Arial" w:eastAsia="Times New Roman" w:hAnsi="Arial" w:cs="Times New Roman"/>
          <w:color w:val="000000" w:themeColor="text1"/>
          <w:szCs w:val="20"/>
          <w:lang w:val="en-GB"/>
        </w:rPr>
        <w:lastRenderedPageBreak/>
        <w:t>While the indicators of spending on housing costs overall</w:t>
      </w:r>
      <w:r>
        <w:rPr>
          <w:rFonts w:ascii="Arial" w:eastAsia="Times New Roman" w:hAnsi="Arial" w:cs="Times New Roman"/>
          <w:color w:val="000000" w:themeColor="text1"/>
          <w:szCs w:val="20"/>
          <w:lang w:val="en-GB"/>
        </w:rPr>
        <w:t xml:space="preserve"> </w:t>
      </w:r>
      <w:r w:rsidR="00F6631E">
        <w:rPr>
          <w:rFonts w:ascii="Arial" w:eastAsia="Times New Roman" w:hAnsi="Arial" w:cs="Times New Roman"/>
          <w:color w:val="000000" w:themeColor="text1"/>
          <w:szCs w:val="20"/>
          <w:lang w:val="en-GB"/>
        </w:rPr>
        <w:t>are</w:t>
      </w:r>
      <w:r>
        <w:rPr>
          <w:rFonts w:ascii="Arial" w:eastAsia="Times New Roman" w:hAnsi="Arial" w:cs="Times New Roman"/>
          <w:color w:val="000000" w:themeColor="text1"/>
          <w:szCs w:val="20"/>
          <w:lang w:val="en-GB"/>
        </w:rPr>
        <w:t xml:space="preserve"> of interest, for the purposes of comparing</w:t>
      </w:r>
      <w:r w:rsidR="00AA050A">
        <w:rPr>
          <w:rFonts w:ascii="Arial" w:eastAsia="Times New Roman" w:hAnsi="Arial" w:cs="Times New Roman"/>
          <w:color w:val="000000" w:themeColor="text1"/>
          <w:szCs w:val="20"/>
          <w:lang w:val="en-GB"/>
        </w:rPr>
        <w:t xml:space="preserve"> across countries for</w:t>
      </w:r>
      <w:r>
        <w:rPr>
          <w:rFonts w:ascii="Arial" w:eastAsia="Times New Roman" w:hAnsi="Arial" w:cs="Times New Roman"/>
          <w:color w:val="000000" w:themeColor="text1"/>
          <w:szCs w:val="20"/>
          <w:lang w:val="en-GB"/>
        </w:rPr>
        <w:t xml:space="preserve"> housing affordability</w:t>
      </w:r>
      <w:r w:rsidR="00A218E4">
        <w:rPr>
          <w:rFonts w:ascii="Arial" w:eastAsia="Times New Roman" w:hAnsi="Arial" w:cs="Times New Roman"/>
          <w:color w:val="000000" w:themeColor="text1"/>
          <w:szCs w:val="20"/>
          <w:lang w:val="en-GB"/>
        </w:rPr>
        <w:t xml:space="preserve"> it is the OTIs of lower</w:t>
      </w:r>
      <w:r w:rsidR="00F6631E">
        <w:rPr>
          <w:rFonts w:ascii="Arial" w:eastAsia="Times New Roman" w:hAnsi="Arial" w:cs="Times New Roman"/>
          <w:color w:val="000000" w:themeColor="text1"/>
          <w:szCs w:val="20"/>
          <w:lang w:val="en-GB"/>
        </w:rPr>
        <w:t>-</w:t>
      </w:r>
      <w:r w:rsidR="00A218E4">
        <w:rPr>
          <w:rFonts w:ascii="Arial" w:eastAsia="Times New Roman" w:hAnsi="Arial" w:cs="Times New Roman"/>
          <w:color w:val="000000" w:themeColor="text1"/>
          <w:szCs w:val="20"/>
          <w:lang w:val="en-GB"/>
        </w:rPr>
        <w:t>income households that matter.</w:t>
      </w:r>
    </w:p>
    <w:p w14:paraId="1825D4CB" w14:textId="77777777" w:rsidR="00BC51A2" w:rsidRDefault="00BC51A2" w:rsidP="0015633D">
      <w:pPr>
        <w:spacing w:after="0" w:line="240" w:lineRule="auto"/>
        <w:rPr>
          <w:rFonts w:ascii="Arial" w:eastAsia="Times New Roman" w:hAnsi="Arial" w:cs="Times New Roman"/>
          <w:color w:val="000000" w:themeColor="text1"/>
          <w:szCs w:val="20"/>
          <w:lang w:val="en-GB"/>
        </w:rPr>
      </w:pPr>
    </w:p>
    <w:p w14:paraId="0848F458" w14:textId="0C51DAED" w:rsidR="00FE2C51" w:rsidRDefault="00BC51A2" w:rsidP="0015633D">
      <w:pPr>
        <w:spacing w:after="0" w:line="240" w:lineRule="auto"/>
        <w:rPr>
          <w:rFonts w:ascii="Arial" w:eastAsia="Times New Roman" w:hAnsi="Arial" w:cs="Times New Roman"/>
          <w:b/>
          <w:bCs/>
          <w:color w:val="000000" w:themeColor="text1"/>
          <w:szCs w:val="20"/>
          <w:lang w:val="en-GB"/>
        </w:rPr>
      </w:pPr>
      <w:r>
        <w:rPr>
          <w:rFonts w:ascii="Arial" w:eastAsia="Times New Roman" w:hAnsi="Arial" w:cs="Times New Roman"/>
          <w:color w:val="000000" w:themeColor="text1"/>
          <w:szCs w:val="20"/>
          <w:lang w:val="en-GB"/>
        </w:rPr>
        <w:t xml:space="preserve">Looking first at </w:t>
      </w:r>
      <w:r w:rsidRPr="005C777F">
        <w:rPr>
          <w:rFonts w:ascii="Arial" w:eastAsia="Times New Roman" w:hAnsi="Arial" w:cs="Times New Roman"/>
          <w:color w:val="000000" w:themeColor="text1"/>
          <w:szCs w:val="20"/>
          <w:u w:val="single"/>
          <w:lang w:val="en-GB"/>
        </w:rPr>
        <w:t>lower income renting households</w:t>
      </w:r>
      <w:r>
        <w:rPr>
          <w:rFonts w:ascii="Arial" w:eastAsia="Times New Roman" w:hAnsi="Arial" w:cs="Times New Roman"/>
          <w:color w:val="000000" w:themeColor="text1"/>
          <w:szCs w:val="20"/>
          <w:lang w:val="en-GB"/>
        </w:rPr>
        <w:t xml:space="preserve">, </w:t>
      </w:r>
      <w:r w:rsidRPr="00BB6E23">
        <w:rPr>
          <w:rFonts w:ascii="Arial" w:eastAsia="Times New Roman" w:hAnsi="Arial" w:cs="Times New Roman"/>
          <w:b/>
          <w:bCs/>
          <w:color w:val="000000" w:themeColor="text1"/>
          <w:szCs w:val="20"/>
          <w:lang w:val="en-GB"/>
        </w:rPr>
        <w:t xml:space="preserve">Figures </w:t>
      </w:r>
      <w:r w:rsidR="00AA050A">
        <w:rPr>
          <w:rFonts w:ascii="Arial" w:eastAsia="Times New Roman" w:hAnsi="Arial" w:cs="Times New Roman"/>
          <w:b/>
          <w:bCs/>
          <w:color w:val="000000" w:themeColor="text1"/>
          <w:szCs w:val="20"/>
          <w:lang w:val="en-GB"/>
        </w:rPr>
        <w:t>12</w:t>
      </w:r>
      <w:r w:rsidRPr="00BB6E23">
        <w:rPr>
          <w:rFonts w:ascii="Arial" w:eastAsia="Times New Roman" w:hAnsi="Arial" w:cs="Times New Roman"/>
          <w:b/>
          <w:bCs/>
          <w:color w:val="000000" w:themeColor="text1"/>
          <w:szCs w:val="20"/>
          <w:lang w:val="en-GB"/>
        </w:rPr>
        <w:t xml:space="preserve"> to 1</w:t>
      </w:r>
      <w:r w:rsidR="00AA050A">
        <w:rPr>
          <w:rFonts w:ascii="Arial" w:eastAsia="Times New Roman" w:hAnsi="Arial" w:cs="Times New Roman"/>
          <w:b/>
          <w:bCs/>
          <w:color w:val="000000" w:themeColor="text1"/>
          <w:szCs w:val="20"/>
          <w:lang w:val="en-GB"/>
        </w:rPr>
        <w:t>4</w:t>
      </w:r>
      <w:r>
        <w:rPr>
          <w:rFonts w:ascii="Arial" w:eastAsia="Times New Roman" w:hAnsi="Arial" w:cs="Times New Roman"/>
          <w:color w:val="000000" w:themeColor="text1"/>
          <w:szCs w:val="20"/>
          <w:lang w:val="en-GB"/>
        </w:rPr>
        <w:t xml:space="preserve"> show New Zealand at the high end of the rankings for housing costs OTIs for each of the lower three income quintiles.</w:t>
      </w:r>
      <w:r w:rsidR="00AC021A">
        <w:rPr>
          <w:rFonts w:ascii="Arial" w:eastAsia="Times New Roman" w:hAnsi="Arial" w:cs="Times New Roman"/>
          <w:b/>
          <w:bCs/>
          <w:color w:val="000000" w:themeColor="text1"/>
          <w:szCs w:val="20"/>
          <w:lang w:val="en-GB"/>
        </w:rPr>
        <w:t xml:space="preserve"> </w:t>
      </w:r>
    </w:p>
    <w:p w14:paraId="3413388E" w14:textId="77777777" w:rsidR="00FE2C51" w:rsidRDefault="00FE2C51" w:rsidP="0015633D">
      <w:pPr>
        <w:spacing w:after="0" w:line="240" w:lineRule="auto"/>
        <w:rPr>
          <w:rFonts w:ascii="Arial" w:eastAsia="Times New Roman" w:hAnsi="Arial" w:cs="Times New Roman"/>
          <w:b/>
          <w:bCs/>
          <w:color w:val="000000" w:themeColor="text1"/>
          <w:szCs w:val="20"/>
          <w:lang w:val="en-GB"/>
        </w:rPr>
      </w:pPr>
    </w:p>
    <w:p w14:paraId="1DA6D557" w14:textId="71D283B2" w:rsidR="00A218E4" w:rsidRDefault="00765401" w:rsidP="0015633D">
      <w:pPr>
        <w:spacing w:after="0" w:line="240" w:lineRule="auto"/>
        <w:rPr>
          <w:rFonts w:ascii="Arial" w:eastAsia="Times New Roman" w:hAnsi="Arial" w:cs="Times New Roman"/>
          <w:b/>
          <w:bCs/>
          <w:color w:val="000000" w:themeColor="text1"/>
          <w:szCs w:val="20"/>
          <w:lang w:val="en-GB"/>
        </w:rPr>
      </w:pPr>
      <w:r>
        <w:rPr>
          <w:rFonts w:ascii="Arial" w:eastAsia="Times New Roman" w:hAnsi="Arial" w:cs="Times New Roman"/>
          <w:color w:val="000000" w:themeColor="text1"/>
          <w:szCs w:val="20"/>
          <w:lang w:val="en-GB"/>
        </w:rPr>
        <w:t>Half</w:t>
      </w:r>
      <w:r w:rsidRPr="00765401">
        <w:rPr>
          <w:rFonts w:ascii="Arial" w:eastAsia="Times New Roman" w:hAnsi="Arial" w:cs="Times New Roman"/>
          <w:color w:val="000000" w:themeColor="text1"/>
          <w:szCs w:val="20"/>
          <w:lang w:val="en-GB"/>
        </w:rPr>
        <w:t xml:space="preserve"> of renting households in the bottom income quintile spend more than 41% of their income on rent</w:t>
      </w:r>
      <w:r>
        <w:rPr>
          <w:rFonts w:ascii="Arial" w:eastAsia="Times New Roman" w:hAnsi="Arial" w:cs="Times New Roman"/>
          <w:color w:val="000000" w:themeColor="text1"/>
          <w:szCs w:val="20"/>
          <w:lang w:val="en-GB"/>
        </w:rPr>
        <w:t>, similar to Sweden and Switzerland and much more than Australia where half spend more than 32% of their income on rent.</w:t>
      </w:r>
    </w:p>
    <w:p w14:paraId="4C34E957" w14:textId="786FD6D9" w:rsidR="0015633D" w:rsidRPr="00C97F56" w:rsidRDefault="0015633D" w:rsidP="0015633D">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AA050A">
        <w:rPr>
          <w:rFonts w:ascii="Arial" w:eastAsia="Times New Roman" w:hAnsi="Arial" w:cs="Times New Roman"/>
          <w:b/>
          <w:bCs/>
          <w:sz w:val="18"/>
          <w:szCs w:val="18"/>
          <w:lang w:val="en-GB"/>
        </w:rPr>
        <w:t>12</w:t>
      </w:r>
    </w:p>
    <w:p w14:paraId="24E884DA" w14:textId="407D5D23" w:rsidR="0015633D" w:rsidRDefault="0015633D" w:rsidP="0015633D">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073D554C" w14:textId="78B2BEB9" w:rsidR="0015633D" w:rsidRPr="002714DC" w:rsidRDefault="005E5D0A" w:rsidP="0015633D">
      <w:pPr>
        <w:spacing w:after="0" w:line="240" w:lineRule="auto"/>
        <w:jc w:val="center"/>
        <w:rPr>
          <w:rFonts w:ascii="Arial" w:eastAsia="Times New Roman" w:hAnsi="Arial" w:cs="Times New Roman"/>
          <w:bCs/>
          <w:szCs w:val="20"/>
          <w:lang w:val="en-GB"/>
        </w:rPr>
      </w:pPr>
      <w:r w:rsidRPr="005E5D0A">
        <w:rPr>
          <w:noProof/>
        </w:rPr>
        <w:drawing>
          <wp:anchor distT="0" distB="0" distL="114300" distR="114300" simplePos="0" relativeHeight="251797504" behindDoc="0" locked="0" layoutInCell="1" allowOverlap="1" wp14:anchorId="16746324" wp14:editId="5404E14F">
            <wp:simplePos x="0" y="0"/>
            <wp:positionH relativeFrom="column">
              <wp:posOffset>1504950</wp:posOffset>
            </wp:positionH>
            <wp:positionV relativeFrom="paragraph">
              <wp:posOffset>176530</wp:posOffset>
            </wp:positionV>
            <wp:extent cx="2838450" cy="185229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8450" cy="1852295"/>
                    </a:xfrm>
                    <a:prstGeom prst="rect">
                      <a:avLst/>
                    </a:prstGeom>
                  </pic:spPr>
                </pic:pic>
              </a:graphicData>
            </a:graphic>
            <wp14:sizeRelH relativeFrom="margin">
              <wp14:pctWidth>0</wp14:pctWidth>
            </wp14:sizeRelH>
            <wp14:sizeRelV relativeFrom="margin">
              <wp14:pctHeight>0</wp14:pctHeight>
            </wp14:sizeRelV>
          </wp:anchor>
        </w:drawing>
      </w:r>
      <w:r w:rsidR="0015633D">
        <w:rPr>
          <w:rFonts w:ascii="Arial" w:eastAsia="Times New Roman" w:hAnsi="Arial" w:cs="Times New Roman"/>
          <w:b/>
          <w:bCs/>
          <w:sz w:val="18"/>
          <w:szCs w:val="18"/>
          <w:lang w:val="en-GB"/>
        </w:rPr>
        <w:t>Median OTI</w:t>
      </w:r>
      <w:r w:rsidR="005C777F">
        <w:rPr>
          <w:rFonts w:ascii="Arial" w:eastAsia="Times New Roman" w:hAnsi="Arial" w:cs="Times New Roman"/>
          <w:b/>
          <w:bCs/>
          <w:sz w:val="18"/>
          <w:szCs w:val="18"/>
          <w:lang w:val="en-GB"/>
        </w:rPr>
        <w:t>s</w:t>
      </w:r>
      <w:r w:rsidR="0015633D">
        <w:rPr>
          <w:rFonts w:ascii="Arial" w:eastAsia="Times New Roman" w:hAnsi="Arial" w:cs="Times New Roman"/>
          <w:b/>
          <w:bCs/>
          <w:sz w:val="18"/>
          <w:szCs w:val="18"/>
          <w:lang w:val="en-GB"/>
        </w:rPr>
        <w:t xml:space="preserve"> for </w:t>
      </w:r>
      <w:r w:rsidR="005C777F">
        <w:rPr>
          <w:rFonts w:ascii="Arial" w:eastAsia="Times New Roman" w:hAnsi="Arial" w:cs="Times New Roman"/>
          <w:b/>
          <w:bCs/>
          <w:sz w:val="18"/>
          <w:szCs w:val="18"/>
          <w:lang w:val="en-GB"/>
        </w:rPr>
        <w:t>Q1</w:t>
      </w:r>
      <w:r w:rsidR="0015633D">
        <w:rPr>
          <w:rFonts w:ascii="Arial" w:eastAsia="Times New Roman" w:hAnsi="Arial" w:cs="Times New Roman"/>
          <w:b/>
          <w:bCs/>
          <w:sz w:val="18"/>
          <w:szCs w:val="18"/>
          <w:lang w:val="en-GB"/>
        </w:rPr>
        <w:t xml:space="preserve"> households </w:t>
      </w:r>
      <w:r w:rsidR="005C777F">
        <w:rPr>
          <w:rFonts w:ascii="Arial" w:eastAsia="Times New Roman" w:hAnsi="Arial" w:cs="Times New Roman"/>
          <w:b/>
          <w:bCs/>
          <w:sz w:val="18"/>
          <w:szCs w:val="18"/>
          <w:lang w:val="en-GB"/>
        </w:rPr>
        <w:t>paying rent</w:t>
      </w:r>
      <w:r w:rsidR="0015633D">
        <w:rPr>
          <w:rFonts w:ascii="Arial" w:eastAsia="Times New Roman" w:hAnsi="Arial" w:cs="Times New Roman"/>
          <w:b/>
          <w:bCs/>
          <w:sz w:val="18"/>
          <w:szCs w:val="18"/>
          <w:lang w:val="en-GB"/>
        </w:rPr>
        <w:t>, c 2018</w:t>
      </w:r>
      <w:r w:rsidR="00DE4C98">
        <w:rPr>
          <w:rFonts w:ascii="Arial" w:eastAsia="Times New Roman" w:hAnsi="Arial" w:cs="Times New Roman"/>
          <w:b/>
          <w:bCs/>
          <w:sz w:val="18"/>
          <w:szCs w:val="18"/>
          <w:lang w:val="en-GB"/>
        </w:rPr>
        <w:t xml:space="preserve"> (OECD)</w:t>
      </w:r>
    </w:p>
    <w:p w14:paraId="68F7EC17" w14:textId="0157EA28" w:rsidR="0015633D" w:rsidRPr="00C97F56" w:rsidRDefault="0015633D" w:rsidP="0015633D">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AA050A">
        <w:rPr>
          <w:rFonts w:ascii="Arial" w:eastAsia="Times New Roman" w:hAnsi="Arial" w:cs="Times New Roman"/>
          <w:b/>
          <w:bCs/>
          <w:sz w:val="18"/>
          <w:szCs w:val="18"/>
          <w:lang w:val="en-GB"/>
        </w:rPr>
        <w:t>13</w:t>
      </w:r>
    </w:p>
    <w:p w14:paraId="0A29300F" w14:textId="4A1158E7" w:rsidR="0015633D" w:rsidRDefault="0015633D" w:rsidP="0015633D">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69257308" w14:textId="361B1436" w:rsidR="0015633D" w:rsidRPr="00C97F56" w:rsidRDefault="00765401" w:rsidP="0015633D">
      <w:pPr>
        <w:spacing w:after="0" w:line="240" w:lineRule="auto"/>
        <w:jc w:val="center"/>
        <w:rPr>
          <w:rFonts w:ascii="Arial" w:eastAsia="Times New Roman" w:hAnsi="Arial" w:cs="Times New Roman"/>
          <w:b/>
          <w:bCs/>
          <w:sz w:val="18"/>
          <w:szCs w:val="18"/>
          <w:lang w:val="en-GB"/>
        </w:rPr>
      </w:pPr>
      <w:r w:rsidRPr="005E5D0A">
        <w:rPr>
          <w:noProof/>
        </w:rPr>
        <w:drawing>
          <wp:anchor distT="0" distB="0" distL="114300" distR="114300" simplePos="0" relativeHeight="251799552" behindDoc="0" locked="0" layoutInCell="1" allowOverlap="1" wp14:anchorId="42280050" wp14:editId="1EBA798E">
            <wp:simplePos x="0" y="0"/>
            <wp:positionH relativeFrom="column">
              <wp:posOffset>1448435</wp:posOffset>
            </wp:positionH>
            <wp:positionV relativeFrom="paragraph">
              <wp:posOffset>216535</wp:posOffset>
            </wp:positionV>
            <wp:extent cx="2999740" cy="195770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9740" cy="1957705"/>
                    </a:xfrm>
                    <a:prstGeom prst="rect">
                      <a:avLst/>
                    </a:prstGeom>
                  </pic:spPr>
                </pic:pic>
              </a:graphicData>
            </a:graphic>
            <wp14:sizeRelH relativeFrom="margin">
              <wp14:pctWidth>0</wp14:pctWidth>
            </wp14:sizeRelH>
            <wp14:sizeRelV relativeFrom="margin">
              <wp14:pctHeight>0</wp14:pctHeight>
            </wp14:sizeRelV>
          </wp:anchor>
        </w:drawing>
      </w:r>
      <w:r w:rsidR="005C777F" w:rsidRPr="005C777F">
        <w:rPr>
          <w:rFonts w:ascii="Arial" w:eastAsia="Times New Roman" w:hAnsi="Arial" w:cs="Times New Roman"/>
          <w:b/>
          <w:bCs/>
          <w:sz w:val="18"/>
          <w:szCs w:val="18"/>
          <w:lang w:val="en-GB"/>
        </w:rPr>
        <w:t xml:space="preserve"> </w:t>
      </w:r>
      <w:r w:rsidR="005C777F">
        <w:rPr>
          <w:rFonts w:ascii="Arial" w:eastAsia="Times New Roman" w:hAnsi="Arial" w:cs="Times New Roman"/>
          <w:b/>
          <w:bCs/>
          <w:sz w:val="18"/>
          <w:szCs w:val="18"/>
          <w:lang w:val="en-GB"/>
        </w:rPr>
        <w:t>Median OTIs for Q2 households paying rent, c 2018</w:t>
      </w:r>
      <w:r w:rsidR="00DE4C98">
        <w:rPr>
          <w:rFonts w:ascii="Arial" w:eastAsia="Times New Roman" w:hAnsi="Arial" w:cs="Times New Roman"/>
          <w:b/>
          <w:bCs/>
          <w:sz w:val="18"/>
          <w:szCs w:val="18"/>
          <w:lang w:val="en-GB"/>
        </w:rPr>
        <w:t xml:space="preserve"> (OECD)</w:t>
      </w:r>
    </w:p>
    <w:p w14:paraId="545FC0E6" w14:textId="41DEAFFB" w:rsidR="005E5D0A" w:rsidRPr="00C97F56" w:rsidRDefault="005E5D0A" w:rsidP="005E5D0A">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Pr>
          <w:rFonts w:ascii="Arial" w:eastAsia="Times New Roman" w:hAnsi="Arial" w:cs="Times New Roman"/>
          <w:b/>
          <w:bCs/>
          <w:sz w:val="18"/>
          <w:szCs w:val="18"/>
          <w:lang w:val="en-GB"/>
        </w:rPr>
        <w:t>1</w:t>
      </w:r>
      <w:r w:rsidR="00AA050A">
        <w:rPr>
          <w:rFonts w:ascii="Arial" w:eastAsia="Times New Roman" w:hAnsi="Arial" w:cs="Times New Roman"/>
          <w:b/>
          <w:bCs/>
          <w:sz w:val="18"/>
          <w:szCs w:val="18"/>
          <w:lang w:val="en-GB"/>
        </w:rPr>
        <w:t>4</w:t>
      </w:r>
    </w:p>
    <w:p w14:paraId="787829D1" w14:textId="3C689BD1" w:rsidR="005E5D0A" w:rsidRDefault="005E5D0A" w:rsidP="005E5D0A">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34E93734" w14:textId="470C0916" w:rsidR="005E5D0A" w:rsidRPr="00C97F56" w:rsidRDefault="00765401" w:rsidP="005E5D0A">
      <w:pPr>
        <w:spacing w:after="0" w:line="240" w:lineRule="auto"/>
        <w:jc w:val="center"/>
        <w:rPr>
          <w:rFonts w:ascii="Arial" w:eastAsia="Times New Roman" w:hAnsi="Arial" w:cs="Times New Roman"/>
          <w:b/>
          <w:bCs/>
          <w:sz w:val="18"/>
          <w:szCs w:val="18"/>
          <w:lang w:val="en-GB"/>
        </w:rPr>
      </w:pPr>
      <w:r w:rsidRPr="000A0B8E">
        <w:rPr>
          <w:noProof/>
        </w:rPr>
        <w:drawing>
          <wp:anchor distT="0" distB="0" distL="114300" distR="114300" simplePos="0" relativeHeight="251801600" behindDoc="0" locked="0" layoutInCell="1" allowOverlap="1" wp14:anchorId="026A59BB" wp14:editId="03E94F5D">
            <wp:simplePos x="0" y="0"/>
            <wp:positionH relativeFrom="column">
              <wp:posOffset>1398270</wp:posOffset>
            </wp:positionH>
            <wp:positionV relativeFrom="paragraph">
              <wp:posOffset>186690</wp:posOffset>
            </wp:positionV>
            <wp:extent cx="3114675" cy="2032000"/>
            <wp:effectExtent l="0" t="0" r="9525"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4675" cy="2032000"/>
                    </a:xfrm>
                    <a:prstGeom prst="rect">
                      <a:avLst/>
                    </a:prstGeom>
                  </pic:spPr>
                </pic:pic>
              </a:graphicData>
            </a:graphic>
            <wp14:sizeRelH relativeFrom="margin">
              <wp14:pctWidth>0</wp14:pctWidth>
            </wp14:sizeRelH>
            <wp14:sizeRelV relativeFrom="margin">
              <wp14:pctHeight>0</wp14:pctHeight>
            </wp14:sizeRelV>
          </wp:anchor>
        </w:drawing>
      </w:r>
      <w:r w:rsidR="005E5D0A" w:rsidRPr="005C777F">
        <w:rPr>
          <w:rFonts w:ascii="Arial" w:eastAsia="Times New Roman" w:hAnsi="Arial" w:cs="Times New Roman"/>
          <w:b/>
          <w:bCs/>
          <w:sz w:val="18"/>
          <w:szCs w:val="18"/>
          <w:lang w:val="en-GB"/>
        </w:rPr>
        <w:t xml:space="preserve"> </w:t>
      </w:r>
      <w:r w:rsidR="005E5D0A">
        <w:rPr>
          <w:rFonts w:ascii="Arial" w:eastAsia="Times New Roman" w:hAnsi="Arial" w:cs="Times New Roman"/>
          <w:b/>
          <w:bCs/>
          <w:sz w:val="18"/>
          <w:szCs w:val="18"/>
          <w:lang w:val="en-GB"/>
        </w:rPr>
        <w:t>Median OTIs for Q3 households paying rent, c 2018</w:t>
      </w:r>
      <w:r w:rsidR="00DE4C98">
        <w:rPr>
          <w:rFonts w:ascii="Arial" w:eastAsia="Times New Roman" w:hAnsi="Arial" w:cs="Times New Roman"/>
          <w:b/>
          <w:bCs/>
          <w:sz w:val="18"/>
          <w:szCs w:val="18"/>
          <w:lang w:val="en-GB"/>
        </w:rPr>
        <w:t xml:space="preserve"> (OECD)</w:t>
      </w:r>
    </w:p>
    <w:p w14:paraId="035F45FF" w14:textId="2C27F297" w:rsidR="00FE2C51" w:rsidRDefault="00FE2C51" w:rsidP="0015633D">
      <w:pPr>
        <w:spacing w:after="0" w:line="240" w:lineRule="auto"/>
        <w:rPr>
          <w:rFonts w:ascii="Arial" w:eastAsia="Times New Roman" w:hAnsi="Arial" w:cs="Times New Roman"/>
          <w:bCs/>
          <w:szCs w:val="20"/>
          <w:lang w:val="en-GB"/>
        </w:rPr>
      </w:pPr>
      <w:r>
        <w:rPr>
          <w:rFonts w:ascii="Arial" w:eastAsia="Times New Roman" w:hAnsi="Arial" w:cs="Times New Roman"/>
          <w:bCs/>
          <w:szCs w:val="20"/>
          <w:lang w:val="en-GB"/>
        </w:rPr>
        <w:lastRenderedPageBreak/>
        <w:t xml:space="preserve">Looking at </w:t>
      </w:r>
      <w:r w:rsidRPr="00B2523D">
        <w:rPr>
          <w:rFonts w:ascii="Arial" w:eastAsia="Times New Roman" w:hAnsi="Arial" w:cs="Times New Roman"/>
          <w:bCs/>
          <w:szCs w:val="20"/>
          <w:u w:val="single"/>
          <w:lang w:val="en-GB"/>
        </w:rPr>
        <w:t>low- to middle-income households paying a mortgage</w:t>
      </w:r>
      <w:r>
        <w:rPr>
          <w:rFonts w:ascii="Arial" w:eastAsia="Times New Roman" w:hAnsi="Arial" w:cs="Times New Roman"/>
          <w:bCs/>
          <w:szCs w:val="20"/>
          <w:lang w:val="en-GB"/>
        </w:rPr>
        <w:t xml:space="preserve"> shows a similar picture – New Zealand is at the high spending end of the rankings for </w:t>
      </w:r>
      <w:r w:rsidR="003A4220">
        <w:rPr>
          <w:rFonts w:ascii="Arial" w:eastAsia="Times New Roman" w:hAnsi="Arial" w:cs="Times New Roman"/>
          <w:bCs/>
          <w:szCs w:val="20"/>
          <w:lang w:val="en-GB"/>
        </w:rPr>
        <w:t>Quintiles 2 and 3</w:t>
      </w:r>
      <w:r w:rsidR="00334F26">
        <w:rPr>
          <w:rFonts w:ascii="Arial" w:eastAsia="Times New Roman" w:hAnsi="Arial" w:cs="Times New Roman"/>
          <w:bCs/>
          <w:szCs w:val="20"/>
          <w:lang w:val="en-GB"/>
        </w:rPr>
        <w:t xml:space="preserve"> (</w:t>
      </w:r>
      <w:r w:rsidR="00334F26" w:rsidRPr="00334F26">
        <w:rPr>
          <w:rFonts w:ascii="Arial" w:eastAsia="Times New Roman" w:hAnsi="Arial" w:cs="Times New Roman"/>
          <w:b/>
          <w:szCs w:val="20"/>
          <w:lang w:val="en-GB"/>
        </w:rPr>
        <w:t>Figures 15 and 16</w:t>
      </w:r>
      <w:r w:rsidR="00334F26">
        <w:rPr>
          <w:rFonts w:ascii="Arial" w:eastAsia="Times New Roman" w:hAnsi="Arial" w:cs="Times New Roman"/>
          <w:bCs/>
          <w:szCs w:val="20"/>
          <w:lang w:val="en-GB"/>
        </w:rPr>
        <w:t>)</w:t>
      </w:r>
      <w:r w:rsidR="003A4220">
        <w:rPr>
          <w:rFonts w:ascii="Arial" w:eastAsia="Times New Roman" w:hAnsi="Arial" w:cs="Times New Roman"/>
          <w:bCs/>
          <w:szCs w:val="20"/>
          <w:lang w:val="en-GB"/>
        </w:rPr>
        <w:t>.</w:t>
      </w:r>
    </w:p>
    <w:p w14:paraId="7FA05502" w14:textId="77777777" w:rsidR="00FE2C51" w:rsidRDefault="00FE2C51" w:rsidP="0015633D">
      <w:pPr>
        <w:spacing w:after="0" w:line="240" w:lineRule="auto"/>
        <w:rPr>
          <w:rFonts w:ascii="Arial" w:eastAsia="Times New Roman" w:hAnsi="Arial" w:cs="Times New Roman"/>
          <w:bCs/>
          <w:szCs w:val="20"/>
          <w:lang w:val="en-GB"/>
        </w:rPr>
      </w:pPr>
    </w:p>
    <w:p w14:paraId="510877FD" w14:textId="73E4B69A" w:rsidR="00DB6CDB" w:rsidRPr="00D2435C" w:rsidRDefault="003A4220" w:rsidP="0015633D">
      <w:pPr>
        <w:spacing w:after="0" w:line="240" w:lineRule="auto"/>
        <w:rPr>
          <w:rFonts w:ascii="Arial" w:eastAsia="Times New Roman" w:hAnsi="Arial" w:cs="Times New Roman"/>
          <w:bCs/>
          <w:i/>
          <w:iCs/>
          <w:color w:val="FF0000"/>
          <w:szCs w:val="20"/>
          <w:lang w:val="en-GB"/>
        </w:rPr>
      </w:pPr>
      <w:r w:rsidRPr="003A4220">
        <w:rPr>
          <w:rFonts w:ascii="Arial" w:eastAsia="Times New Roman" w:hAnsi="Arial" w:cs="Times New Roman"/>
          <w:b/>
          <w:szCs w:val="20"/>
          <w:lang w:val="en-GB"/>
        </w:rPr>
        <w:t>Figure 1</w:t>
      </w:r>
      <w:r w:rsidR="00334F26">
        <w:rPr>
          <w:rFonts w:ascii="Arial" w:eastAsia="Times New Roman" w:hAnsi="Arial" w:cs="Times New Roman"/>
          <w:b/>
          <w:szCs w:val="20"/>
          <w:lang w:val="en-GB"/>
        </w:rPr>
        <w:t>7</w:t>
      </w:r>
      <w:r>
        <w:rPr>
          <w:rFonts w:ascii="Arial" w:eastAsia="Times New Roman" w:hAnsi="Arial" w:cs="Times New Roman"/>
          <w:bCs/>
          <w:szCs w:val="20"/>
          <w:lang w:val="en-GB"/>
        </w:rPr>
        <w:t xml:space="preserve"> shows that f</w:t>
      </w:r>
      <w:r w:rsidR="00FE2C51">
        <w:rPr>
          <w:rFonts w:ascii="Arial" w:eastAsia="Times New Roman" w:hAnsi="Arial" w:cs="Times New Roman"/>
          <w:bCs/>
          <w:szCs w:val="20"/>
          <w:lang w:val="en-GB"/>
        </w:rPr>
        <w:t>or the lowest quintile (Q1), New Zealand</w:t>
      </w:r>
      <w:r w:rsidR="00BF5311">
        <w:rPr>
          <w:rFonts w:ascii="Arial" w:eastAsia="Times New Roman" w:hAnsi="Arial" w:cs="Times New Roman"/>
          <w:bCs/>
          <w:szCs w:val="20"/>
          <w:lang w:val="en-GB"/>
        </w:rPr>
        <w:t xml:space="preserve"> households’</w:t>
      </w:r>
      <w:r>
        <w:rPr>
          <w:rFonts w:ascii="Arial" w:eastAsia="Times New Roman" w:hAnsi="Arial" w:cs="Times New Roman"/>
          <w:bCs/>
          <w:szCs w:val="20"/>
          <w:lang w:val="en-GB"/>
        </w:rPr>
        <w:t xml:space="preserve"> spending on</w:t>
      </w:r>
      <w:r w:rsidR="00BF5311">
        <w:rPr>
          <w:rFonts w:ascii="Arial" w:eastAsia="Times New Roman" w:hAnsi="Arial" w:cs="Times New Roman"/>
          <w:bCs/>
          <w:szCs w:val="20"/>
          <w:lang w:val="en-GB"/>
        </w:rPr>
        <w:t xml:space="preserve"> mortgage repayment is in the middle band, seeming to break the pattern of being at the high end</w:t>
      </w:r>
      <w:r w:rsidR="00D13078">
        <w:rPr>
          <w:rFonts w:ascii="Arial" w:eastAsia="Times New Roman" w:hAnsi="Arial" w:cs="Times New Roman"/>
          <w:bCs/>
          <w:szCs w:val="20"/>
          <w:lang w:val="en-GB"/>
        </w:rPr>
        <w:t xml:space="preserve"> for housing costs</w:t>
      </w:r>
      <w:r w:rsidR="00DB6CDB">
        <w:rPr>
          <w:rFonts w:ascii="Arial" w:eastAsia="Times New Roman" w:hAnsi="Arial" w:cs="Times New Roman"/>
          <w:bCs/>
          <w:szCs w:val="20"/>
          <w:lang w:val="en-GB"/>
        </w:rPr>
        <w:t xml:space="preserve">. A </w:t>
      </w:r>
      <w:r w:rsidR="00DB6CDB" w:rsidRPr="002E6E61">
        <w:rPr>
          <w:rFonts w:ascii="Arial" w:eastAsia="Times New Roman" w:hAnsi="Arial" w:cs="Times New Roman"/>
          <w:bCs/>
          <w:szCs w:val="20"/>
          <w:lang w:val="en-GB"/>
        </w:rPr>
        <w:t>quarter of mortgaged households in Q1 are older New Zealanders, many of whom will have been in the same house for many years and have only modest mortgage repayments relative to most low-income under 65s. This exerts downward pressure on the OTI rate for Q1.</w:t>
      </w:r>
      <w:r w:rsidR="00DB6CDB" w:rsidRPr="002E6E61">
        <w:rPr>
          <w:rStyle w:val="FootnoteReference"/>
          <w:rFonts w:ascii="Arial" w:eastAsia="Times New Roman" w:hAnsi="Arial" w:cs="Times New Roman"/>
          <w:bCs/>
          <w:szCs w:val="20"/>
          <w:lang w:val="en-GB"/>
        </w:rPr>
        <w:footnoteReference w:id="20"/>
      </w:r>
      <w:r w:rsidR="00DB6CDB" w:rsidRPr="002E6E61">
        <w:rPr>
          <w:rFonts w:ascii="Arial" w:eastAsia="Times New Roman" w:hAnsi="Arial" w:cs="Times New Roman"/>
          <w:bCs/>
          <w:szCs w:val="20"/>
          <w:lang w:val="en-GB"/>
        </w:rPr>
        <w:t xml:space="preserve">  </w:t>
      </w:r>
    </w:p>
    <w:p w14:paraId="3D417CCE" w14:textId="7CDFBFE9" w:rsidR="005C777F" w:rsidRDefault="005C777F" w:rsidP="0015633D">
      <w:pPr>
        <w:spacing w:after="0" w:line="240" w:lineRule="auto"/>
        <w:rPr>
          <w:rFonts w:ascii="Arial" w:eastAsia="Times New Roman" w:hAnsi="Arial" w:cs="Times New Roman"/>
          <w:bCs/>
          <w:szCs w:val="20"/>
          <w:lang w:val="en-GB"/>
        </w:rPr>
      </w:pPr>
    </w:p>
    <w:p w14:paraId="40DD00AB" w14:textId="279AA676" w:rsidR="00FE2C51" w:rsidRPr="00C97F56" w:rsidRDefault="00FE2C51" w:rsidP="00FE2C51">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B2523D">
        <w:rPr>
          <w:rFonts w:ascii="Arial" w:eastAsia="Times New Roman" w:hAnsi="Arial" w:cs="Times New Roman"/>
          <w:b/>
          <w:bCs/>
          <w:sz w:val="18"/>
          <w:szCs w:val="18"/>
          <w:lang w:val="en-GB"/>
        </w:rPr>
        <w:t>1</w:t>
      </w:r>
      <w:r w:rsidR="00AA050A">
        <w:rPr>
          <w:rFonts w:ascii="Arial" w:eastAsia="Times New Roman" w:hAnsi="Arial" w:cs="Times New Roman"/>
          <w:b/>
          <w:bCs/>
          <w:sz w:val="18"/>
          <w:szCs w:val="18"/>
          <w:lang w:val="en-GB"/>
        </w:rPr>
        <w:t>5</w:t>
      </w:r>
    </w:p>
    <w:p w14:paraId="796F69D9" w14:textId="7D332FF2" w:rsidR="00FE2C51" w:rsidRDefault="00FE2C51" w:rsidP="00FE2C51">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423C9FD8" w14:textId="685EAAE1" w:rsidR="00FE2C51" w:rsidRPr="002714DC" w:rsidRDefault="00334F26" w:rsidP="00FE2C51">
      <w:pPr>
        <w:spacing w:after="0" w:line="240" w:lineRule="auto"/>
        <w:jc w:val="center"/>
        <w:rPr>
          <w:rFonts w:ascii="Arial" w:eastAsia="Times New Roman" w:hAnsi="Arial" w:cs="Times New Roman"/>
          <w:bCs/>
          <w:szCs w:val="20"/>
          <w:lang w:val="en-GB"/>
        </w:rPr>
      </w:pPr>
      <w:r w:rsidRPr="00167A31">
        <w:rPr>
          <w:noProof/>
        </w:rPr>
        <w:drawing>
          <wp:anchor distT="0" distB="0" distL="114300" distR="114300" simplePos="0" relativeHeight="251809792" behindDoc="0" locked="0" layoutInCell="1" allowOverlap="1" wp14:anchorId="5DF54D29" wp14:editId="39E1C3E3">
            <wp:simplePos x="0" y="0"/>
            <wp:positionH relativeFrom="column">
              <wp:posOffset>1365250</wp:posOffset>
            </wp:positionH>
            <wp:positionV relativeFrom="paragraph">
              <wp:posOffset>175895</wp:posOffset>
            </wp:positionV>
            <wp:extent cx="2946400" cy="1920875"/>
            <wp:effectExtent l="0" t="0" r="6350"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6400" cy="1920875"/>
                    </a:xfrm>
                    <a:prstGeom prst="rect">
                      <a:avLst/>
                    </a:prstGeom>
                  </pic:spPr>
                </pic:pic>
              </a:graphicData>
            </a:graphic>
            <wp14:sizeRelH relativeFrom="margin">
              <wp14:pctWidth>0</wp14:pctWidth>
            </wp14:sizeRelH>
            <wp14:sizeRelV relativeFrom="margin">
              <wp14:pctHeight>0</wp14:pctHeight>
            </wp14:sizeRelV>
          </wp:anchor>
        </w:drawing>
      </w:r>
      <w:r w:rsidR="00FE2C51">
        <w:rPr>
          <w:rFonts w:ascii="Arial" w:eastAsia="Times New Roman" w:hAnsi="Arial" w:cs="Times New Roman"/>
          <w:b/>
          <w:bCs/>
          <w:sz w:val="18"/>
          <w:szCs w:val="18"/>
          <w:lang w:val="en-GB"/>
        </w:rPr>
        <w:t>Median OTIs for Q</w:t>
      </w:r>
      <w:r>
        <w:rPr>
          <w:rFonts w:ascii="Arial" w:eastAsia="Times New Roman" w:hAnsi="Arial" w:cs="Times New Roman"/>
          <w:b/>
          <w:bCs/>
          <w:sz w:val="18"/>
          <w:szCs w:val="18"/>
          <w:lang w:val="en-GB"/>
        </w:rPr>
        <w:t>2</w:t>
      </w:r>
      <w:r w:rsidR="00FE2C51">
        <w:rPr>
          <w:rFonts w:ascii="Arial" w:eastAsia="Times New Roman" w:hAnsi="Arial" w:cs="Times New Roman"/>
          <w:b/>
          <w:bCs/>
          <w:sz w:val="18"/>
          <w:szCs w:val="18"/>
          <w:lang w:val="en-GB"/>
        </w:rPr>
        <w:t xml:space="preserve"> households </w:t>
      </w:r>
      <w:r w:rsidR="003A4220">
        <w:rPr>
          <w:rFonts w:ascii="Arial" w:eastAsia="Times New Roman" w:hAnsi="Arial" w:cs="Times New Roman"/>
          <w:b/>
          <w:bCs/>
          <w:sz w:val="18"/>
          <w:szCs w:val="18"/>
          <w:lang w:val="en-GB"/>
        </w:rPr>
        <w:t>with a mortgage</w:t>
      </w:r>
      <w:r w:rsidR="00FE2C51">
        <w:rPr>
          <w:rFonts w:ascii="Arial" w:eastAsia="Times New Roman" w:hAnsi="Arial" w:cs="Times New Roman"/>
          <w:b/>
          <w:bCs/>
          <w:sz w:val="18"/>
          <w:szCs w:val="18"/>
          <w:lang w:val="en-GB"/>
        </w:rPr>
        <w:t>, c 2018</w:t>
      </w:r>
      <w:r w:rsidR="00DE4C98">
        <w:rPr>
          <w:rFonts w:ascii="Arial" w:eastAsia="Times New Roman" w:hAnsi="Arial" w:cs="Times New Roman"/>
          <w:b/>
          <w:bCs/>
          <w:sz w:val="18"/>
          <w:szCs w:val="18"/>
          <w:lang w:val="en-GB"/>
        </w:rPr>
        <w:t xml:space="preserve"> (OECD)</w:t>
      </w:r>
    </w:p>
    <w:p w14:paraId="2ACCFE9B" w14:textId="34F0700C" w:rsidR="00FE2C51" w:rsidRPr="00C97F56" w:rsidRDefault="00FE2C51" w:rsidP="00FE2C51">
      <w:pPr>
        <w:spacing w:after="0" w:line="240" w:lineRule="auto"/>
        <w:jc w:val="center"/>
        <w:rPr>
          <w:rFonts w:ascii="Arial" w:eastAsia="Times New Roman" w:hAnsi="Arial" w:cs="Times New Roman"/>
          <w:b/>
          <w:bCs/>
          <w:sz w:val="18"/>
          <w:szCs w:val="18"/>
          <w:lang w:val="en-GB"/>
        </w:rPr>
      </w:pPr>
      <w:r w:rsidRPr="00C97F56">
        <w:rPr>
          <w:rFonts w:ascii="Arial" w:eastAsia="Times New Roman" w:hAnsi="Arial" w:cs="Times New Roman"/>
          <w:b/>
          <w:bCs/>
          <w:sz w:val="18"/>
          <w:szCs w:val="18"/>
          <w:lang w:val="en-GB"/>
        </w:rPr>
        <w:t xml:space="preserve">Figure </w:t>
      </w:r>
      <w:r w:rsidR="00AA050A">
        <w:rPr>
          <w:rFonts w:ascii="Arial" w:eastAsia="Times New Roman" w:hAnsi="Arial" w:cs="Times New Roman"/>
          <w:b/>
          <w:bCs/>
          <w:sz w:val="18"/>
          <w:szCs w:val="18"/>
          <w:lang w:val="en-GB"/>
        </w:rPr>
        <w:t>16</w:t>
      </w:r>
    </w:p>
    <w:p w14:paraId="155051AF" w14:textId="014C6904" w:rsidR="00FE2C51" w:rsidRDefault="00FE2C51" w:rsidP="00FE2C51">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455A6417" w14:textId="4C6A4F82" w:rsidR="00FE2C51" w:rsidRPr="00C97F56" w:rsidRDefault="00334F26" w:rsidP="00FE2C51">
      <w:pPr>
        <w:spacing w:after="0" w:line="240" w:lineRule="auto"/>
        <w:jc w:val="center"/>
        <w:rPr>
          <w:rFonts w:ascii="Arial" w:eastAsia="Times New Roman" w:hAnsi="Arial" w:cs="Times New Roman"/>
          <w:b/>
          <w:bCs/>
          <w:sz w:val="18"/>
          <w:szCs w:val="18"/>
          <w:lang w:val="en-GB"/>
        </w:rPr>
      </w:pPr>
      <w:r w:rsidRPr="00167A31">
        <w:rPr>
          <w:noProof/>
        </w:rPr>
        <w:drawing>
          <wp:anchor distT="0" distB="0" distL="114300" distR="114300" simplePos="0" relativeHeight="251811840" behindDoc="0" locked="0" layoutInCell="1" allowOverlap="1" wp14:anchorId="1CA1D377" wp14:editId="5D69B2D9">
            <wp:simplePos x="0" y="0"/>
            <wp:positionH relativeFrom="column">
              <wp:posOffset>1366520</wp:posOffset>
            </wp:positionH>
            <wp:positionV relativeFrom="paragraph">
              <wp:posOffset>132080</wp:posOffset>
            </wp:positionV>
            <wp:extent cx="2986405" cy="1949450"/>
            <wp:effectExtent l="0" t="0" r="444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6405" cy="1949450"/>
                    </a:xfrm>
                    <a:prstGeom prst="rect">
                      <a:avLst/>
                    </a:prstGeom>
                  </pic:spPr>
                </pic:pic>
              </a:graphicData>
            </a:graphic>
            <wp14:sizeRelH relativeFrom="margin">
              <wp14:pctWidth>0</wp14:pctWidth>
            </wp14:sizeRelH>
            <wp14:sizeRelV relativeFrom="margin">
              <wp14:pctHeight>0</wp14:pctHeight>
            </wp14:sizeRelV>
          </wp:anchor>
        </w:drawing>
      </w:r>
      <w:r w:rsidR="00FE2C51" w:rsidRPr="005C777F">
        <w:rPr>
          <w:rFonts w:ascii="Arial" w:eastAsia="Times New Roman" w:hAnsi="Arial" w:cs="Times New Roman"/>
          <w:b/>
          <w:bCs/>
          <w:sz w:val="18"/>
          <w:szCs w:val="18"/>
          <w:lang w:val="en-GB"/>
        </w:rPr>
        <w:t xml:space="preserve"> </w:t>
      </w:r>
      <w:r w:rsidR="00FE2C51">
        <w:rPr>
          <w:rFonts w:ascii="Arial" w:eastAsia="Times New Roman" w:hAnsi="Arial" w:cs="Times New Roman"/>
          <w:b/>
          <w:bCs/>
          <w:sz w:val="18"/>
          <w:szCs w:val="18"/>
          <w:lang w:val="en-GB"/>
        </w:rPr>
        <w:t>Median OTIs for Q</w:t>
      </w:r>
      <w:r>
        <w:rPr>
          <w:rFonts w:ascii="Arial" w:eastAsia="Times New Roman" w:hAnsi="Arial" w:cs="Times New Roman"/>
          <w:b/>
          <w:bCs/>
          <w:sz w:val="18"/>
          <w:szCs w:val="18"/>
          <w:lang w:val="en-GB"/>
        </w:rPr>
        <w:t>3</w:t>
      </w:r>
      <w:r w:rsidR="00FE2C51">
        <w:rPr>
          <w:rFonts w:ascii="Arial" w:eastAsia="Times New Roman" w:hAnsi="Arial" w:cs="Times New Roman"/>
          <w:b/>
          <w:bCs/>
          <w:sz w:val="18"/>
          <w:szCs w:val="18"/>
          <w:lang w:val="en-GB"/>
        </w:rPr>
        <w:t xml:space="preserve"> households </w:t>
      </w:r>
      <w:r w:rsidR="003A4220">
        <w:rPr>
          <w:rFonts w:ascii="Arial" w:eastAsia="Times New Roman" w:hAnsi="Arial" w:cs="Times New Roman"/>
          <w:b/>
          <w:bCs/>
          <w:sz w:val="18"/>
          <w:szCs w:val="18"/>
          <w:lang w:val="en-GB"/>
        </w:rPr>
        <w:t>with a mortgage</w:t>
      </w:r>
      <w:r w:rsidR="00FE2C51">
        <w:rPr>
          <w:rFonts w:ascii="Arial" w:eastAsia="Times New Roman" w:hAnsi="Arial" w:cs="Times New Roman"/>
          <w:b/>
          <w:bCs/>
          <w:sz w:val="18"/>
          <w:szCs w:val="18"/>
          <w:lang w:val="en-GB"/>
        </w:rPr>
        <w:t>, c 2018</w:t>
      </w:r>
      <w:r w:rsidR="00DE4C98">
        <w:rPr>
          <w:rFonts w:ascii="Arial" w:eastAsia="Times New Roman" w:hAnsi="Arial" w:cs="Times New Roman"/>
          <w:b/>
          <w:bCs/>
          <w:sz w:val="18"/>
          <w:szCs w:val="18"/>
          <w:lang w:val="en-GB"/>
        </w:rPr>
        <w:t xml:space="preserve"> (OECD)</w:t>
      </w:r>
    </w:p>
    <w:p w14:paraId="37BEA511" w14:textId="147EEF1D" w:rsidR="00FE2C51" w:rsidRPr="00C97F56" w:rsidRDefault="00167A31" w:rsidP="00FE2C51">
      <w:pPr>
        <w:spacing w:after="0" w:line="240" w:lineRule="auto"/>
        <w:jc w:val="center"/>
        <w:rPr>
          <w:rFonts w:ascii="Arial" w:eastAsia="Times New Roman" w:hAnsi="Arial" w:cs="Times New Roman"/>
          <w:b/>
          <w:bCs/>
          <w:sz w:val="18"/>
          <w:szCs w:val="18"/>
          <w:lang w:val="en-GB"/>
        </w:rPr>
      </w:pPr>
      <w:r w:rsidRPr="00167A31">
        <w:t xml:space="preserve"> </w:t>
      </w:r>
      <w:r w:rsidR="00FE2C51" w:rsidRPr="00C97F56">
        <w:rPr>
          <w:rFonts w:ascii="Arial" w:eastAsia="Times New Roman" w:hAnsi="Arial" w:cs="Times New Roman"/>
          <w:b/>
          <w:bCs/>
          <w:sz w:val="18"/>
          <w:szCs w:val="18"/>
          <w:lang w:val="en-GB"/>
        </w:rPr>
        <w:t xml:space="preserve">Figure </w:t>
      </w:r>
      <w:r w:rsidR="00FE2C51">
        <w:rPr>
          <w:rFonts w:ascii="Arial" w:eastAsia="Times New Roman" w:hAnsi="Arial" w:cs="Times New Roman"/>
          <w:b/>
          <w:bCs/>
          <w:sz w:val="18"/>
          <w:szCs w:val="18"/>
          <w:lang w:val="en-GB"/>
        </w:rPr>
        <w:t>1</w:t>
      </w:r>
      <w:r w:rsidR="00AA050A">
        <w:rPr>
          <w:rFonts w:ascii="Arial" w:eastAsia="Times New Roman" w:hAnsi="Arial" w:cs="Times New Roman"/>
          <w:b/>
          <w:bCs/>
          <w:sz w:val="18"/>
          <w:szCs w:val="18"/>
          <w:lang w:val="en-GB"/>
        </w:rPr>
        <w:t>7</w:t>
      </w:r>
    </w:p>
    <w:p w14:paraId="27CF476E" w14:textId="5C9E16A6" w:rsidR="00FE2C51" w:rsidRDefault="00FE2C51" w:rsidP="00FE2C51">
      <w:pPr>
        <w:spacing w:after="0" w:line="240" w:lineRule="auto"/>
        <w:jc w:val="center"/>
        <w:rPr>
          <w:rFonts w:ascii="Arial" w:eastAsia="Times New Roman" w:hAnsi="Arial" w:cs="Times New Roman"/>
          <w:b/>
          <w:bCs/>
          <w:sz w:val="18"/>
          <w:szCs w:val="18"/>
          <w:lang w:val="en-GB"/>
        </w:rPr>
      </w:pPr>
      <w:r>
        <w:rPr>
          <w:rFonts w:ascii="Arial" w:eastAsia="Times New Roman" w:hAnsi="Arial" w:cs="Times New Roman"/>
          <w:b/>
          <w:bCs/>
          <w:sz w:val="18"/>
          <w:szCs w:val="18"/>
          <w:lang w:val="en-GB"/>
        </w:rPr>
        <w:t xml:space="preserve">Households’ housing costs as a share of household income: </w:t>
      </w:r>
    </w:p>
    <w:p w14:paraId="55F42106" w14:textId="2D8A37D7" w:rsidR="00FE2C51" w:rsidRPr="00C97F56" w:rsidRDefault="00334F26" w:rsidP="00FE2C51">
      <w:pPr>
        <w:spacing w:after="0" w:line="240" w:lineRule="auto"/>
        <w:jc w:val="center"/>
        <w:rPr>
          <w:rFonts w:ascii="Arial" w:eastAsia="Times New Roman" w:hAnsi="Arial" w:cs="Times New Roman"/>
          <w:b/>
          <w:bCs/>
          <w:sz w:val="18"/>
          <w:szCs w:val="18"/>
          <w:lang w:val="en-GB"/>
        </w:rPr>
      </w:pPr>
      <w:r w:rsidRPr="00B2523D">
        <w:rPr>
          <w:noProof/>
        </w:rPr>
        <w:drawing>
          <wp:anchor distT="0" distB="0" distL="114300" distR="114300" simplePos="0" relativeHeight="251807744" behindDoc="0" locked="0" layoutInCell="1" allowOverlap="1" wp14:anchorId="649CDA18" wp14:editId="346C4D9F">
            <wp:simplePos x="0" y="0"/>
            <wp:positionH relativeFrom="column">
              <wp:posOffset>1360170</wp:posOffset>
            </wp:positionH>
            <wp:positionV relativeFrom="paragraph">
              <wp:posOffset>149860</wp:posOffset>
            </wp:positionV>
            <wp:extent cx="2996565" cy="1955800"/>
            <wp:effectExtent l="0" t="0" r="0"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6565" cy="1955800"/>
                    </a:xfrm>
                    <a:prstGeom prst="rect">
                      <a:avLst/>
                    </a:prstGeom>
                  </pic:spPr>
                </pic:pic>
              </a:graphicData>
            </a:graphic>
            <wp14:sizeRelH relativeFrom="margin">
              <wp14:pctWidth>0</wp14:pctWidth>
            </wp14:sizeRelH>
            <wp14:sizeRelV relativeFrom="margin">
              <wp14:pctHeight>0</wp14:pctHeight>
            </wp14:sizeRelV>
          </wp:anchor>
        </w:drawing>
      </w:r>
      <w:r w:rsidR="00FE2C51" w:rsidRPr="005C777F">
        <w:rPr>
          <w:rFonts w:ascii="Arial" w:eastAsia="Times New Roman" w:hAnsi="Arial" w:cs="Times New Roman"/>
          <w:b/>
          <w:bCs/>
          <w:sz w:val="18"/>
          <w:szCs w:val="18"/>
          <w:lang w:val="en-GB"/>
        </w:rPr>
        <w:t xml:space="preserve"> </w:t>
      </w:r>
      <w:r w:rsidR="00FE2C51">
        <w:rPr>
          <w:rFonts w:ascii="Arial" w:eastAsia="Times New Roman" w:hAnsi="Arial" w:cs="Times New Roman"/>
          <w:b/>
          <w:bCs/>
          <w:sz w:val="18"/>
          <w:szCs w:val="18"/>
          <w:lang w:val="en-GB"/>
        </w:rPr>
        <w:t>Median OTIs for Q</w:t>
      </w:r>
      <w:r>
        <w:rPr>
          <w:rFonts w:ascii="Arial" w:eastAsia="Times New Roman" w:hAnsi="Arial" w:cs="Times New Roman"/>
          <w:b/>
          <w:bCs/>
          <w:sz w:val="18"/>
          <w:szCs w:val="18"/>
          <w:lang w:val="en-GB"/>
        </w:rPr>
        <w:t>1</w:t>
      </w:r>
      <w:r w:rsidR="00FE2C51">
        <w:rPr>
          <w:rFonts w:ascii="Arial" w:eastAsia="Times New Roman" w:hAnsi="Arial" w:cs="Times New Roman"/>
          <w:b/>
          <w:bCs/>
          <w:sz w:val="18"/>
          <w:szCs w:val="18"/>
          <w:lang w:val="en-GB"/>
        </w:rPr>
        <w:t xml:space="preserve"> households </w:t>
      </w:r>
      <w:r w:rsidR="003A4220">
        <w:rPr>
          <w:rFonts w:ascii="Arial" w:eastAsia="Times New Roman" w:hAnsi="Arial" w:cs="Times New Roman"/>
          <w:b/>
          <w:bCs/>
          <w:sz w:val="18"/>
          <w:szCs w:val="18"/>
          <w:lang w:val="en-GB"/>
        </w:rPr>
        <w:t>with a mortgage</w:t>
      </w:r>
      <w:r w:rsidR="00FE2C51">
        <w:rPr>
          <w:rFonts w:ascii="Arial" w:eastAsia="Times New Roman" w:hAnsi="Arial" w:cs="Times New Roman"/>
          <w:b/>
          <w:bCs/>
          <w:sz w:val="18"/>
          <w:szCs w:val="18"/>
          <w:lang w:val="en-GB"/>
        </w:rPr>
        <w:t>, c 2018</w:t>
      </w:r>
      <w:r w:rsidR="00DE4C98">
        <w:rPr>
          <w:rFonts w:ascii="Arial" w:eastAsia="Times New Roman" w:hAnsi="Arial" w:cs="Times New Roman"/>
          <w:b/>
          <w:bCs/>
          <w:sz w:val="18"/>
          <w:szCs w:val="18"/>
          <w:lang w:val="en-GB"/>
        </w:rPr>
        <w:t xml:space="preserve"> (OECD)</w:t>
      </w:r>
    </w:p>
    <w:bookmarkEnd w:id="11"/>
    <w:p w14:paraId="6369FA98" w14:textId="6B34902A" w:rsidR="00603587" w:rsidRPr="0033032A" w:rsidRDefault="00276CC1" w:rsidP="00603587">
      <w:pPr>
        <w:spacing w:after="0" w:line="240" w:lineRule="auto"/>
        <w:rPr>
          <w:rFonts w:ascii="Arial" w:eastAsia="Times New Roman" w:hAnsi="Arial"/>
          <w:bCs/>
          <w:szCs w:val="20"/>
        </w:rPr>
      </w:pPr>
      <w:r>
        <w:rPr>
          <w:rFonts w:ascii="Arial" w:eastAsia="Times New Roman" w:hAnsi="Arial"/>
          <w:b/>
          <w:sz w:val="32"/>
          <w:szCs w:val="32"/>
        </w:rPr>
        <w:br w:type="page"/>
      </w:r>
      <w:r w:rsidR="00603587" w:rsidRPr="0033032A">
        <w:rPr>
          <w:rFonts w:ascii="Arial" w:eastAsia="Times New Roman" w:hAnsi="Arial"/>
          <w:b/>
          <w:szCs w:val="20"/>
        </w:rPr>
        <w:lastRenderedPageBreak/>
        <w:t>Table 3</w:t>
      </w:r>
      <w:r w:rsidR="00603587" w:rsidRPr="0033032A">
        <w:rPr>
          <w:rFonts w:ascii="Arial" w:eastAsia="Times New Roman" w:hAnsi="Arial"/>
          <w:bCs/>
          <w:szCs w:val="20"/>
        </w:rPr>
        <w:t xml:space="preserve"> summarise</w:t>
      </w:r>
      <w:r w:rsidR="0033032A" w:rsidRPr="0033032A">
        <w:rPr>
          <w:rFonts w:ascii="Arial" w:eastAsia="Times New Roman" w:hAnsi="Arial"/>
          <w:bCs/>
          <w:szCs w:val="20"/>
        </w:rPr>
        <w:t>s New Zealand’s housing stress rates relative the median OECD rates for the main tenure groups reported above.</w:t>
      </w:r>
      <w:r w:rsidR="00CC793E">
        <w:rPr>
          <w:rFonts w:ascii="Arial" w:eastAsia="Times New Roman" w:hAnsi="Arial"/>
          <w:bCs/>
          <w:szCs w:val="20"/>
        </w:rPr>
        <w:t xml:space="preserve"> New Zealand rates are typically double those of the median OECD country</w:t>
      </w:r>
      <w:r w:rsidR="00164E4F">
        <w:rPr>
          <w:rFonts w:ascii="Arial" w:eastAsia="Times New Roman" w:hAnsi="Arial"/>
          <w:bCs/>
          <w:szCs w:val="20"/>
        </w:rPr>
        <w:t xml:space="preserve"> in each case.</w:t>
      </w:r>
    </w:p>
    <w:p w14:paraId="5F5F7BCC" w14:textId="6D1D3612" w:rsidR="00603587" w:rsidRPr="0033032A" w:rsidRDefault="00603587" w:rsidP="00603587">
      <w:pPr>
        <w:spacing w:after="0" w:line="240" w:lineRule="auto"/>
        <w:rPr>
          <w:rFonts w:ascii="Arial" w:eastAsia="Times New Roman" w:hAnsi="Arial"/>
          <w:bCs/>
          <w:szCs w:val="20"/>
        </w:rPr>
      </w:pPr>
    </w:p>
    <w:p w14:paraId="14B03F23" w14:textId="1239EBB1" w:rsidR="00603587" w:rsidRPr="00603587" w:rsidRDefault="0033032A" w:rsidP="00603587">
      <w:pPr>
        <w:spacing w:after="0" w:line="240" w:lineRule="auto"/>
        <w:rPr>
          <w:rFonts w:ascii="Arial" w:eastAsia="Times New Roman" w:hAnsi="Arial"/>
          <w:bCs/>
          <w:sz w:val="32"/>
          <w:szCs w:val="32"/>
        </w:rPr>
      </w:pPr>
      <w:r w:rsidRPr="0033032A">
        <w:rPr>
          <w:rFonts w:ascii="Arial" w:eastAsia="Times New Roman" w:hAnsi="Arial"/>
          <w:bCs/>
          <w:szCs w:val="20"/>
        </w:rPr>
        <w:t>The m</w:t>
      </w:r>
      <w:r w:rsidR="00603587" w:rsidRPr="0033032A">
        <w:rPr>
          <w:rFonts w:ascii="Arial" w:eastAsia="Times New Roman" w:hAnsi="Arial"/>
          <w:bCs/>
          <w:szCs w:val="20"/>
        </w:rPr>
        <w:t xml:space="preserve">edian </w:t>
      </w:r>
      <w:r w:rsidRPr="0033032A">
        <w:rPr>
          <w:rFonts w:ascii="Arial" w:eastAsia="Times New Roman" w:hAnsi="Arial"/>
          <w:bCs/>
          <w:szCs w:val="20"/>
        </w:rPr>
        <w:t>OECD rates are</w:t>
      </w:r>
      <w:r w:rsidR="00603587" w:rsidRPr="0033032A">
        <w:rPr>
          <w:rFonts w:ascii="Arial" w:eastAsia="Times New Roman" w:hAnsi="Arial"/>
          <w:bCs/>
          <w:szCs w:val="20"/>
        </w:rPr>
        <w:t xml:space="preserve"> the </w:t>
      </w:r>
      <w:r w:rsidR="005D54B2" w:rsidRPr="0033032A">
        <w:rPr>
          <w:rFonts w:ascii="Arial" w:eastAsia="Times New Roman" w:hAnsi="Arial"/>
          <w:bCs/>
          <w:szCs w:val="20"/>
        </w:rPr>
        <w:t xml:space="preserve">simple </w:t>
      </w:r>
      <w:r w:rsidR="00603587" w:rsidRPr="0033032A">
        <w:rPr>
          <w:rFonts w:ascii="Arial" w:eastAsia="Times New Roman" w:hAnsi="Arial"/>
          <w:bCs/>
          <w:szCs w:val="20"/>
        </w:rPr>
        <w:t>median country rate</w:t>
      </w:r>
      <w:r w:rsidRPr="0033032A">
        <w:rPr>
          <w:rFonts w:ascii="Arial" w:eastAsia="Times New Roman" w:hAnsi="Arial"/>
          <w:bCs/>
          <w:szCs w:val="20"/>
        </w:rPr>
        <w:t>s</w:t>
      </w:r>
      <w:r w:rsidR="005D54B2" w:rsidRPr="0033032A">
        <w:rPr>
          <w:rFonts w:ascii="Arial" w:eastAsia="Times New Roman" w:hAnsi="Arial"/>
          <w:bCs/>
          <w:szCs w:val="20"/>
        </w:rPr>
        <w:t>, not the weighted median that takes population sizes into account.</w:t>
      </w:r>
    </w:p>
    <w:p w14:paraId="7EE19A97" w14:textId="77777777" w:rsidR="005D54B2" w:rsidRDefault="005D54B2" w:rsidP="005D54B2">
      <w:pPr>
        <w:spacing w:after="0" w:line="240" w:lineRule="auto"/>
        <w:jc w:val="center"/>
        <w:rPr>
          <w:rFonts w:ascii="Arial" w:eastAsia="Times New Roman" w:hAnsi="Arial" w:cs="Times New Roman"/>
          <w:b/>
          <w:sz w:val="18"/>
          <w:szCs w:val="18"/>
          <w:lang w:val="en-GB"/>
        </w:rPr>
      </w:pPr>
    </w:p>
    <w:p w14:paraId="56A04244" w14:textId="77777777" w:rsidR="005D54B2" w:rsidRDefault="005D54B2" w:rsidP="005D54B2">
      <w:pPr>
        <w:spacing w:after="0" w:line="240" w:lineRule="auto"/>
        <w:jc w:val="center"/>
        <w:rPr>
          <w:rFonts w:ascii="Arial" w:eastAsia="Times New Roman" w:hAnsi="Arial" w:cs="Times New Roman"/>
          <w:b/>
          <w:sz w:val="18"/>
          <w:szCs w:val="18"/>
          <w:lang w:val="en-GB"/>
        </w:rPr>
      </w:pPr>
    </w:p>
    <w:p w14:paraId="27BD5D3E" w14:textId="2FF49FB9" w:rsidR="005D54B2" w:rsidRPr="00FF3F3A" w:rsidRDefault="005D54B2" w:rsidP="005D54B2">
      <w:pPr>
        <w:spacing w:after="0" w:line="240" w:lineRule="auto"/>
        <w:jc w:val="center"/>
        <w:rPr>
          <w:rFonts w:ascii="Arial" w:eastAsia="Times New Roman" w:hAnsi="Arial" w:cs="Times New Roman"/>
          <w:b/>
          <w:sz w:val="18"/>
          <w:szCs w:val="18"/>
          <w:lang w:val="en-GB"/>
        </w:rPr>
      </w:pPr>
      <w:r w:rsidRPr="00FF3F3A">
        <w:rPr>
          <w:rFonts w:ascii="Arial" w:eastAsia="Times New Roman" w:hAnsi="Arial" w:cs="Times New Roman"/>
          <w:b/>
          <w:sz w:val="18"/>
          <w:szCs w:val="18"/>
          <w:lang w:val="en-GB"/>
        </w:rPr>
        <w:t xml:space="preserve">Table </w:t>
      </w:r>
      <w:r>
        <w:rPr>
          <w:rFonts w:ascii="Arial" w:eastAsia="Times New Roman" w:hAnsi="Arial" w:cs="Times New Roman"/>
          <w:b/>
          <w:sz w:val="18"/>
          <w:szCs w:val="18"/>
          <w:lang w:val="en-GB"/>
        </w:rPr>
        <w:t>3</w:t>
      </w:r>
    </w:p>
    <w:p w14:paraId="26AECBCC" w14:textId="77777777" w:rsidR="005D54B2" w:rsidRDefault="005D54B2" w:rsidP="005D54B2">
      <w:pPr>
        <w:spacing w:line="240" w:lineRule="auto"/>
        <w:jc w:val="center"/>
        <w:rPr>
          <w:rFonts w:ascii="Arial" w:eastAsia="Times New Roman" w:hAnsi="Arial" w:cs="Times New Roman"/>
          <w:b/>
          <w:sz w:val="18"/>
          <w:szCs w:val="18"/>
          <w:lang w:val="en-GB"/>
        </w:rPr>
      </w:pPr>
      <w:r>
        <w:rPr>
          <w:rFonts w:ascii="Arial" w:eastAsia="Times New Roman" w:hAnsi="Arial" w:cs="Times New Roman"/>
          <w:b/>
          <w:sz w:val="18"/>
          <w:szCs w:val="18"/>
          <w:lang w:val="en-GB"/>
        </w:rPr>
        <w:t>New Zealand rates compared with median OECD country rates for OTIs &gt; 40%, low-income and overall</w:t>
      </w:r>
    </w:p>
    <w:tbl>
      <w:tblPr>
        <w:tblStyle w:val="TableGrid"/>
        <w:tblW w:w="0" w:type="auto"/>
        <w:jc w:val="center"/>
        <w:tblLook w:val="04A0" w:firstRow="1" w:lastRow="0" w:firstColumn="1" w:lastColumn="0" w:noHBand="0" w:noVBand="1"/>
      </w:tblPr>
      <w:tblGrid>
        <w:gridCol w:w="3118"/>
        <w:gridCol w:w="992"/>
        <w:gridCol w:w="1560"/>
        <w:gridCol w:w="2263"/>
      </w:tblGrid>
      <w:tr w:rsidR="005D54B2" w14:paraId="62DEEA17" w14:textId="77777777" w:rsidTr="003E403F">
        <w:trPr>
          <w:jc w:val="center"/>
        </w:trPr>
        <w:tc>
          <w:tcPr>
            <w:tcW w:w="3118" w:type="dxa"/>
            <w:tcMar>
              <w:left w:w="57" w:type="dxa"/>
              <w:right w:w="57" w:type="dxa"/>
            </w:tcMar>
            <w:vAlign w:val="center"/>
          </w:tcPr>
          <w:p w14:paraId="1ACD1466" w14:textId="77777777" w:rsidR="005D54B2" w:rsidRPr="00603587" w:rsidRDefault="005D54B2" w:rsidP="00023CF5">
            <w:pPr>
              <w:spacing w:before="40" w:after="40" w:line="240" w:lineRule="auto"/>
              <w:jc w:val="center"/>
              <w:rPr>
                <w:rFonts w:ascii="Arial" w:hAnsi="Arial"/>
                <w:b/>
                <w:bCs/>
                <w:sz w:val="14"/>
                <w:szCs w:val="14"/>
              </w:rPr>
            </w:pPr>
            <w:r w:rsidRPr="00603587">
              <w:rPr>
                <w:rFonts w:ascii="Arial" w:hAnsi="Arial"/>
                <w:b/>
                <w:bCs/>
                <w:sz w:val="14"/>
                <w:szCs w:val="14"/>
              </w:rPr>
              <w:t>Group</w:t>
            </w:r>
          </w:p>
        </w:tc>
        <w:tc>
          <w:tcPr>
            <w:tcW w:w="992" w:type="dxa"/>
            <w:tcMar>
              <w:left w:w="57" w:type="dxa"/>
              <w:right w:w="57" w:type="dxa"/>
            </w:tcMar>
            <w:vAlign w:val="center"/>
          </w:tcPr>
          <w:p w14:paraId="489444E0" w14:textId="77777777" w:rsidR="005D54B2" w:rsidRPr="00603587" w:rsidRDefault="005D54B2" w:rsidP="00023CF5">
            <w:pPr>
              <w:spacing w:before="40" w:after="40" w:line="240" w:lineRule="auto"/>
              <w:jc w:val="center"/>
              <w:rPr>
                <w:rFonts w:ascii="Arial" w:hAnsi="Arial"/>
                <w:b/>
                <w:bCs/>
                <w:sz w:val="14"/>
                <w:szCs w:val="14"/>
              </w:rPr>
            </w:pPr>
            <w:r w:rsidRPr="00603587">
              <w:rPr>
                <w:rFonts w:ascii="Arial" w:hAnsi="Arial"/>
                <w:b/>
                <w:bCs/>
                <w:sz w:val="14"/>
                <w:szCs w:val="14"/>
              </w:rPr>
              <w:t>NZ rate</w:t>
            </w:r>
          </w:p>
        </w:tc>
        <w:tc>
          <w:tcPr>
            <w:tcW w:w="1560" w:type="dxa"/>
            <w:tcMar>
              <w:left w:w="57" w:type="dxa"/>
              <w:right w:w="57" w:type="dxa"/>
            </w:tcMar>
            <w:vAlign w:val="center"/>
          </w:tcPr>
          <w:p w14:paraId="7B232B93" w14:textId="76651BE6" w:rsidR="005D54B2" w:rsidRPr="00603587" w:rsidRDefault="003E403F" w:rsidP="00023CF5">
            <w:pPr>
              <w:spacing w:before="40" w:after="40" w:line="240" w:lineRule="auto"/>
              <w:jc w:val="center"/>
              <w:rPr>
                <w:rFonts w:ascii="Arial" w:hAnsi="Arial"/>
                <w:b/>
                <w:bCs/>
                <w:sz w:val="14"/>
                <w:szCs w:val="14"/>
              </w:rPr>
            </w:pPr>
            <w:r>
              <w:rPr>
                <w:rFonts w:ascii="Arial" w:hAnsi="Arial"/>
                <w:b/>
                <w:bCs/>
                <w:sz w:val="14"/>
                <w:szCs w:val="14"/>
              </w:rPr>
              <w:t xml:space="preserve">Median </w:t>
            </w:r>
            <w:r w:rsidR="005D54B2" w:rsidRPr="00603587">
              <w:rPr>
                <w:rFonts w:ascii="Arial" w:hAnsi="Arial"/>
                <w:b/>
                <w:bCs/>
                <w:sz w:val="14"/>
                <w:szCs w:val="14"/>
              </w:rPr>
              <w:t>OECD rate</w:t>
            </w:r>
          </w:p>
        </w:tc>
        <w:tc>
          <w:tcPr>
            <w:tcW w:w="2263" w:type="dxa"/>
            <w:tcMar>
              <w:left w:w="57" w:type="dxa"/>
              <w:right w:w="57" w:type="dxa"/>
            </w:tcMar>
            <w:vAlign w:val="center"/>
          </w:tcPr>
          <w:p w14:paraId="0F4B9D51" w14:textId="5F73C4A1" w:rsidR="005D54B2" w:rsidRPr="00603587" w:rsidRDefault="005D54B2" w:rsidP="00023CF5">
            <w:pPr>
              <w:spacing w:before="40" w:after="40" w:line="240" w:lineRule="auto"/>
              <w:jc w:val="center"/>
              <w:rPr>
                <w:rFonts w:ascii="Arial" w:hAnsi="Arial"/>
                <w:b/>
                <w:bCs/>
                <w:sz w:val="14"/>
                <w:szCs w:val="14"/>
              </w:rPr>
            </w:pPr>
            <w:r w:rsidRPr="00603587">
              <w:rPr>
                <w:rFonts w:ascii="Arial" w:hAnsi="Arial"/>
                <w:b/>
                <w:bCs/>
                <w:sz w:val="14"/>
                <w:szCs w:val="14"/>
              </w:rPr>
              <w:t xml:space="preserve">Ratio (NZ / </w:t>
            </w:r>
            <w:r w:rsidR="003E403F">
              <w:rPr>
                <w:rFonts w:ascii="Arial" w:hAnsi="Arial"/>
                <w:b/>
                <w:bCs/>
                <w:sz w:val="14"/>
                <w:szCs w:val="14"/>
              </w:rPr>
              <w:t xml:space="preserve">median </w:t>
            </w:r>
            <w:r w:rsidRPr="00603587">
              <w:rPr>
                <w:rFonts w:ascii="Arial" w:hAnsi="Arial"/>
                <w:b/>
                <w:bCs/>
                <w:sz w:val="14"/>
                <w:szCs w:val="14"/>
              </w:rPr>
              <w:t xml:space="preserve">OECD </w:t>
            </w:r>
            <w:r w:rsidR="003E403F">
              <w:rPr>
                <w:rFonts w:ascii="Arial" w:hAnsi="Arial"/>
                <w:b/>
                <w:bCs/>
                <w:sz w:val="14"/>
                <w:szCs w:val="14"/>
              </w:rPr>
              <w:t>rate</w:t>
            </w:r>
            <w:r w:rsidRPr="00603587">
              <w:rPr>
                <w:rFonts w:ascii="Arial" w:hAnsi="Arial"/>
                <w:b/>
                <w:bCs/>
                <w:sz w:val="14"/>
                <w:szCs w:val="14"/>
              </w:rPr>
              <w:t>)</w:t>
            </w:r>
          </w:p>
        </w:tc>
      </w:tr>
      <w:tr w:rsidR="005D54B2" w14:paraId="5E746D22" w14:textId="77777777" w:rsidTr="003E403F">
        <w:trPr>
          <w:jc w:val="center"/>
        </w:trPr>
        <w:tc>
          <w:tcPr>
            <w:tcW w:w="3118" w:type="dxa"/>
            <w:vAlign w:val="center"/>
          </w:tcPr>
          <w:p w14:paraId="1CC76101"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Private rent, Q1</w:t>
            </w:r>
          </w:p>
        </w:tc>
        <w:tc>
          <w:tcPr>
            <w:tcW w:w="992" w:type="dxa"/>
            <w:vAlign w:val="center"/>
          </w:tcPr>
          <w:p w14:paraId="27E12560"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61</w:t>
            </w:r>
          </w:p>
        </w:tc>
        <w:tc>
          <w:tcPr>
            <w:tcW w:w="1560" w:type="dxa"/>
            <w:vAlign w:val="center"/>
          </w:tcPr>
          <w:p w14:paraId="0363AEB1"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30</w:t>
            </w:r>
          </w:p>
        </w:tc>
        <w:tc>
          <w:tcPr>
            <w:tcW w:w="2263" w:type="dxa"/>
            <w:vAlign w:val="center"/>
          </w:tcPr>
          <w:p w14:paraId="22317579"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2.0</w:t>
            </w:r>
          </w:p>
        </w:tc>
      </w:tr>
      <w:tr w:rsidR="005D54B2" w14:paraId="5E04AE91" w14:textId="77777777" w:rsidTr="003E403F">
        <w:trPr>
          <w:jc w:val="center"/>
        </w:trPr>
        <w:tc>
          <w:tcPr>
            <w:tcW w:w="3118" w:type="dxa"/>
            <w:vAlign w:val="center"/>
          </w:tcPr>
          <w:p w14:paraId="338BAAD0"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Private rent, Q2</w:t>
            </w:r>
          </w:p>
        </w:tc>
        <w:tc>
          <w:tcPr>
            <w:tcW w:w="992" w:type="dxa"/>
            <w:vAlign w:val="center"/>
          </w:tcPr>
          <w:p w14:paraId="1024B1E6"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22</w:t>
            </w:r>
          </w:p>
        </w:tc>
        <w:tc>
          <w:tcPr>
            <w:tcW w:w="1560" w:type="dxa"/>
            <w:vAlign w:val="center"/>
          </w:tcPr>
          <w:p w14:paraId="6AC99134"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9</w:t>
            </w:r>
          </w:p>
        </w:tc>
        <w:tc>
          <w:tcPr>
            <w:tcW w:w="2263" w:type="dxa"/>
            <w:vAlign w:val="center"/>
          </w:tcPr>
          <w:p w14:paraId="51D47120"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2.4</w:t>
            </w:r>
          </w:p>
        </w:tc>
      </w:tr>
      <w:tr w:rsidR="005D54B2" w14:paraId="58466574" w14:textId="77777777" w:rsidTr="003E403F">
        <w:trPr>
          <w:jc w:val="center"/>
        </w:trPr>
        <w:tc>
          <w:tcPr>
            <w:tcW w:w="3118" w:type="dxa"/>
            <w:vAlign w:val="center"/>
          </w:tcPr>
          <w:p w14:paraId="74A9D7A0"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Owned with mortgage, Q1</w:t>
            </w:r>
          </w:p>
        </w:tc>
        <w:tc>
          <w:tcPr>
            <w:tcW w:w="4815" w:type="dxa"/>
            <w:gridSpan w:val="3"/>
            <w:vAlign w:val="center"/>
          </w:tcPr>
          <w:p w14:paraId="32C204FE"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New Zealand numbers too small to support a reliable comparison</w:t>
            </w:r>
          </w:p>
        </w:tc>
      </w:tr>
      <w:tr w:rsidR="005D54B2" w14:paraId="4F79FEAF" w14:textId="77777777" w:rsidTr="003E403F">
        <w:trPr>
          <w:jc w:val="center"/>
        </w:trPr>
        <w:tc>
          <w:tcPr>
            <w:tcW w:w="3118" w:type="dxa"/>
            <w:vAlign w:val="center"/>
          </w:tcPr>
          <w:p w14:paraId="1FAF0389"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Owned with mortgage, Q2</w:t>
            </w:r>
          </w:p>
        </w:tc>
        <w:tc>
          <w:tcPr>
            <w:tcW w:w="992" w:type="dxa"/>
            <w:vAlign w:val="center"/>
          </w:tcPr>
          <w:p w14:paraId="182763EE"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17</w:t>
            </w:r>
          </w:p>
        </w:tc>
        <w:tc>
          <w:tcPr>
            <w:tcW w:w="1560" w:type="dxa"/>
            <w:vAlign w:val="center"/>
          </w:tcPr>
          <w:p w14:paraId="3A316E0A"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7</w:t>
            </w:r>
          </w:p>
        </w:tc>
        <w:tc>
          <w:tcPr>
            <w:tcW w:w="2263" w:type="dxa"/>
            <w:vAlign w:val="center"/>
          </w:tcPr>
          <w:p w14:paraId="1557418A"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2.4</w:t>
            </w:r>
          </w:p>
        </w:tc>
      </w:tr>
      <w:tr w:rsidR="005D54B2" w14:paraId="7AB57E54" w14:textId="77777777" w:rsidTr="003E403F">
        <w:trPr>
          <w:jc w:val="center"/>
        </w:trPr>
        <w:tc>
          <w:tcPr>
            <w:tcW w:w="3118" w:type="dxa"/>
            <w:vAlign w:val="center"/>
          </w:tcPr>
          <w:p w14:paraId="162C5838"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Private rent, all</w:t>
            </w:r>
          </w:p>
        </w:tc>
        <w:tc>
          <w:tcPr>
            <w:tcW w:w="992" w:type="dxa"/>
            <w:vAlign w:val="center"/>
          </w:tcPr>
          <w:p w14:paraId="3E410B40"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24</w:t>
            </w:r>
          </w:p>
        </w:tc>
        <w:tc>
          <w:tcPr>
            <w:tcW w:w="1560" w:type="dxa"/>
            <w:vAlign w:val="center"/>
          </w:tcPr>
          <w:p w14:paraId="605964D9"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12</w:t>
            </w:r>
          </w:p>
        </w:tc>
        <w:tc>
          <w:tcPr>
            <w:tcW w:w="2263" w:type="dxa"/>
            <w:vAlign w:val="center"/>
          </w:tcPr>
          <w:p w14:paraId="607EC76D"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2.0</w:t>
            </w:r>
          </w:p>
        </w:tc>
      </w:tr>
      <w:tr w:rsidR="005D54B2" w14:paraId="20C6C63C" w14:textId="77777777" w:rsidTr="003E403F">
        <w:trPr>
          <w:jc w:val="center"/>
        </w:trPr>
        <w:tc>
          <w:tcPr>
            <w:tcW w:w="3118" w:type="dxa"/>
            <w:vAlign w:val="center"/>
          </w:tcPr>
          <w:p w14:paraId="1FBC65A3"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Owned with mortgage, all</w:t>
            </w:r>
          </w:p>
        </w:tc>
        <w:tc>
          <w:tcPr>
            <w:tcW w:w="992" w:type="dxa"/>
            <w:vAlign w:val="center"/>
          </w:tcPr>
          <w:p w14:paraId="1993E147"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9</w:t>
            </w:r>
          </w:p>
        </w:tc>
        <w:tc>
          <w:tcPr>
            <w:tcW w:w="1560" w:type="dxa"/>
            <w:vAlign w:val="center"/>
          </w:tcPr>
          <w:p w14:paraId="59362A12"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4</w:t>
            </w:r>
          </w:p>
        </w:tc>
        <w:tc>
          <w:tcPr>
            <w:tcW w:w="2263" w:type="dxa"/>
            <w:vAlign w:val="center"/>
          </w:tcPr>
          <w:p w14:paraId="0DF8E71C"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2.7</w:t>
            </w:r>
          </w:p>
        </w:tc>
      </w:tr>
      <w:tr w:rsidR="005D54B2" w14:paraId="5DF2B2B0" w14:textId="77777777" w:rsidTr="003E403F">
        <w:trPr>
          <w:jc w:val="center"/>
        </w:trPr>
        <w:tc>
          <w:tcPr>
            <w:tcW w:w="3118" w:type="dxa"/>
            <w:vAlign w:val="center"/>
          </w:tcPr>
          <w:p w14:paraId="04AFB3F5" w14:textId="77777777" w:rsidR="005D54B2" w:rsidRPr="00603587" w:rsidRDefault="005D54B2" w:rsidP="00023CF5">
            <w:pPr>
              <w:spacing w:before="40" w:after="40" w:line="240" w:lineRule="auto"/>
              <w:rPr>
                <w:rFonts w:ascii="Arial" w:hAnsi="Arial"/>
                <w:sz w:val="14"/>
                <w:szCs w:val="14"/>
              </w:rPr>
            </w:pPr>
            <w:r>
              <w:rPr>
                <w:rFonts w:ascii="Arial" w:hAnsi="Arial"/>
                <w:sz w:val="14"/>
                <w:szCs w:val="14"/>
              </w:rPr>
              <w:t>Rent or mortgage, all (including social rent)</w:t>
            </w:r>
          </w:p>
        </w:tc>
        <w:tc>
          <w:tcPr>
            <w:tcW w:w="992" w:type="dxa"/>
            <w:vAlign w:val="center"/>
          </w:tcPr>
          <w:p w14:paraId="63976E68"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14</w:t>
            </w:r>
          </w:p>
        </w:tc>
        <w:tc>
          <w:tcPr>
            <w:tcW w:w="1560" w:type="dxa"/>
            <w:vAlign w:val="center"/>
          </w:tcPr>
          <w:p w14:paraId="437372A8"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8</w:t>
            </w:r>
          </w:p>
        </w:tc>
        <w:tc>
          <w:tcPr>
            <w:tcW w:w="2263" w:type="dxa"/>
            <w:vAlign w:val="center"/>
          </w:tcPr>
          <w:p w14:paraId="3F027FEE" w14:textId="77777777" w:rsidR="005D54B2" w:rsidRPr="00603587" w:rsidRDefault="005D54B2" w:rsidP="00023CF5">
            <w:pPr>
              <w:spacing w:before="40" w:after="40" w:line="240" w:lineRule="auto"/>
              <w:jc w:val="center"/>
              <w:rPr>
                <w:rFonts w:ascii="Arial" w:hAnsi="Arial"/>
                <w:sz w:val="14"/>
                <w:szCs w:val="14"/>
              </w:rPr>
            </w:pPr>
            <w:r>
              <w:rPr>
                <w:rFonts w:ascii="Arial" w:hAnsi="Arial"/>
                <w:sz w:val="14"/>
                <w:szCs w:val="14"/>
              </w:rPr>
              <w:t>1.9</w:t>
            </w:r>
          </w:p>
        </w:tc>
      </w:tr>
    </w:tbl>
    <w:p w14:paraId="42BDF2FD" w14:textId="77777777" w:rsidR="005D54B2" w:rsidRDefault="005D54B2" w:rsidP="005D54B2">
      <w:pPr>
        <w:spacing w:line="240" w:lineRule="auto"/>
        <w:jc w:val="center"/>
        <w:rPr>
          <w:rFonts w:ascii="Arial" w:hAnsi="Arial"/>
        </w:rPr>
      </w:pPr>
    </w:p>
    <w:p w14:paraId="0C1FA0B7" w14:textId="77777777" w:rsidR="005D54B2" w:rsidRDefault="005D54B2" w:rsidP="005D54B2">
      <w:pPr>
        <w:spacing w:after="0" w:line="240" w:lineRule="auto"/>
        <w:rPr>
          <w:rFonts w:ascii="Arial" w:eastAsia="Times New Roman" w:hAnsi="Arial"/>
          <w:b/>
          <w:sz w:val="32"/>
          <w:szCs w:val="32"/>
        </w:rPr>
      </w:pPr>
    </w:p>
    <w:p w14:paraId="346546ED" w14:textId="7F98DFBD" w:rsidR="005D54B2" w:rsidRPr="00E3596F" w:rsidRDefault="00E3596F" w:rsidP="00E3596F">
      <w:pPr>
        <w:spacing w:after="0" w:line="240" w:lineRule="auto"/>
        <w:rPr>
          <w:rFonts w:ascii="Arial" w:hAnsi="Arial"/>
          <w:u w:val="single"/>
        </w:rPr>
      </w:pPr>
      <w:r w:rsidRPr="00E3596F">
        <w:rPr>
          <w:rFonts w:ascii="Arial" w:hAnsi="Arial"/>
          <w:u w:val="single"/>
        </w:rPr>
        <w:t xml:space="preserve">Comparison of housing </w:t>
      </w:r>
      <w:r w:rsidR="00714329">
        <w:rPr>
          <w:rFonts w:ascii="Arial" w:hAnsi="Arial"/>
          <w:u w:val="single"/>
        </w:rPr>
        <w:t>costs relative to income</w:t>
      </w:r>
      <w:r w:rsidRPr="00E3596F">
        <w:rPr>
          <w:rFonts w:ascii="Arial" w:hAnsi="Arial"/>
          <w:u w:val="single"/>
        </w:rPr>
        <w:t xml:space="preserve"> using a wider definition of housing costs</w:t>
      </w:r>
    </w:p>
    <w:p w14:paraId="73FA52E0" w14:textId="73857E68" w:rsidR="005D54B2" w:rsidRPr="00E3596F" w:rsidRDefault="005D54B2">
      <w:pPr>
        <w:spacing w:after="0" w:line="240" w:lineRule="auto"/>
        <w:rPr>
          <w:rFonts w:ascii="Arial" w:eastAsia="Times New Roman" w:hAnsi="Arial"/>
          <w:bCs/>
          <w:szCs w:val="20"/>
        </w:rPr>
      </w:pPr>
    </w:p>
    <w:p w14:paraId="5F8DF44A" w14:textId="3A8037E7" w:rsidR="00E3596F" w:rsidRDefault="00E3596F">
      <w:pPr>
        <w:spacing w:after="0" w:line="240" w:lineRule="auto"/>
        <w:rPr>
          <w:rFonts w:ascii="Arial" w:eastAsia="Times New Roman" w:hAnsi="Arial"/>
          <w:bCs/>
          <w:szCs w:val="20"/>
        </w:rPr>
      </w:pPr>
      <w:r w:rsidRPr="00E3596F">
        <w:rPr>
          <w:rFonts w:ascii="Arial" w:eastAsia="Times New Roman" w:hAnsi="Arial"/>
          <w:bCs/>
          <w:szCs w:val="20"/>
        </w:rPr>
        <w:t>The</w:t>
      </w:r>
      <w:r>
        <w:rPr>
          <w:rFonts w:ascii="Arial" w:eastAsia="Times New Roman" w:hAnsi="Arial"/>
          <w:bCs/>
          <w:szCs w:val="20"/>
        </w:rPr>
        <w:t xml:space="preserve"> OECD also reports on</w:t>
      </w:r>
      <w:r w:rsidR="00714329">
        <w:rPr>
          <w:rFonts w:ascii="Arial" w:eastAsia="Times New Roman" w:hAnsi="Arial"/>
          <w:bCs/>
          <w:szCs w:val="20"/>
        </w:rPr>
        <w:t xml:space="preserve"> housing costs using a wider definition of housing costs which includes</w:t>
      </w:r>
      <w:r w:rsidR="003E2C74">
        <w:rPr>
          <w:rFonts w:ascii="Arial" w:eastAsia="Times New Roman" w:hAnsi="Arial"/>
          <w:bCs/>
          <w:szCs w:val="20"/>
        </w:rPr>
        <w:t xml:space="preserve"> dwelling insurance, maintenance and repairs, utilities, and so on, as well as rent and mortgage or imputed rent. The documentation is not clear about whether for owners it is the mortgage repayments or imputed rent</w:t>
      </w:r>
      <w:r w:rsidR="006E3C69">
        <w:rPr>
          <w:rFonts w:ascii="Arial" w:eastAsia="Times New Roman" w:hAnsi="Arial"/>
          <w:bCs/>
          <w:szCs w:val="20"/>
        </w:rPr>
        <w:t xml:space="preserve"> that </w:t>
      </w:r>
      <w:r w:rsidR="003E2C74">
        <w:rPr>
          <w:rFonts w:ascii="Arial" w:eastAsia="Times New Roman" w:hAnsi="Arial"/>
          <w:bCs/>
          <w:szCs w:val="20"/>
        </w:rPr>
        <w:t>is used. This report errs on the side of caution and does not include this comparison. See Barker et al (2019) at Figure 2 and associated text for a caution about possible upward bias on imputed rent for New Zealand.</w:t>
      </w:r>
    </w:p>
    <w:p w14:paraId="5AA78280" w14:textId="67465B83" w:rsidR="003E2C74" w:rsidRDefault="003E2C74">
      <w:pPr>
        <w:spacing w:after="0" w:line="240" w:lineRule="auto"/>
        <w:rPr>
          <w:rFonts w:ascii="Arial" w:eastAsia="Times New Roman" w:hAnsi="Arial"/>
          <w:bCs/>
          <w:szCs w:val="20"/>
        </w:rPr>
      </w:pPr>
    </w:p>
    <w:p w14:paraId="1131A9D4" w14:textId="306CAC61" w:rsidR="003E2C74" w:rsidRDefault="003E2C74">
      <w:pPr>
        <w:spacing w:after="0" w:line="240" w:lineRule="auto"/>
        <w:rPr>
          <w:rFonts w:ascii="Arial" w:eastAsia="Times New Roman" w:hAnsi="Arial"/>
          <w:bCs/>
          <w:szCs w:val="20"/>
        </w:rPr>
      </w:pPr>
      <w:r>
        <w:rPr>
          <w:rFonts w:ascii="Arial" w:eastAsia="Times New Roman" w:hAnsi="Arial"/>
          <w:bCs/>
          <w:szCs w:val="20"/>
        </w:rPr>
        <w:t>The EU comparisons which follow use a wider definition too, but unfortunately exclude mortgage principal repayments.</w:t>
      </w:r>
    </w:p>
    <w:p w14:paraId="541DC168" w14:textId="14918727" w:rsidR="003E2C74" w:rsidRDefault="003E2C74">
      <w:pPr>
        <w:spacing w:after="0" w:line="240" w:lineRule="auto"/>
        <w:rPr>
          <w:rFonts w:ascii="Arial" w:eastAsia="Times New Roman" w:hAnsi="Arial"/>
          <w:bCs/>
          <w:szCs w:val="20"/>
        </w:rPr>
      </w:pPr>
    </w:p>
    <w:p w14:paraId="2DFAAAE0" w14:textId="5EB56613" w:rsidR="003E2C74" w:rsidRDefault="003E2C74">
      <w:pPr>
        <w:spacing w:after="0" w:line="240" w:lineRule="auto"/>
        <w:rPr>
          <w:rFonts w:ascii="Arial" w:eastAsia="Times New Roman" w:hAnsi="Arial"/>
          <w:bCs/>
          <w:szCs w:val="20"/>
        </w:rPr>
      </w:pPr>
      <w:r>
        <w:rPr>
          <w:rFonts w:ascii="Arial" w:eastAsia="Times New Roman" w:hAnsi="Arial"/>
          <w:bCs/>
          <w:szCs w:val="20"/>
        </w:rPr>
        <w:t>If a reliable ‘wider housing costs’ analysis for international comparisons comes available, MSD will publish it in a future edition.</w:t>
      </w:r>
    </w:p>
    <w:p w14:paraId="75563739" w14:textId="0791738E" w:rsidR="003E2C74" w:rsidRDefault="003E2C74">
      <w:pPr>
        <w:spacing w:after="0" w:line="240" w:lineRule="auto"/>
        <w:rPr>
          <w:rFonts w:ascii="Arial" w:eastAsia="Times New Roman" w:hAnsi="Arial"/>
          <w:bCs/>
          <w:szCs w:val="20"/>
        </w:rPr>
      </w:pPr>
    </w:p>
    <w:p w14:paraId="720ACD26" w14:textId="77777777" w:rsidR="003E2C74" w:rsidRPr="00E3596F" w:rsidRDefault="003E2C74">
      <w:pPr>
        <w:spacing w:after="0" w:line="240" w:lineRule="auto"/>
        <w:rPr>
          <w:rFonts w:ascii="Arial" w:eastAsia="Times New Roman" w:hAnsi="Arial"/>
          <w:b/>
          <w:szCs w:val="20"/>
        </w:rPr>
      </w:pPr>
    </w:p>
    <w:p w14:paraId="5FBD12C2" w14:textId="77777777" w:rsidR="00E3596F" w:rsidRDefault="00E3596F">
      <w:pPr>
        <w:spacing w:after="0" w:line="240" w:lineRule="auto"/>
        <w:rPr>
          <w:rFonts w:ascii="Arial" w:eastAsia="Times New Roman" w:hAnsi="Arial"/>
          <w:b/>
          <w:sz w:val="32"/>
          <w:szCs w:val="32"/>
        </w:rPr>
      </w:pPr>
      <w:r>
        <w:rPr>
          <w:rFonts w:ascii="Arial" w:eastAsia="Times New Roman" w:hAnsi="Arial"/>
          <w:b/>
          <w:sz w:val="32"/>
          <w:szCs w:val="32"/>
        </w:rPr>
        <w:br w:type="page"/>
      </w:r>
    </w:p>
    <w:p w14:paraId="7C3E4090" w14:textId="77777777" w:rsidR="00A319FC" w:rsidRDefault="00A319FC">
      <w:pPr>
        <w:spacing w:after="0" w:line="240" w:lineRule="auto"/>
        <w:rPr>
          <w:rFonts w:ascii="Arial" w:eastAsia="Times New Roman" w:hAnsi="Arial"/>
          <w:b/>
          <w:sz w:val="32"/>
          <w:szCs w:val="32"/>
        </w:rPr>
      </w:pPr>
      <w:r>
        <w:rPr>
          <w:rFonts w:ascii="Arial" w:eastAsia="Times New Roman" w:hAnsi="Arial"/>
          <w:b/>
          <w:sz w:val="32"/>
          <w:szCs w:val="32"/>
        </w:rPr>
        <w:lastRenderedPageBreak/>
        <w:br w:type="page"/>
      </w:r>
    </w:p>
    <w:p w14:paraId="533955F5" w14:textId="253BA539" w:rsidR="00531A85" w:rsidRPr="00994190" w:rsidRDefault="00531A85" w:rsidP="00531A85">
      <w:pPr>
        <w:spacing w:after="0" w:line="240" w:lineRule="auto"/>
        <w:jc w:val="both"/>
        <w:rPr>
          <w:rFonts w:ascii="Arial" w:eastAsia="Times New Roman" w:hAnsi="Arial"/>
          <w:b/>
          <w:sz w:val="32"/>
          <w:szCs w:val="32"/>
        </w:rPr>
      </w:pPr>
      <w:r w:rsidRPr="00994190">
        <w:rPr>
          <w:rFonts w:ascii="Arial" w:eastAsia="Times New Roman" w:hAnsi="Arial"/>
          <w:b/>
          <w:sz w:val="32"/>
          <w:szCs w:val="32"/>
        </w:rPr>
        <w:lastRenderedPageBreak/>
        <w:t>Comparisons with European countries</w:t>
      </w:r>
    </w:p>
    <w:p w14:paraId="59A385EC" w14:textId="27A3AA61" w:rsidR="00531A85" w:rsidRDefault="00531A85" w:rsidP="00531A85">
      <w:pPr>
        <w:spacing w:after="0" w:line="240" w:lineRule="auto"/>
        <w:jc w:val="both"/>
        <w:rPr>
          <w:rFonts w:ascii="Arial" w:eastAsia="Times New Roman" w:hAnsi="Arial"/>
          <w:b/>
          <w:szCs w:val="20"/>
        </w:rPr>
      </w:pPr>
    </w:p>
    <w:p w14:paraId="69272575" w14:textId="67619D95" w:rsidR="00764996" w:rsidRDefault="003E3068" w:rsidP="00531A85">
      <w:pPr>
        <w:spacing w:after="0" w:line="240" w:lineRule="auto"/>
        <w:jc w:val="both"/>
        <w:rPr>
          <w:rFonts w:ascii="Arial" w:eastAsia="Times New Roman" w:hAnsi="Arial"/>
          <w:szCs w:val="20"/>
        </w:rPr>
      </w:pPr>
      <w:r>
        <w:rPr>
          <w:rFonts w:ascii="Arial" w:eastAsia="Times New Roman" w:hAnsi="Arial"/>
          <w:szCs w:val="20"/>
        </w:rPr>
        <w:t>While both the OECD and Eurostat approaches use a 40% OTI threshold, there</w:t>
      </w:r>
      <w:r w:rsidR="002E08C9">
        <w:rPr>
          <w:rFonts w:ascii="Arial" w:eastAsia="Times New Roman" w:hAnsi="Arial"/>
          <w:szCs w:val="20"/>
        </w:rPr>
        <w:t xml:space="preserve"> are t</w:t>
      </w:r>
      <w:r w:rsidR="00A94BE5">
        <w:rPr>
          <w:rFonts w:ascii="Arial" w:eastAsia="Times New Roman" w:hAnsi="Arial"/>
          <w:szCs w:val="20"/>
        </w:rPr>
        <w:t>hree</w:t>
      </w:r>
      <w:r w:rsidR="002E08C9">
        <w:rPr>
          <w:rFonts w:ascii="Arial" w:eastAsia="Times New Roman" w:hAnsi="Arial"/>
          <w:szCs w:val="20"/>
        </w:rPr>
        <w:t xml:space="preserve"> important differences </w:t>
      </w:r>
      <w:r>
        <w:rPr>
          <w:rFonts w:ascii="Arial" w:eastAsia="Times New Roman" w:hAnsi="Arial"/>
          <w:szCs w:val="20"/>
        </w:rPr>
        <w:t>between the methodologies</w:t>
      </w:r>
      <w:r w:rsidR="002E08C9">
        <w:rPr>
          <w:rFonts w:ascii="Arial" w:eastAsia="Times New Roman" w:hAnsi="Arial"/>
          <w:szCs w:val="20"/>
        </w:rPr>
        <w:t>:</w:t>
      </w:r>
    </w:p>
    <w:p w14:paraId="56363551" w14:textId="0DBBAA3D" w:rsidR="002E08C9" w:rsidRPr="003E3068" w:rsidRDefault="003E3068" w:rsidP="003E3068">
      <w:pPr>
        <w:pStyle w:val="ListParagraph"/>
        <w:numPr>
          <w:ilvl w:val="0"/>
          <w:numId w:val="20"/>
        </w:numPr>
        <w:spacing w:before="120" w:after="0" w:line="240" w:lineRule="auto"/>
        <w:ind w:left="714" w:hanging="357"/>
        <w:contextualSpacing w:val="0"/>
        <w:jc w:val="both"/>
        <w:rPr>
          <w:rFonts w:ascii="Arial" w:eastAsia="Times New Roman" w:hAnsi="Arial"/>
          <w:szCs w:val="20"/>
        </w:rPr>
      </w:pPr>
      <w:r w:rsidRPr="003E3068">
        <w:rPr>
          <w:rFonts w:ascii="Arial" w:eastAsia="Times New Roman" w:hAnsi="Arial"/>
          <w:szCs w:val="20"/>
        </w:rPr>
        <w:t>The definition of housing costs is different: for Eurostat it excludes mortgage principal but includes rates, dwelling insurance and utilities (water, electricity</w:t>
      </w:r>
      <w:r>
        <w:rPr>
          <w:rFonts w:ascii="Arial" w:eastAsia="Times New Roman" w:hAnsi="Arial"/>
          <w:szCs w:val="20"/>
        </w:rPr>
        <w:t>, gas</w:t>
      </w:r>
      <w:r w:rsidRPr="003E3068">
        <w:rPr>
          <w:rFonts w:ascii="Arial" w:eastAsia="Times New Roman" w:hAnsi="Arial"/>
          <w:szCs w:val="20"/>
        </w:rPr>
        <w:t>)</w:t>
      </w:r>
      <w:r>
        <w:rPr>
          <w:rFonts w:ascii="Arial" w:eastAsia="Times New Roman" w:hAnsi="Arial"/>
          <w:szCs w:val="20"/>
        </w:rPr>
        <w:t>.</w:t>
      </w:r>
    </w:p>
    <w:p w14:paraId="3CA4C4E7" w14:textId="11092651" w:rsidR="00A94BE5" w:rsidRDefault="00A94BE5" w:rsidP="003E3068">
      <w:pPr>
        <w:pStyle w:val="ListParagraph"/>
        <w:numPr>
          <w:ilvl w:val="0"/>
          <w:numId w:val="20"/>
        </w:numPr>
        <w:spacing w:before="120" w:after="0" w:line="240" w:lineRule="auto"/>
        <w:ind w:left="714" w:hanging="357"/>
        <w:contextualSpacing w:val="0"/>
        <w:jc w:val="both"/>
        <w:rPr>
          <w:rFonts w:ascii="Arial" w:eastAsia="Times New Roman" w:hAnsi="Arial"/>
          <w:szCs w:val="20"/>
        </w:rPr>
      </w:pPr>
      <w:r>
        <w:rPr>
          <w:rFonts w:ascii="Arial" w:eastAsia="Times New Roman" w:hAnsi="Arial"/>
          <w:szCs w:val="20"/>
        </w:rPr>
        <w:t>When calculating the OTI % (which Eurostat calls ‘Housing Cost Overburden = HCO), they use net housing costs divided by household income net of any housing support. The OECD uses gross housing costs divided by household income.</w:t>
      </w:r>
    </w:p>
    <w:p w14:paraId="7481AE0F" w14:textId="27A33E96" w:rsidR="003E3068" w:rsidRDefault="003E3068" w:rsidP="003E3068">
      <w:pPr>
        <w:pStyle w:val="ListParagraph"/>
        <w:numPr>
          <w:ilvl w:val="0"/>
          <w:numId w:val="20"/>
        </w:numPr>
        <w:spacing w:before="120" w:after="0" w:line="240" w:lineRule="auto"/>
        <w:ind w:left="714" w:hanging="357"/>
        <w:contextualSpacing w:val="0"/>
        <w:jc w:val="both"/>
        <w:rPr>
          <w:rFonts w:ascii="Arial" w:eastAsia="Times New Roman" w:hAnsi="Arial"/>
          <w:szCs w:val="20"/>
        </w:rPr>
      </w:pPr>
      <w:r w:rsidRPr="003E3068">
        <w:rPr>
          <w:rFonts w:ascii="Arial" w:eastAsia="Times New Roman" w:hAnsi="Arial"/>
          <w:szCs w:val="20"/>
        </w:rPr>
        <w:t xml:space="preserve">The tenure analysis is different: </w:t>
      </w:r>
      <w:r w:rsidRPr="008D236D">
        <w:rPr>
          <w:rFonts w:ascii="Arial" w:eastAsia="Times New Roman" w:hAnsi="Arial"/>
          <w:szCs w:val="20"/>
          <w:u w:val="single"/>
        </w:rPr>
        <w:t>for Eurostat, the ‘owned’ tenure includes those with and those without mortgage</w:t>
      </w:r>
      <w:r w:rsidRPr="003E3068">
        <w:rPr>
          <w:rFonts w:ascii="Arial" w:eastAsia="Times New Roman" w:hAnsi="Arial"/>
          <w:szCs w:val="20"/>
        </w:rPr>
        <w:t xml:space="preserve"> </w:t>
      </w:r>
      <w:r>
        <w:rPr>
          <w:rFonts w:ascii="Arial" w:eastAsia="Times New Roman" w:hAnsi="Arial"/>
          <w:szCs w:val="20"/>
        </w:rPr>
        <w:t>– this flows through to the ‘all households’ figures as outright owners are included here. The OECD approach excludes all households without a mortgage.</w:t>
      </w:r>
    </w:p>
    <w:p w14:paraId="393D2847" w14:textId="1BD28BFF" w:rsidR="003E3068" w:rsidRDefault="003E3068" w:rsidP="003E3068">
      <w:pPr>
        <w:spacing w:after="0" w:line="240" w:lineRule="auto"/>
        <w:jc w:val="both"/>
        <w:rPr>
          <w:rFonts w:ascii="Arial" w:eastAsia="Times New Roman" w:hAnsi="Arial"/>
          <w:szCs w:val="20"/>
        </w:rPr>
      </w:pPr>
    </w:p>
    <w:p w14:paraId="16277DFC" w14:textId="490FA180" w:rsidR="00021E08" w:rsidRDefault="003E3068" w:rsidP="003E3068">
      <w:pPr>
        <w:spacing w:after="0" w:line="240" w:lineRule="auto"/>
        <w:jc w:val="both"/>
        <w:rPr>
          <w:rFonts w:ascii="Arial" w:eastAsia="Times New Roman" w:hAnsi="Arial"/>
          <w:szCs w:val="20"/>
        </w:rPr>
      </w:pPr>
      <w:r>
        <w:rPr>
          <w:rFonts w:ascii="Arial" w:eastAsia="Times New Roman" w:hAnsi="Arial"/>
          <w:szCs w:val="20"/>
        </w:rPr>
        <w:t xml:space="preserve">This means that the two sets of figures (OECD and Eurostat) are not </w:t>
      </w:r>
      <w:r w:rsidR="000D07EC">
        <w:rPr>
          <w:rFonts w:ascii="Arial" w:eastAsia="Times New Roman" w:hAnsi="Arial"/>
          <w:szCs w:val="20"/>
        </w:rPr>
        <w:t>directly</w:t>
      </w:r>
      <w:r>
        <w:rPr>
          <w:rFonts w:ascii="Arial" w:eastAsia="Times New Roman" w:hAnsi="Arial"/>
          <w:szCs w:val="20"/>
        </w:rPr>
        <w:t xml:space="preserve"> comparable. The Eurostat data does however include some </w:t>
      </w:r>
      <w:r w:rsidR="00021E08">
        <w:rPr>
          <w:rFonts w:ascii="Arial" w:eastAsia="Times New Roman" w:hAnsi="Arial"/>
          <w:szCs w:val="20"/>
        </w:rPr>
        <w:t xml:space="preserve">useful information not in the OECD data – for example, OTIs by age and household type. </w:t>
      </w:r>
    </w:p>
    <w:p w14:paraId="49C17311" w14:textId="77777777" w:rsidR="00021E08" w:rsidRDefault="00021E08" w:rsidP="003E3068">
      <w:pPr>
        <w:spacing w:after="0" w:line="240" w:lineRule="auto"/>
        <w:jc w:val="both"/>
        <w:rPr>
          <w:rFonts w:ascii="Arial" w:eastAsia="Times New Roman" w:hAnsi="Arial"/>
          <w:szCs w:val="20"/>
        </w:rPr>
      </w:pPr>
    </w:p>
    <w:p w14:paraId="71559A7B" w14:textId="3A80259D" w:rsidR="00531A85" w:rsidRPr="00296CAB" w:rsidRDefault="00531A85" w:rsidP="00531A85">
      <w:pPr>
        <w:spacing w:after="0" w:line="240" w:lineRule="auto"/>
        <w:jc w:val="both"/>
        <w:rPr>
          <w:rFonts w:ascii="Arial" w:eastAsia="Times New Roman" w:hAnsi="Arial"/>
          <w:szCs w:val="20"/>
        </w:rPr>
      </w:pPr>
      <w:r w:rsidRPr="00296CAB">
        <w:rPr>
          <w:rFonts w:ascii="Arial" w:eastAsia="Times New Roman" w:hAnsi="Arial"/>
          <w:szCs w:val="20"/>
        </w:rPr>
        <w:t>The latest available international comparisons for New Zealand and European countries are from 2018, which corresponds to the 2018</w:t>
      </w:r>
      <w:r w:rsidR="000D07EC">
        <w:rPr>
          <w:rFonts w:ascii="Arial" w:eastAsia="Times New Roman" w:hAnsi="Arial"/>
          <w:szCs w:val="20"/>
        </w:rPr>
        <w:t>-</w:t>
      </w:r>
      <w:r w:rsidRPr="00296CAB">
        <w:rPr>
          <w:rFonts w:ascii="Arial" w:eastAsia="Times New Roman" w:hAnsi="Arial"/>
          <w:szCs w:val="20"/>
        </w:rPr>
        <w:t xml:space="preserve">19 HES. In 2018 the EU had 28 members as </w:t>
      </w:r>
      <w:r w:rsidRPr="00F6631E">
        <w:rPr>
          <w:rFonts w:ascii="Arial" w:eastAsia="Times New Roman" w:hAnsi="Arial"/>
          <w:szCs w:val="20"/>
        </w:rPr>
        <w:t xml:space="preserve">listed in </w:t>
      </w:r>
      <w:r w:rsidRPr="00F6631E">
        <w:rPr>
          <w:rFonts w:ascii="Arial" w:eastAsia="Times New Roman" w:hAnsi="Arial"/>
          <w:b/>
          <w:szCs w:val="20"/>
        </w:rPr>
        <w:t xml:space="preserve">Table </w:t>
      </w:r>
      <w:r w:rsidR="005D54B2">
        <w:rPr>
          <w:rFonts w:ascii="Arial" w:eastAsia="Times New Roman" w:hAnsi="Arial"/>
          <w:b/>
          <w:szCs w:val="20"/>
        </w:rPr>
        <w:t>4</w:t>
      </w:r>
      <w:r w:rsidRPr="00296CAB">
        <w:rPr>
          <w:rFonts w:ascii="Arial" w:eastAsia="Times New Roman" w:hAnsi="Arial"/>
          <w:szCs w:val="20"/>
        </w:rPr>
        <w:t xml:space="preserve"> below. In addition, Eurostat publishes findings for three non-EU European countries of interest for New Zealand comparisons: Norway, Iceland and Switzerland. This makes 31 in all.</w:t>
      </w:r>
    </w:p>
    <w:p w14:paraId="7C144229" w14:textId="77777777" w:rsidR="00531A85" w:rsidRPr="00296CAB" w:rsidRDefault="00531A85" w:rsidP="00531A85">
      <w:pPr>
        <w:spacing w:after="0" w:line="240" w:lineRule="auto"/>
        <w:jc w:val="both"/>
        <w:rPr>
          <w:rFonts w:ascii="Arial" w:eastAsia="Times New Roman" w:hAnsi="Arial"/>
          <w:szCs w:val="20"/>
        </w:rPr>
      </w:pPr>
    </w:p>
    <w:p w14:paraId="303B2B3D" w14:textId="7D89D6FD" w:rsidR="00531A85" w:rsidRPr="00296CAB" w:rsidRDefault="00531A85" w:rsidP="00531A85">
      <w:pPr>
        <w:spacing w:after="0" w:line="240" w:lineRule="auto"/>
        <w:jc w:val="both"/>
        <w:rPr>
          <w:rFonts w:ascii="Arial" w:eastAsia="Times New Roman" w:hAnsi="Arial"/>
          <w:szCs w:val="20"/>
        </w:rPr>
      </w:pPr>
      <w:r w:rsidRPr="00296CAB">
        <w:rPr>
          <w:rFonts w:ascii="Arial" w:eastAsia="Times New Roman" w:hAnsi="Arial"/>
          <w:szCs w:val="20"/>
        </w:rPr>
        <w:t xml:space="preserve">The </w:t>
      </w:r>
      <w:r>
        <w:rPr>
          <w:rFonts w:ascii="Arial" w:eastAsia="Times New Roman" w:hAnsi="Arial"/>
          <w:szCs w:val="20"/>
        </w:rPr>
        <w:t xml:space="preserve">charts </w:t>
      </w:r>
      <w:r w:rsidRPr="00296CAB">
        <w:rPr>
          <w:rFonts w:ascii="Arial" w:eastAsia="Times New Roman" w:hAnsi="Arial"/>
          <w:szCs w:val="20"/>
        </w:rPr>
        <w:t>that follow report on New Zealand and 2</w:t>
      </w:r>
      <w:r>
        <w:rPr>
          <w:rFonts w:ascii="Arial" w:eastAsia="Times New Roman" w:hAnsi="Arial"/>
          <w:szCs w:val="20"/>
        </w:rPr>
        <w:t>5</w:t>
      </w:r>
      <w:r w:rsidRPr="00296CAB">
        <w:rPr>
          <w:rFonts w:ascii="Arial" w:eastAsia="Times New Roman" w:hAnsi="Arial"/>
          <w:szCs w:val="20"/>
        </w:rPr>
        <w:t xml:space="preserve"> European countries</w:t>
      </w:r>
      <w:r w:rsidR="00021E08">
        <w:rPr>
          <w:rFonts w:ascii="Arial" w:eastAsia="Times New Roman" w:hAnsi="Arial"/>
          <w:szCs w:val="20"/>
        </w:rPr>
        <w:t xml:space="preserve">, with 6 omitted to avoid clutter: </w:t>
      </w:r>
      <w:r w:rsidRPr="00296CAB">
        <w:rPr>
          <w:rFonts w:ascii="Arial" w:eastAsia="Times New Roman" w:hAnsi="Arial"/>
          <w:szCs w:val="20"/>
        </w:rPr>
        <w:t xml:space="preserve"> Bulgaria and Romania are omitted as their general standard of living is much lower than </w:t>
      </w:r>
      <w:r w:rsidR="00A84331">
        <w:rPr>
          <w:rFonts w:ascii="Arial" w:eastAsia="Times New Roman" w:hAnsi="Arial"/>
          <w:szCs w:val="20"/>
        </w:rPr>
        <w:t xml:space="preserve">for </w:t>
      </w:r>
      <w:r w:rsidRPr="00296CAB">
        <w:rPr>
          <w:rFonts w:ascii="Arial" w:eastAsia="Times New Roman" w:hAnsi="Arial"/>
          <w:szCs w:val="20"/>
        </w:rPr>
        <w:t>New Zealand</w:t>
      </w:r>
      <w:r w:rsidR="0038499F">
        <w:rPr>
          <w:rFonts w:ascii="Arial" w:eastAsia="Times New Roman" w:hAnsi="Arial"/>
          <w:szCs w:val="20"/>
        </w:rPr>
        <w:t xml:space="preserve"> and </w:t>
      </w:r>
      <w:r w:rsidR="00A84331">
        <w:rPr>
          <w:rFonts w:ascii="Arial" w:eastAsia="Times New Roman" w:hAnsi="Arial"/>
          <w:szCs w:val="20"/>
        </w:rPr>
        <w:t xml:space="preserve">most of </w:t>
      </w:r>
      <w:r w:rsidRPr="00296CAB">
        <w:rPr>
          <w:rFonts w:ascii="Arial" w:eastAsia="Times New Roman" w:hAnsi="Arial"/>
          <w:szCs w:val="20"/>
        </w:rPr>
        <w:t>the other European countries in the list</w:t>
      </w:r>
      <w:r w:rsidR="00A84331">
        <w:rPr>
          <w:rFonts w:ascii="Arial" w:eastAsia="Times New Roman" w:hAnsi="Arial"/>
          <w:szCs w:val="20"/>
        </w:rPr>
        <w:t xml:space="preserve"> (and their outright ownership is very high but of poor quality),</w:t>
      </w:r>
      <w:r w:rsidR="00021E08">
        <w:rPr>
          <w:rFonts w:ascii="Arial" w:eastAsia="Times New Roman" w:hAnsi="Arial"/>
          <w:szCs w:val="20"/>
        </w:rPr>
        <w:t xml:space="preserve"> and </w:t>
      </w:r>
      <w:r w:rsidRPr="00296CAB">
        <w:rPr>
          <w:rFonts w:ascii="Arial" w:eastAsia="Times New Roman" w:hAnsi="Arial"/>
          <w:szCs w:val="20"/>
        </w:rPr>
        <w:t xml:space="preserve">four very small countries are </w:t>
      </w:r>
      <w:r w:rsidR="00021E08">
        <w:rPr>
          <w:rFonts w:ascii="Arial" w:eastAsia="Times New Roman" w:hAnsi="Arial"/>
          <w:szCs w:val="20"/>
        </w:rPr>
        <w:t xml:space="preserve">also </w:t>
      </w:r>
      <w:r w:rsidRPr="00296CAB">
        <w:rPr>
          <w:rFonts w:ascii="Arial" w:eastAsia="Times New Roman" w:hAnsi="Arial"/>
          <w:szCs w:val="20"/>
        </w:rPr>
        <w:t xml:space="preserve">omitted </w:t>
      </w:r>
      <w:r w:rsidR="00021E08">
        <w:rPr>
          <w:rFonts w:ascii="Arial" w:eastAsia="Times New Roman" w:hAnsi="Arial"/>
          <w:szCs w:val="20"/>
        </w:rPr>
        <w:t>(</w:t>
      </w:r>
      <w:r w:rsidRPr="00296CAB">
        <w:rPr>
          <w:rFonts w:ascii="Arial" w:eastAsia="Times New Roman" w:hAnsi="Arial"/>
          <w:szCs w:val="20"/>
        </w:rPr>
        <w:t>Cyprus (1.2m), Luxembourg (650,000), Malta (500,000) and Iceland (360,000)</w:t>
      </w:r>
      <w:r w:rsidR="00021E08">
        <w:rPr>
          <w:rFonts w:ascii="Arial" w:eastAsia="Times New Roman" w:hAnsi="Arial"/>
          <w:szCs w:val="20"/>
        </w:rPr>
        <w:t>)</w:t>
      </w:r>
      <w:r w:rsidRPr="00296CAB">
        <w:rPr>
          <w:rFonts w:ascii="Arial" w:eastAsia="Times New Roman" w:hAnsi="Arial"/>
          <w:szCs w:val="20"/>
        </w:rPr>
        <w:t xml:space="preserve">. </w:t>
      </w:r>
    </w:p>
    <w:p w14:paraId="68F67EE0" w14:textId="77777777" w:rsidR="00531A85" w:rsidRPr="00296CAB" w:rsidRDefault="00531A85" w:rsidP="00531A85">
      <w:pPr>
        <w:spacing w:after="0" w:line="240" w:lineRule="auto"/>
        <w:rPr>
          <w:rFonts w:ascii="Arial" w:eastAsia="Times New Roman" w:hAnsi="Arial"/>
          <w:b/>
          <w:color w:val="000000"/>
          <w:szCs w:val="20"/>
        </w:rPr>
      </w:pPr>
    </w:p>
    <w:p w14:paraId="536E4EA9" w14:textId="7D475608" w:rsidR="00531A85" w:rsidRPr="00296CAB" w:rsidRDefault="00531A85" w:rsidP="00531A85">
      <w:pPr>
        <w:spacing w:after="0" w:line="240" w:lineRule="auto"/>
        <w:jc w:val="center"/>
        <w:rPr>
          <w:rFonts w:ascii="Arial" w:eastAsia="Times New Roman" w:hAnsi="Arial"/>
          <w:b/>
          <w:color w:val="000000"/>
          <w:sz w:val="18"/>
          <w:szCs w:val="20"/>
        </w:rPr>
      </w:pPr>
      <w:r w:rsidRPr="00296CAB">
        <w:rPr>
          <w:rFonts w:ascii="Arial" w:eastAsia="Times New Roman" w:hAnsi="Arial"/>
          <w:b/>
          <w:color w:val="000000"/>
          <w:sz w:val="18"/>
          <w:szCs w:val="20"/>
        </w:rPr>
        <w:t xml:space="preserve">Table </w:t>
      </w:r>
      <w:r w:rsidR="005D54B2">
        <w:rPr>
          <w:rFonts w:ascii="Arial" w:eastAsia="Times New Roman" w:hAnsi="Arial"/>
          <w:b/>
          <w:color w:val="000000"/>
          <w:sz w:val="18"/>
          <w:szCs w:val="20"/>
        </w:rPr>
        <w:t>4</w:t>
      </w:r>
    </w:p>
    <w:p w14:paraId="49CC89D4" w14:textId="77777777" w:rsidR="00531A85" w:rsidRPr="00296CAB" w:rsidRDefault="00531A85" w:rsidP="00531A85">
      <w:pPr>
        <w:spacing w:line="240" w:lineRule="auto"/>
        <w:jc w:val="center"/>
        <w:rPr>
          <w:rFonts w:ascii="Arial" w:eastAsia="Times New Roman" w:hAnsi="Arial"/>
          <w:b/>
          <w:color w:val="000000"/>
          <w:sz w:val="18"/>
          <w:szCs w:val="20"/>
        </w:rPr>
      </w:pPr>
      <w:r w:rsidRPr="00296CAB">
        <w:rPr>
          <w:rFonts w:ascii="Arial" w:eastAsia="Times New Roman" w:hAnsi="Arial"/>
          <w:b/>
          <w:color w:val="000000"/>
          <w:sz w:val="18"/>
          <w:szCs w:val="20"/>
        </w:rPr>
        <w:t>EU countries in 2018 (EU-28)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567"/>
        <w:gridCol w:w="2126"/>
        <w:gridCol w:w="512"/>
      </w:tblGrid>
      <w:tr w:rsidR="00531A85" w:rsidRPr="00296CAB" w14:paraId="32008352" w14:textId="77777777" w:rsidTr="00DE45EF">
        <w:trPr>
          <w:jc w:val="center"/>
        </w:trPr>
        <w:tc>
          <w:tcPr>
            <w:tcW w:w="2139" w:type="dxa"/>
            <w:shd w:val="clear" w:color="auto" w:fill="auto"/>
            <w:tcMar>
              <w:left w:w="28" w:type="dxa"/>
              <w:right w:w="28" w:type="dxa"/>
            </w:tcMar>
            <w:vAlign w:val="center"/>
          </w:tcPr>
          <w:p w14:paraId="46D05B17" w14:textId="77777777" w:rsidR="00531A85" w:rsidRPr="00296CAB" w:rsidRDefault="00531A85" w:rsidP="00DE45EF">
            <w:pPr>
              <w:spacing w:before="60" w:after="60" w:line="240" w:lineRule="auto"/>
              <w:jc w:val="center"/>
              <w:rPr>
                <w:rFonts w:ascii="Arial" w:eastAsia="Times New Roman" w:hAnsi="Arial"/>
                <w:b/>
                <w:sz w:val="14"/>
                <w:szCs w:val="16"/>
              </w:rPr>
            </w:pPr>
            <w:r w:rsidRPr="00296CAB">
              <w:rPr>
                <w:rFonts w:ascii="Arial" w:eastAsia="Times New Roman" w:hAnsi="Arial"/>
                <w:b/>
                <w:sz w:val="14"/>
                <w:szCs w:val="16"/>
              </w:rPr>
              <w:t>‘Old’ Member States (EU-15)</w:t>
            </w:r>
          </w:p>
        </w:tc>
        <w:tc>
          <w:tcPr>
            <w:tcW w:w="567" w:type="dxa"/>
            <w:tcBorders>
              <w:right w:val="single" w:sz="8" w:space="0" w:color="auto"/>
            </w:tcBorders>
            <w:shd w:val="clear" w:color="auto" w:fill="auto"/>
            <w:tcMar>
              <w:left w:w="28" w:type="dxa"/>
              <w:right w:w="28" w:type="dxa"/>
            </w:tcMar>
            <w:vAlign w:val="center"/>
          </w:tcPr>
          <w:p w14:paraId="4243495D" w14:textId="77777777" w:rsidR="00531A85" w:rsidRPr="00296CAB" w:rsidRDefault="00531A85" w:rsidP="00DE45EF">
            <w:pPr>
              <w:spacing w:before="60" w:after="60" w:line="240" w:lineRule="auto"/>
              <w:jc w:val="center"/>
              <w:rPr>
                <w:rFonts w:ascii="Arial" w:eastAsia="Times New Roman" w:hAnsi="Arial"/>
                <w:b/>
                <w:sz w:val="14"/>
                <w:szCs w:val="16"/>
              </w:rPr>
            </w:pPr>
          </w:p>
        </w:tc>
        <w:tc>
          <w:tcPr>
            <w:tcW w:w="2126" w:type="dxa"/>
            <w:tcBorders>
              <w:left w:val="single" w:sz="8" w:space="0" w:color="auto"/>
            </w:tcBorders>
            <w:shd w:val="clear" w:color="auto" w:fill="auto"/>
            <w:tcMar>
              <w:left w:w="28" w:type="dxa"/>
              <w:right w:w="28" w:type="dxa"/>
            </w:tcMar>
            <w:vAlign w:val="center"/>
          </w:tcPr>
          <w:p w14:paraId="2A623D9E" w14:textId="77777777" w:rsidR="00531A85" w:rsidRPr="00296CAB" w:rsidRDefault="00531A85" w:rsidP="00DE45EF">
            <w:pPr>
              <w:spacing w:before="60" w:after="60" w:line="240" w:lineRule="auto"/>
              <w:jc w:val="center"/>
              <w:rPr>
                <w:rFonts w:ascii="Arial" w:eastAsia="Times New Roman" w:hAnsi="Arial"/>
                <w:b/>
                <w:sz w:val="14"/>
                <w:szCs w:val="16"/>
              </w:rPr>
            </w:pPr>
            <w:r w:rsidRPr="00296CAB">
              <w:rPr>
                <w:rFonts w:ascii="Arial" w:eastAsia="Times New Roman" w:hAnsi="Arial"/>
                <w:b/>
                <w:sz w:val="14"/>
                <w:szCs w:val="16"/>
              </w:rPr>
              <w:t>‘New’ Member States (2004)</w:t>
            </w:r>
          </w:p>
        </w:tc>
        <w:tc>
          <w:tcPr>
            <w:tcW w:w="512" w:type="dxa"/>
            <w:shd w:val="clear" w:color="auto" w:fill="auto"/>
            <w:tcMar>
              <w:left w:w="28" w:type="dxa"/>
              <w:right w:w="28" w:type="dxa"/>
            </w:tcMar>
            <w:vAlign w:val="center"/>
          </w:tcPr>
          <w:p w14:paraId="15E29F28" w14:textId="77777777" w:rsidR="00531A85" w:rsidRPr="00296CAB" w:rsidRDefault="00531A85" w:rsidP="00DE45EF">
            <w:pPr>
              <w:spacing w:before="60" w:after="60" w:line="240" w:lineRule="auto"/>
              <w:jc w:val="center"/>
              <w:rPr>
                <w:rFonts w:ascii="Arial" w:eastAsia="Times New Roman" w:hAnsi="Arial"/>
                <w:b/>
                <w:sz w:val="14"/>
                <w:szCs w:val="16"/>
              </w:rPr>
            </w:pPr>
          </w:p>
        </w:tc>
      </w:tr>
      <w:tr w:rsidR="00531A85" w:rsidRPr="00296CAB" w14:paraId="0B5DAAFD" w14:textId="77777777" w:rsidTr="00DE45EF">
        <w:trPr>
          <w:jc w:val="center"/>
        </w:trPr>
        <w:tc>
          <w:tcPr>
            <w:tcW w:w="2139" w:type="dxa"/>
            <w:shd w:val="clear" w:color="auto" w:fill="auto"/>
            <w:vAlign w:val="center"/>
          </w:tcPr>
          <w:p w14:paraId="58BAA6B2"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Austria</w:t>
            </w:r>
          </w:p>
        </w:tc>
        <w:tc>
          <w:tcPr>
            <w:tcW w:w="567" w:type="dxa"/>
            <w:tcBorders>
              <w:right w:val="single" w:sz="8" w:space="0" w:color="auto"/>
            </w:tcBorders>
            <w:shd w:val="clear" w:color="auto" w:fill="auto"/>
            <w:vAlign w:val="center"/>
          </w:tcPr>
          <w:p w14:paraId="0B99E690"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AT</w:t>
            </w:r>
          </w:p>
        </w:tc>
        <w:tc>
          <w:tcPr>
            <w:tcW w:w="2126" w:type="dxa"/>
            <w:tcBorders>
              <w:left w:val="single" w:sz="8" w:space="0" w:color="auto"/>
            </w:tcBorders>
            <w:shd w:val="clear" w:color="auto" w:fill="auto"/>
            <w:vAlign w:val="center"/>
          </w:tcPr>
          <w:p w14:paraId="2A2EEB5F"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Cyprus</w:t>
            </w:r>
          </w:p>
        </w:tc>
        <w:tc>
          <w:tcPr>
            <w:tcW w:w="512" w:type="dxa"/>
            <w:shd w:val="clear" w:color="auto" w:fill="auto"/>
            <w:vAlign w:val="center"/>
          </w:tcPr>
          <w:p w14:paraId="650852CF"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CY</w:t>
            </w:r>
          </w:p>
        </w:tc>
      </w:tr>
      <w:tr w:rsidR="00531A85" w:rsidRPr="00296CAB" w14:paraId="74695692" w14:textId="77777777" w:rsidTr="00DE45EF">
        <w:trPr>
          <w:jc w:val="center"/>
        </w:trPr>
        <w:tc>
          <w:tcPr>
            <w:tcW w:w="2139" w:type="dxa"/>
            <w:shd w:val="clear" w:color="auto" w:fill="auto"/>
            <w:vAlign w:val="center"/>
          </w:tcPr>
          <w:p w14:paraId="237572F2"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Belgium</w:t>
            </w:r>
          </w:p>
        </w:tc>
        <w:tc>
          <w:tcPr>
            <w:tcW w:w="567" w:type="dxa"/>
            <w:tcBorders>
              <w:right w:val="single" w:sz="8" w:space="0" w:color="auto"/>
            </w:tcBorders>
            <w:shd w:val="clear" w:color="auto" w:fill="auto"/>
            <w:vAlign w:val="center"/>
          </w:tcPr>
          <w:p w14:paraId="6BC768E1"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BE</w:t>
            </w:r>
          </w:p>
        </w:tc>
        <w:tc>
          <w:tcPr>
            <w:tcW w:w="2126" w:type="dxa"/>
            <w:tcBorders>
              <w:left w:val="single" w:sz="8" w:space="0" w:color="auto"/>
            </w:tcBorders>
            <w:shd w:val="clear" w:color="auto" w:fill="auto"/>
            <w:vAlign w:val="center"/>
          </w:tcPr>
          <w:p w14:paraId="5C0F7E11"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Czech Republic</w:t>
            </w:r>
          </w:p>
        </w:tc>
        <w:tc>
          <w:tcPr>
            <w:tcW w:w="512" w:type="dxa"/>
            <w:shd w:val="clear" w:color="auto" w:fill="auto"/>
            <w:vAlign w:val="center"/>
          </w:tcPr>
          <w:p w14:paraId="5964359B"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CZ</w:t>
            </w:r>
          </w:p>
        </w:tc>
      </w:tr>
      <w:tr w:rsidR="00531A85" w:rsidRPr="00296CAB" w14:paraId="661EF89C" w14:textId="77777777" w:rsidTr="00DE45EF">
        <w:trPr>
          <w:jc w:val="center"/>
        </w:trPr>
        <w:tc>
          <w:tcPr>
            <w:tcW w:w="2139" w:type="dxa"/>
            <w:shd w:val="clear" w:color="auto" w:fill="auto"/>
            <w:vAlign w:val="center"/>
          </w:tcPr>
          <w:p w14:paraId="082B0206"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Denmark</w:t>
            </w:r>
          </w:p>
        </w:tc>
        <w:tc>
          <w:tcPr>
            <w:tcW w:w="567" w:type="dxa"/>
            <w:tcBorders>
              <w:right w:val="single" w:sz="8" w:space="0" w:color="auto"/>
            </w:tcBorders>
            <w:shd w:val="clear" w:color="auto" w:fill="auto"/>
            <w:vAlign w:val="center"/>
          </w:tcPr>
          <w:p w14:paraId="74F951B4"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DK</w:t>
            </w:r>
          </w:p>
        </w:tc>
        <w:tc>
          <w:tcPr>
            <w:tcW w:w="2126" w:type="dxa"/>
            <w:tcBorders>
              <w:left w:val="single" w:sz="8" w:space="0" w:color="auto"/>
            </w:tcBorders>
            <w:shd w:val="clear" w:color="auto" w:fill="auto"/>
            <w:vAlign w:val="center"/>
          </w:tcPr>
          <w:p w14:paraId="1BC06911"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Estonia</w:t>
            </w:r>
          </w:p>
        </w:tc>
        <w:tc>
          <w:tcPr>
            <w:tcW w:w="512" w:type="dxa"/>
            <w:shd w:val="clear" w:color="auto" w:fill="auto"/>
            <w:vAlign w:val="center"/>
          </w:tcPr>
          <w:p w14:paraId="3F8B82A0"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EE</w:t>
            </w:r>
          </w:p>
        </w:tc>
      </w:tr>
      <w:tr w:rsidR="00531A85" w:rsidRPr="00296CAB" w14:paraId="5169AA36" w14:textId="77777777" w:rsidTr="00DE45EF">
        <w:trPr>
          <w:jc w:val="center"/>
        </w:trPr>
        <w:tc>
          <w:tcPr>
            <w:tcW w:w="2139" w:type="dxa"/>
            <w:shd w:val="clear" w:color="auto" w:fill="auto"/>
            <w:vAlign w:val="center"/>
          </w:tcPr>
          <w:p w14:paraId="4D345342"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Finland</w:t>
            </w:r>
          </w:p>
        </w:tc>
        <w:tc>
          <w:tcPr>
            <w:tcW w:w="567" w:type="dxa"/>
            <w:tcBorders>
              <w:right w:val="single" w:sz="8" w:space="0" w:color="auto"/>
            </w:tcBorders>
            <w:shd w:val="clear" w:color="auto" w:fill="auto"/>
            <w:vAlign w:val="center"/>
          </w:tcPr>
          <w:p w14:paraId="6B6AFBF7"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FI</w:t>
            </w:r>
          </w:p>
        </w:tc>
        <w:tc>
          <w:tcPr>
            <w:tcW w:w="2126" w:type="dxa"/>
            <w:tcBorders>
              <w:left w:val="single" w:sz="8" w:space="0" w:color="auto"/>
            </w:tcBorders>
            <w:shd w:val="clear" w:color="auto" w:fill="auto"/>
            <w:vAlign w:val="center"/>
          </w:tcPr>
          <w:p w14:paraId="02512FA4"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Latvia</w:t>
            </w:r>
          </w:p>
        </w:tc>
        <w:tc>
          <w:tcPr>
            <w:tcW w:w="512" w:type="dxa"/>
            <w:shd w:val="clear" w:color="auto" w:fill="auto"/>
            <w:vAlign w:val="center"/>
          </w:tcPr>
          <w:p w14:paraId="7F9D5242"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LV</w:t>
            </w:r>
          </w:p>
        </w:tc>
      </w:tr>
      <w:tr w:rsidR="00531A85" w:rsidRPr="00296CAB" w14:paraId="65B74133" w14:textId="77777777" w:rsidTr="00DE45EF">
        <w:trPr>
          <w:jc w:val="center"/>
        </w:trPr>
        <w:tc>
          <w:tcPr>
            <w:tcW w:w="2139" w:type="dxa"/>
            <w:shd w:val="clear" w:color="auto" w:fill="auto"/>
            <w:vAlign w:val="center"/>
          </w:tcPr>
          <w:p w14:paraId="5DB3AA50"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France</w:t>
            </w:r>
          </w:p>
        </w:tc>
        <w:tc>
          <w:tcPr>
            <w:tcW w:w="567" w:type="dxa"/>
            <w:tcBorders>
              <w:right w:val="single" w:sz="8" w:space="0" w:color="auto"/>
            </w:tcBorders>
            <w:shd w:val="clear" w:color="auto" w:fill="auto"/>
            <w:vAlign w:val="center"/>
          </w:tcPr>
          <w:p w14:paraId="5099B0F4"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FR</w:t>
            </w:r>
          </w:p>
        </w:tc>
        <w:tc>
          <w:tcPr>
            <w:tcW w:w="2126" w:type="dxa"/>
            <w:tcBorders>
              <w:left w:val="single" w:sz="8" w:space="0" w:color="auto"/>
            </w:tcBorders>
            <w:shd w:val="clear" w:color="auto" w:fill="auto"/>
            <w:vAlign w:val="center"/>
          </w:tcPr>
          <w:p w14:paraId="33265E14"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Lithuania</w:t>
            </w:r>
          </w:p>
        </w:tc>
        <w:tc>
          <w:tcPr>
            <w:tcW w:w="512" w:type="dxa"/>
            <w:shd w:val="clear" w:color="auto" w:fill="auto"/>
            <w:vAlign w:val="center"/>
          </w:tcPr>
          <w:p w14:paraId="61F3EC25"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LT</w:t>
            </w:r>
          </w:p>
        </w:tc>
      </w:tr>
      <w:tr w:rsidR="00531A85" w:rsidRPr="00296CAB" w14:paraId="6571FACD" w14:textId="77777777" w:rsidTr="00DE45EF">
        <w:trPr>
          <w:jc w:val="center"/>
        </w:trPr>
        <w:tc>
          <w:tcPr>
            <w:tcW w:w="2139" w:type="dxa"/>
            <w:shd w:val="clear" w:color="auto" w:fill="auto"/>
            <w:vAlign w:val="center"/>
          </w:tcPr>
          <w:p w14:paraId="424D21BC"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Germany</w:t>
            </w:r>
          </w:p>
        </w:tc>
        <w:tc>
          <w:tcPr>
            <w:tcW w:w="567" w:type="dxa"/>
            <w:tcBorders>
              <w:right w:val="single" w:sz="8" w:space="0" w:color="auto"/>
            </w:tcBorders>
            <w:shd w:val="clear" w:color="auto" w:fill="auto"/>
            <w:vAlign w:val="center"/>
          </w:tcPr>
          <w:p w14:paraId="24140BD4"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DE</w:t>
            </w:r>
          </w:p>
        </w:tc>
        <w:tc>
          <w:tcPr>
            <w:tcW w:w="2126" w:type="dxa"/>
            <w:tcBorders>
              <w:left w:val="single" w:sz="8" w:space="0" w:color="auto"/>
            </w:tcBorders>
            <w:shd w:val="clear" w:color="auto" w:fill="auto"/>
            <w:vAlign w:val="center"/>
          </w:tcPr>
          <w:p w14:paraId="3016986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Hungary</w:t>
            </w:r>
          </w:p>
        </w:tc>
        <w:tc>
          <w:tcPr>
            <w:tcW w:w="512" w:type="dxa"/>
            <w:shd w:val="clear" w:color="auto" w:fill="auto"/>
            <w:vAlign w:val="center"/>
          </w:tcPr>
          <w:p w14:paraId="6DE0D5AB"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HU</w:t>
            </w:r>
          </w:p>
        </w:tc>
      </w:tr>
      <w:tr w:rsidR="00531A85" w:rsidRPr="00296CAB" w14:paraId="5F8965FC" w14:textId="77777777" w:rsidTr="00DE45EF">
        <w:trPr>
          <w:jc w:val="center"/>
        </w:trPr>
        <w:tc>
          <w:tcPr>
            <w:tcW w:w="2139" w:type="dxa"/>
            <w:shd w:val="clear" w:color="auto" w:fill="auto"/>
            <w:vAlign w:val="center"/>
          </w:tcPr>
          <w:p w14:paraId="60AF8A1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Greece</w:t>
            </w:r>
          </w:p>
        </w:tc>
        <w:tc>
          <w:tcPr>
            <w:tcW w:w="567" w:type="dxa"/>
            <w:tcBorders>
              <w:right w:val="single" w:sz="8" w:space="0" w:color="auto"/>
            </w:tcBorders>
            <w:shd w:val="clear" w:color="auto" w:fill="auto"/>
            <w:vAlign w:val="center"/>
          </w:tcPr>
          <w:p w14:paraId="4950E18E"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EL</w:t>
            </w:r>
          </w:p>
        </w:tc>
        <w:tc>
          <w:tcPr>
            <w:tcW w:w="2126" w:type="dxa"/>
            <w:tcBorders>
              <w:left w:val="single" w:sz="8" w:space="0" w:color="auto"/>
            </w:tcBorders>
            <w:shd w:val="clear" w:color="auto" w:fill="auto"/>
            <w:vAlign w:val="center"/>
          </w:tcPr>
          <w:p w14:paraId="3EE9D895"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Malta</w:t>
            </w:r>
          </w:p>
        </w:tc>
        <w:tc>
          <w:tcPr>
            <w:tcW w:w="512" w:type="dxa"/>
            <w:shd w:val="clear" w:color="auto" w:fill="auto"/>
            <w:vAlign w:val="center"/>
          </w:tcPr>
          <w:p w14:paraId="2C26975C"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MT</w:t>
            </w:r>
          </w:p>
        </w:tc>
      </w:tr>
      <w:tr w:rsidR="00531A85" w:rsidRPr="00296CAB" w14:paraId="7B7C5F58" w14:textId="77777777" w:rsidTr="00DE45EF">
        <w:trPr>
          <w:jc w:val="center"/>
        </w:trPr>
        <w:tc>
          <w:tcPr>
            <w:tcW w:w="2139" w:type="dxa"/>
            <w:shd w:val="clear" w:color="auto" w:fill="auto"/>
            <w:vAlign w:val="center"/>
          </w:tcPr>
          <w:p w14:paraId="351A4BEA"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Ireland</w:t>
            </w:r>
          </w:p>
        </w:tc>
        <w:tc>
          <w:tcPr>
            <w:tcW w:w="567" w:type="dxa"/>
            <w:tcBorders>
              <w:right w:val="single" w:sz="8" w:space="0" w:color="auto"/>
            </w:tcBorders>
            <w:shd w:val="clear" w:color="auto" w:fill="auto"/>
            <w:vAlign w:val="center"/>
          </w:tcPr>
          <w:p w14:paraId="4CDF21E7"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IE</w:t>
            </w:r>
          </w:p>
        </w:tc>
        <w:tc>
          <w:tcPr>
            <w:tcW w:w="2126" w:type="dxa"/>
            <w:tcBorders>
              <w:left w:val="single" w:sz="8" w:space="0" w:color="auto"/>
            </w:tcBorders>
            <w:shd w:val="clear" w:color="auto" w:fill="auto"/>
            <w:vAlign w:val="center"/>
          </w:tcPr>
          <w:p w14:paraId="27248937"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Poland</w:t>
            </w:r>
          </w:p>
        </w:tc>
        <w:tc>
          <w:tcPr>
            <w:tcW w:w="512" w:type="dxa"/>
            <w:shd w:val="clear" w:color="auto" w:fill="auto"/>
            <w:vAlign w:val="center"/>
          </w:tcPr>
          <w:p w14:paraId="3FB0C4D8"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PL</w:t>
            </w:r>
          </w:p>
        </w:tc>
      </w:tr>
      <w:tr w:rsidR="00531A85" w:rsidRPr="00296CAB" w14:paraId="4042A14B" w14:textId="77777777" w:rsidTr="00DE45EF">
        <w:trPr>
          <w:jc w:val="center"/>
        </w:trPr>
        <w:tc>
          <w:tcPr>
            <w:tcW w:w="2139" w:type="dxa"/>
            <w:shd w:val="clear" w:color="auto" w:fill="auto"/>
            <w:vAlign w:val="center"/>
          </w:tcPr>
          <w:p w14:paraId="6D629ABE"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Italy</w:t>
            </w:r>
          </w:p>
        </w:tc>
        <w:tc>
          <w:tcPr>
            <w:tcW w:w="567" w:type="dxa"/>
            <w:tcBorders>
              <w:right w:val="single" w:sz="8" w:space="0" w:color="auto"/>
            </w:tcBorders>
            <w:shd w:val="clear" w:color="auto" w:fill="auto"/>
            <w:vAlign w:val="center"/>
          </w:tcPr>
          <w:p w14:paraId="7AD75AE3"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IT</w:t>
            </w:r>
          </w:p>
        </w:tc>
        <w:tc>
          <w:tcPr>
            <w:tcW w:w="2126" w:type="dxa"/>
            <w:tcBorders>
              <w:left w:val="single" w:sz="8" w:space="0" w:color="auto"/>
            </w:tcBorders>
            <w:shd w:val="clear" w:color="auto" w:fill="auto"/>
            <w:vAlign w:val="center"/>
          </w:tcPr>
          <w:p w14:paraId="32C6BE0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Slovenia</w:t>
            </w:r>
          </w:p>
        </w:tc>
        <w:tc>
          <w:tcPr>
            <w:tcW w:w="512" w:type="dxa"/>
            <w:shd w:val="clear" w:color="auto" w:fill="auto"/>
            <w:vAlign w:val="center"/>
          </w:tcPr>
          <w:p w14:paraId="0D744333"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SI</w:t>
            </w:r>
          </w:p>
        </w:tc>
      </w:tr>
      <w:tr w:rsidR="00531A85" w:rsidRPr="00296CAB" w14:paraId="4630E10D" w14:textId="77777777" w:rsidTr="00DE45EF">
        <w:trPr>
          <w:jc w:val="center"/>
        </w:trPr>
        <w:tc>
          <w:tcPr>
            <w:tcW w:w="2139" w:type="dxa"/>
            <w:shd w:val="clear" w:color="auto" w:fill="auto"/>
            <w:vAlign w:val="center"/>
          </w:tcPr>
          <w:p w14:paraId="573282B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Luxembourg</w:t>
            </w:r>
          </w:p>
        </w:tc>
        <w:tc>
          <w:tcPr>
            <w:tcW w:w="567" w:type="dxa"/>
            <w:tcBorders>
              <w:right w:val="single" w:sz="8" w:space="0" w:color="auto"/>
            </w:tcBorders>
            <w:shd w:val="clear" w:color="auto" w:fill="auto"/>
            <w:vAlign w:val="center"/>
          </w:tcPr>
          <w:p w14:paraId="47CCFFAB"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LU</w:t>
            </w:r>
          </w:p>
        </w:tc>
        <w:tc>
          <w:tcPr>
            <w:tcW w:w="2126" w:type="dxa"/>
            <w:tcBorders>
              <w:left w:val="single" w:sz="8" w:space="0" w:color="auto"/>
            </w:tcBorders>
            <w:shd w:val="clear" w:color="auto" w:fill="auto"/>
            <w:vAlign w:val="center"/>
          </w:tcPr>
          <w:p w14:paraId="1E791984"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Slovakia</w:t>
            </w:r>
          </w:p>
        </w:tc>
        <w:tc>
          <w:tcPr>
            <w:tcW w:w="512" w:type="dxa"/>
            <w:shd w:val="clear" w:color="auto" w:fill="auto"/>
            <w:vAlign w:val="center"/>
          </w:tcPr>
          <w:p w14:paraId="26D4A0FD"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SK</w:t>
            </w:r>
          </w:p>
        </w:tc>
      </w:tr>
      <w:tr w:rsidR="00531A85" w:rsidRPr="00296CAB" w14:paraId="1DFE6520" w14:textId="77777777" w:rsidTr="00DE45EF">
        <w:trPr>
          <w:jc w:val="center"/>
        </w:trPr>
        <w:tc>
          <w:tcPr>
            <w:tcW w:w="2139" w:type="dxa"/>
            <w:shd w:val="clear" w:color="auto" w:fill="auto"/>
            <w:vAlign w:val="center"/>
          </w:tcPr>
          <w:p w14:paraId="5C369314"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Netherlands</w:t>
            </w:r>
          </w:p>
        </w:tc>
        <w:tc>
          <w:tcPr>
            <w:tcW w:w="567" w:type="dxa"/>
            <w:tcBorders>
              <w:right w:val="single" w:sz="8" w:space="0" w:color="auto"/>
            </w:tcBorders>
            <w:shd w:val="clear" w:color="auto" w:fill="auto"/>
            <w:vAlign w:val="center"/>
          </w:tcPr>
          <w:p w14:paraId="34B53A90"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NL</w:t>
            </w:r>
          </w:p>
        </w:tc>
        <w:tc>
          <w:tcPr>
            <w:tcW w:w="2126" w:type="dxa"/>
            <w:tcBorders>
              <w:left w:val="single" w:sz="8" w:space="0" w:color="auto"/>
            </w:tcBorders>
            <w:shd w:val="clear" w:color="auto" w:fill="auto"/>
            <w:vAlign w:val="center"/>
          </w:tcPr>
          <w:p w14:paraId="2794670D" w14:textId="77777777" w:rsidR="00531A85" w:rsidRPr="00296CAB" w:rsidRDefault="00531A85" w:rsidP="00DE45EF">
            <w:pPr>
              <w:spacing w:before="40" w:after="40" w:line="240" w:lineRule="auto"/>
              <w:rPr>
                <w:rFonts w:ascii="Arial" w:eastAsia="Times New Roman" w:hAnsi="Arial"/>
                <w:sz w:val="14"/>
                <w:szCs w:val="16"/>
              </w:rPr>
            </w:pPr>
          </w:p>
        </w:tc>
        <w:tc>
          <w:tcPr>
            <w:tcW w:w="512" w:type="dxa"/>
            <w:shd w:val="clear" w:color="auto" w:fill="auto"/>
            <w:vAlign w:val="center"/>
          </w:tcPr>
          <w:p w14:paraId="0342352B" w14:textId="77777777" w:rsidR="00531A85" w:rsidRPr="00296CAB" w:rsidRDefault="00531A85" w:rsidP="00DE45EF">
            <w:pPr>
              <w:spacing w:before="40" w:after="40" w:line="240" w:lineRule="auto"/>
              <w:jc w:val="center"/>
              <w:rPr>
                <w:rFonts w:ascii="Arial" w:eastAsia="Times New Roman" w:hAnsi="Arial"/>
                <w:sz w:val="14"/>
                <w:szCs w:val="16"/>
              </w:rPr>
            </w:pPr>
          </w:p>
        </w:tc>
      </w:tr>
      <w:tr w:rsidR="00531A85" w:rsidRPr="00296CAB" w14:paraId="7A2B9E9D" w14:textId="77777777" w:rsidTr="00DE45EF">
        <w:trPr>
          <w:jc w:val="center"/>
        </w:trPr>
        <w:tc>
          <w:tcPr>
            <w:tcW w:w="2139" w:type="dxa"/>
            <w:shd w:val="clear" w:color="auto" w:fill="auto"/>
            <w:vAlign w:val="center"/>
          </w:tcPr>
          <w:p w14:paraId="437A4070"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Portugal</w:t>
            </w:r>
          </w:p>
        </w:tc>
        <w:tc>
          <w:tcPr>
            <w:tcW w:w="567" w:type="dxa"/>
            <w:tcBorders>
              <w:right w:val="single" w:sz="8" w:space="0" w:color="auto"/>
            </w:tcBorders>
            <w:shd w:val="clear" w:color="auto" w:fill="auto"/>
            <w:vAlign w:val="center"/>
          </w:tcPr>
          <w:p w14:paraId="4406E1ED"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PT</w:t>
            </w:r>
          </w:p>
        </w:tc>
        <w:tc>
          <w:tcPr>
            <w:tcW w:w="2126" w:type="dxa"/>
            <w:tcBorders>
              <w:left w:val="single" w:sz="8" w:space="0" w:color="auto"/>
            </w:tcBorders>
            <w:shd w:val="clear" w:color="auto" w:fill="auto"/>
            <w:vAlign w:val="center"/>
          </w:tcPr>
          <w:p w14:paraId="571627C0"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Bulgaria (2007)</w:t>
            </w:r>
          </w:p>
        </w:tc>
        <w:tc>
          <w:tcPr>
            <w:tcW w:w="512" w:type="dxa"/>
            <w:shd w:val="clear" w:color="auto" w:fill="auto"/>
            <w:vAlign w:val="center"/>
          </w:tcPr>
          <w:p w14:paraId="07FFC4C0"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BG</w:t>
            </w:r>
          </w:p>
        </w:tc>
      </w:tr>
      <w:tr w:rsidR="00531A85" w:rsidRPr="00296CAB" w14:paraId="4E1BAF09" w14:textId="77777777" w:rsidTr="00DE45EF">
        <w:trPr>
          <w:jc w:val="center"/>
        </w:trPr>
        <w:tc>
          <w:tcPr>
            <w:tcW w:w="2139" w:type="dxa"/>
            <w:shd w:val="clear" w:color="auto" w:fill="auto"/>
            <w:vAlign w:val="center"/>
          </w:tcPr>
          <w:p w14:paraId="7670D4F5"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Spain</w:t>
            </w:r>
          </w:p>
        </w:tc>
        <w:tc>
          <w:tcPr>
            <w:tcW w:w="567" w:type="dxa"/>
            <w:tcBorders>
              <w:right w:val="single" w:sz="8" w:space="0" w:color="auto"/>
            </w:tcBorders>
            <w:shd w:val="clear" w:color="auto" w:fill="auto"/>
            <w:vAlign w:val="center"/>
          </w:tcPr>
          <w:p w14:paraId="61A6B8CF"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ES</w:t>
            </w:r>
          </w:p>
        </w:tc>
        <w:tc>
          <w:tcPr>
            <w:tcW w:w="2126" w:type="dxa"/>
            <w:tcBorders>
              <w:left w:val="single" w:sz="8" w:space="0" w:color="auto"/>
            </w:tcBorders>
            <w:shd w:val="clear" w:color="auto" w:fill="auto"/>
            <w:vAlign w:val="center"/>
          </w:tcPr>
          <w:p w14:paraId="540CB62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Romania (2007)</w:t>
            </w:r>
          </w:p>
        </w:tc>
        <w:tc>
          <w:tcPr>
            <w:tcW w:w="512" w:type="dxa"/>
            <w:shd w:val="clear" w:color="auto" w:fill="auto"/>
            <w:vAlign w:val="center"/>
          </w:tcPr>
          <w:p w14:paraId="06B44DDC"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RO</w:t>
            </w:r>
          </w:p>
        </w:tc>
      </w:tr>
      <w:tr w:rsidR="00531A85" w:rsidRPr="00296CAB" w14:paraId="45BB2C26" w14:textId="77777777" w:rsidTr="00DE45EF">
        <w:trPr>
          <w:jc w:val="center"/>
        </w:trPr>
        <w:tc>
          <w:tcPr>
            <w:tcW w:w="2139" w:type="dxa"/>
            <w:shd w:val="clear" w:color="auto" w:fill="auto"/>
            <w:vAlign w:val="center"/>
          </w:tcPr>
          <w:p w14:paraId="1716DC5D"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Sweden</w:t>
            </w:r>
          </w:p>
        </w:tc>
        <w:tc>
          <w:tcPr>
            <w:tcW w:w="567" w:type="dxa"/>
            <w:tcBorders>
              <w:right w:val="single" w:sz="8" w:space="0" w:color="auto"/>
            </w:tcBorders>
            <w:shd w:val="clear" w:color="auto" w:fill="auto"/>
            <w:vAlign w:val="center"/>
          </w:tcPr>
          <w:p w14:paraId="6310AB6F"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SE</w:t>
            </w:r>
          </w:p>
        </w:tc>
        <w:tc>
          <w:tcPr>
            <w:tcW w:w="2126" w:type="dxa"/>
            <w:tcBorders>
              <w:left w:val="single" w:sz="8" w:space="0" w:color="auto"/>
            </w:tcBorders>
            <w:shd w:val="clear" w:color="auto" w:fill="auto"/>
            <w:vAlign w:val="center"/>
          </w:tcPr>
          <w:p w14:paraId="118D9E63" w14:textId="77777777" w:rsidR="00531A85" w:rsidRPr="00296CAB" w:rsidRDefault="00531A85" w:rsidP="00DE45EF">
            <w:pPr>
              <w:spacing w:before="40" w:after="40" w:line="240" w:lineRule="auto"/>
              <w:rPr>
                <w:rFonts w:ascii="Arial" w:eastAsia="Times New Roman" w:hAnsi="Arial"/>
                <w:sz w:val="14"/>
                <w:szCs w:val="16"/>
              </w:rPr>
            </w:pPr>
          </w:p>
        </w:tc>
        <w:tc>
          <w:tcPr>
            <w:tcW w:w="512" w:type="dxa"/>
            <w:shd w:val="clear" w:color="auto" w:fill="auto"/>
            <w:vAlign w:val="center"/>
          </w:tcPr>
          <w:p w14:paraId="0102065F" w14:textId="77777777" w:rsidR="00531A85" w:rsidRPr="00296CAB" w:rsidRDefault="00531A85" w:rsidP="00DE45EF">
            <w:pPr>
              <w:spacing w:before="40" w:after="40" w:line="240" w:lineRule="auto"/>
              <w:jc w:val="center"/>
              <w:rPr>
                <w:rFonts w:ascii="Arial" w:eastAsia="Times New Roman" w:hAnsi="Arial"/>
                <w:sz w:val="14"/>
                <w:szCs w:val="16"/>
              </w:rPr>
            </w:pPr>
          </w:p>
        </w:tc>
      </w:tr>
      <w:tr w:rsidR="00531A85" w:rsidRPr="00296CAB" w14:paraId="60B3984F" w14:textId="77777777" w:rsidTr="00DE45EF">
        <w:trPr>
          <w:jc w:val="center"/>
        </w:trPr>
        <w:tc>
          <w:tcPr>
            <w:tcW w:w="2139" w:type="dxa"/>
            <w:shd w:val="clear" w:color="auto" w:fill="auto"/>
            <w:vAlign w:val="center"/>
          </w:tcPr>
          <w:p w14:paraId="38998C24"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United Kingdom</w:t>
            </w:r>
          </w:p>
        </w:tc>
        <w:tc>
          <w:tcPr>
            <w:tcW w:w="567" w:type="dxa"/>
            <w:tcBorders>
              <w:right w:val="single" w:sz="8" w:space="0" w:color="auto"/>
            </w:tcBorders>
            <w:shd w:val="clear" w:color="auto" w:fill="auto"/>
            <w:vAlign w:val="center"/>
          </w:tcPr>
          <w:p w14:paraId="75A21A51"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UK</w:t>
            </w:r>
          </w:p>
        </w:tc>
        <w:tc>
          <w:tcPr>
            <w:tcW w:w="2126" w:type="dxa"/>
            <w:tcBorders>
              <w:left w:val="single" w:sz="8" w:space="0" w:color="auto"/>
            </w:tcBorders>
            <w:shd w:val="clear" w:color="auto" w:fill="auto"/>
            <w:vAlign w:val="center"/>
          </w:tcPr>
          <w:p w14:paraId="66D87C13" w14:textId="77777777" w:rsidR="00531A85" w:rsidRPr="00296CAB" w:rsidRDefault="00531A85" w:rsidP="00DE45EF">
            <w:pPr>
              <w:spacing w:before="40" w:after="40" w:line="240" w:lineRule="auto"/>
              <w:rPr>
                <w:rFonts w:ascii="Arial" w:eastAsia="Times New Roman" w:hAnsi="Arial"/>
                <w:sz w:val="14"/>
                <w:szCs w:val="16"/>
              </w:rPr>
            </w:pPr>
            <w:r w:rsidRPr="00296CAB">
              <w:rPr>
                <w:rFonts w:ascii="Arial" w:eastAsia="Times New Roman" w:hAnsi="Arial"/>
                <w:sz w:val="14"/>
                <w:szCs w:val="16"/>
              </w:rPr>
              <w:t>Croatia (2013)</w:t>
            </w:r>
          </w:p>
        </w:tc>
        <w:tc>
          <w:tcPr>
            <w:tcW w:w="512" w:type="dxa"/>
            <w:shd w:val="clear" w:color="auto" w:fill="auto"/>
            <w:vAlign w:val="center"/>
          </w:tcPr>
          <w:p w14:paraId="1A1CDF6A" w14:textId="77777777" w:rsidR="00531A85" w:rsidRPr="00296CAB" w:rsidRDefault="00531A85" w:rsidP="00DE45EF">
            <w:pPr>
              <w:spacing w:before="40" w:after="40" w:line="240" w:lineRule="auto"/>
              <w:jc w:val="center"/>
              <w:rPr>
                <w:rFonts w:ascii="Arial" w:eastAsia="Times New Roman" w:hAnsi="Arial"/>
                <w:sz w:val="14"/>
                <w:szCs w:val="16"/>
              </w:rPr>
            </w:pPr>
            <w:r w:rsidRPr="00296CAB">
              <w:rPr>
                <w:rFonts w:ascii="Arial" w:eastAsia="Times New Roman" w:hAnsi="Arial"/>
                <w:sz w:val="14"/>
                <w:szCs w:val="16"/>
              </w:rPr>
              <w:t>HR</w:t>
            </w:r>
          </w:p>
        </w:tc>
      </w:tr>
    </w:tbl>
    <w:p w14:paraId="64E6EE61" w14:textId="77777777" w:rsidR="00531A85" w:rsidRPr="00296CAB" w:rsidRDefault="00531A85" w:rsidP="00531A85">
      <w:pPr>
        <w:spacing w:after="0" w:line="240" w:lineRule="auto"/>
        <w:jc w:val="both"/>
        <w:rPr>
          <w:rFonts w:ascii="Arial" w:eastAsia="Times New Roman" w:hAnsi="Arial"/>
          <w:szCs w:val="20"/>
        </w:rPr>
      </w:pPr>
    </w:p>
    <w:p w14:paraId="06B1B2AC" w14:textId="74F397B0" w:rsidR="00A84331" w:rsidRDefault="009A3CC1" w:rsidP="003C5CA4">
      <w:pPr>
        <w:spacing w:after="0" w:line="240" w:lineRule="auto"/>
        <w:ind w:left="360"/>
        <w:jc w:val="both"/>
        <w:rPr>
          <w:rFonts w:ascii="Arial" w:eastAsia="Times New Roman" w:hAnsi="Arial"/>
          <w:szCs w:val="20"/>
          <w:lang w:val="en-GB"/>
        </w:rPr>
      </w:pPr>
      <w:r w:rsidRPr="003C5CA4">
        <w:rPr>
          <w:rFonts w:ascii="Arial" w:eastAsia="Times New Roman" w:hAnsi="Arial"/>
          <w:szCs w:val="20"/>
          <w:lang w:val="en-GB"/>
        </w:rPr>
        <w:t xml:space="preserve">OTI levels and trends for </w:t>
      </w:r>
      <w:r w:rsidR="000D07EC">
        <w:rPr>
          <w:rFonts w:ascii="Arial" w:eastAsia="Times New Roman" w:hAnsi="Arial"/>
          <w:szCs w:val="20"/>
          <w:lang w:val="en-GB"/>
        </w:rPr>
        <w:t>those aged 65+</w:t>
      </w:r>
      <w:r w:rsidRPr="003C5CA4">
        <w:rPr>
          <w:rFonts w:ascii="Arial" w:eastAsia="Times New Roman" w:hAnsi="Arial"/>
          <w:szCs w:val="20"/>
          <w:lang w:val="en-GB"/>
        </w:rPr>
        <w:t xml:space="preserve"> are strongly influenced by the high mortgage-free tenure of this group</w:t>
      </w:r>
      <w:r w:rsidR="00A84331">
        <w:rPr>
          <w:rFonts w:ascii="Arial" w:eastAsia="Times New Roman" w:hAnsi="Arial"/>
          <w:szCs w:val="20"/>
          <w:lang w:val="en-GB"/>
        </w:rPr>
        <w:t xml:space="preserve"> across European countries (and New Zealand)</w:t>
      </w:r>
      <w:r w:rsidRPr="003C5CA4">
        <w:rPr>
          <w:rFonts w:ascii="Arial" w:eastAsia="Times New Roman" w:hAnsi="Arial"/>
          <w:szCs w:val="20"/>
          <w:lang w:val="en-GB"/>
        </w:rPr>
        <w:t xml:space="preserve">. Their mortgage-free rate is currently around 72% </w:t>
      </w:r>
      <w:r w:rsidR="000D07EC">
        <w:rPr>
          <w:rFonts w:ascii="Arial" w:eastAsia="Times New Roman" w:hAnsi="Arial"/>
          <w:szCs w:val="20"/>
          <w:lang w:val="en-GB"/>
        </w:rPr>
        <w:t xml:space="preserve">on average </w:t>
      </w:r>
      <w:r w:rsidRPr="003C5CA4">
        <w:rPr>
          <w:rFonts w:ascii="Arial" w:eastAsia="Times New Roman" w:hAnsi="Arial"/>
          <w:szCs w:val="20"/>
          <w:lang w:val="en-GB"/>
        </w:rPr>
        <w:t xml:space="preserve">overall, and 70% in the lower two BHC income quintiles. The very low housing costs for many in this (increasingly sizeable) group lowers the overall OTI figures, masking what is happening for the under 65s. </w:t>
      </w:r>
    </w:p>
    <w:p w14:paraId="6DC88945" w14:textId="77777777" w:rsidR="00A84331" w:rsidRDefault="00A84331" w:rsidP="003C5CA4">
      <w:pPr>
        <w:spacing w:after="0" w:line="240" w:lineRule="auto"/>
        <w:ind w:left="360"/>
        <w:jc w:val="both"/>
        <w:rPr>
          <w:rFonts w:ascii="Arial" w:eastAsia="Times New Roman" w:hAnsi="Arial"/>
          <w:szCs w:val="20"/>
          <w:lang w:val="en-GB"/>
        </w:rPr>
      </w:pPr>
    </w:p>
    <w:p w14:paraId="0D27040A" w14:textId="33FD6B9E" w:rsidR="009A3CC1" w:rsidRPr="003C5CA4" w:rsidRDefault="009A3CC1" w:rsidP="003C5CA4">
      <w:pPr>
        <w:spacing w:after="0" w:line="240" w:lineRule="auto"/>
        <w:ind w:left="360"/>
        <w:jc w:val="both"/>
        <w:rPr>
          <w:rFonts w:ascii="Arial" w:eastAsia="Times New Roman" w:hAnsi="Arial" w:cs="Times New Roman"/>
          <w:szCs w:val="20"/>
        </w:rPr>
      </w:pPr>
      <w:r w:rsidRPr="003C5CA4">
        <w:rPr>
          <w:rFonts w:ascii="Arial" w:eastAsia="Times New Roman" w:hAnsi="Arial"/>
          <w:szCs w:val="20"/>
          <w:lang w:val="en-GB"/>
        </w:rPr>
        <w:t>The EU section starts with the overall picture for all households, but then gives more detail for the OTI levels for the under 65s which, on average, are much higher than those for the population overall.</w:t>
      </w:r>
      <w:r w:rsidRPr="003C5CA4">
        <w:rPr>
          <w:rFonts w:ascii="Arial" w:eastAsia="Times New Roman" w:hAnsi="Arial"/>
          <w:color w:val="000000"/>
          <w:lang w:val="en-GB"/>
        </w:rPr>
        <w:t xml:space="preserve"> </w:t>
      </w:r>
    </w:p>
    <w:p w14:paraId="5EEAAA57" w14:textId="07E7004E" w:rsidR="00531A85" w:rsidRPr="00AB18CB" w:rsidRDefault="00531A85" w:rsidP="00531A85">
      <w:pPr>
        <w:spacing w:after="0" w:line="240" w:lineRule="auto"/>
        <w:rPr>
          <w:rFonts w:ascii="Arial" w:hAnsi="Arial"/>
          <w:b/>
          <w:sz w:val="24"/>
          <w:szCs w:val="24"/>
        </w:rPr>
      </w:pPr>
      <w:bookmarkStart w:id="14" w:name="_Hlk80990309"/>
      <w:r w:rsidRPr="00AB18CB">
        <w:rPr>
          <w:rFonts w:ascii="Arial" w:hAnsi="Arial"/>
          <w:b/>
          <w:sz w:val="24"/>
          <w:szCs w:val="24"/>
        </w:rPr>
        <w:lastRenderedPageBreak/>
        <w:t>Whole population and selected age groups</w:t>
      </w:r>
    </w:p>
    <w:p w14:paraId="6B95A3B8" w14:textId="7449958B" w:rsidR="00531A85" w:rsidRDefault="00531A85" w:rsidP="00531A85">
      <w:pPr>
        <w:spacing w:after="0" w:line="240" w:lineRule="auto"/>
        <w:rPr>
          <w:rFonts w:ascii="Arial" w:hAnsi="Arial"/>
        </w:rPr>
      </w:pPr>
    </w:p>
    <w:p w14:paraId="4DC58A5C" w14:textId="5F80E25B" w:rsidR="008978C7" w:rsidRDefault="00AB18CB" w:rsidP="00531A85">
      <w:pPr>
        <w:spacing w:after="0" w:line="240" w:lineRule="auto"/>
        <w:rPr>
          <w:rFonts w:ascii="Arial" w:hAnsi="Arial"/>
        </w:rPr>
      </w:pPr>
      <w:r w:rsidRPr="00AB18CB">
        <w:rPr>
          <w:rFonts w:ascii="Arial" w:hAnsi="Arial"/>
          <w:b/>
          <w:bCs/>
        </w:rPr>
        <w:t xml:space="preserve">Figure </w:t>
      </w:r>
      <w:r w:rsidR="00994190">
        <w:rPr>
          <w:rFonts w:ascii="Arial" w:hAnsi="Arial"/>
          <w:b/>
          <w:bCs/>
        </w:rPr>
        <w:t>18</w:t>
      </w:r>
      <w:r>
        <w:rPr>
          <w:rFonts w:ascii="Arial" w:hAnsi="Arial"/>
        </w:rPr>
        <w:t xml:space="preserve"> </w:t>
      </w:r>
      <w:r w:rsidR="000F44AD">
        <w:rPr>
          <w:rFonts w:ascii="Arial" w:hAnsi="Arial"/>
        </w:rPr>
        <w:t xml:space="preserve">gives </w:t>
      </w:r>
      <w:r w:rsidR="00254F7E">
        <w:rPr>
          <w:rFonts w:ascii="Arial" w:hAnsi="Arial"/>
        </w:rPr>
        <w:t xml:space="preserve">the New Zealand ranking for </w:t>
      </w:r>
      <w:r w:rsidR="00994190">
        <w:rPr>
          <w:rFonts w:ascii="Arial" w:hAnsi="Arial"/>
        </w:rPr>
        <w:t>all people i</w:t>
      </w:r>
      <w:r w:rsidR="00254F7E">
        <w:rPr>
          <w:rFonts w:ascii="Arial" w:hAnsi="Arial"/>
        </w:rPr>
        <w:t xml:space="preserve">n households that spend more than 40% of their income on housing costs, using Eurostat definitions, and </w:t>
      </w:r>
      <w:r w:rsidR="000F44AD">
        <w:rPr>
          <w:rFonts w:ascii="Arial" w:hAnsi="Arial"/>
        </w:rPr>
        <w:t xml:space="preserve">an age breakdown </w:t>
      </w:r>
      <w:r w:rsidR="00254F7E">
        <w:rPr>
          <w:rFonts w:ascii="Arial" w:hAnsi="Arial"/>
        </w:rPr>
        <w:t>for the same.</w:t>
      </w:r>
      <w:r w:rsidR="008978C7">
        <w:rPr>
          <w:rFonts w:ascii="Arial" w:hAnsi="Arial"/>
        </w:rPr>
        <w:t xml:space="preserve"> </w:t>
      </w:r>
    </w:p>
    <w:p w14:paraId="5E940E23" w14:textId="70EF4A20" w:rsidR="00254F7E" w:rsidRDefault="00254F7E" w:rsidP="00531A85">
      <w:pPr>
        <w:spacing w:after="0" w:line="240" w:lineRule="auto"/>
        <w:rPr>
          <w:rFonts w:ascii="Arial" w:hAnsi="Arial"/>
        </w:rPr>
      </w:pPr>
    </w:p>
    <w:p w14:paraId="26FB9FAB" w14:textId="6DBAD800" w:rsidR="00254F7E" w:rsidRDefault="00254F7E" w:rsidP="00531A85">
      <w:pPr>
        <w:spacing w:after="0" w:line="240" w:lineRule="auto"/>
        <w:rPr>
          <w:rFonts w:ascii="Arial" w:hAnsi="Arial"/>
        </w:rPr>
      </w:pPr>
      <w:r>
        <w:rPr>
          <w:rFonts w:ascii="Arial" w:hAnsi="Arial"/>
        </w:rPr>
        <w:t>For the whole population, New Zealand’s HCO rate (9%) is similar to those of Italy, Sweden, Belgium, Spain, and the Netherlands (8-</w:t>
      </w:r>
      <w:r w:rsidR="00B06358">
        <w:rPr>
          <w:rFonts w:ascii="Arial" w:hAnsi="Arial"/>
        </w:rPr>
        <w:t>9</w:t>
      </w:r>
      <w:r>
        <w:rPr>
          <w:rFonts w:ascii="Arial" w:hAnsi="Arial"/>
        </w:rPr>
        <w:t>%) and close to the E</w:t>
      </w:r>
      <w:r w:rsidR="00B06358">
        <w:rPr>
          <w:rFonts w:ascii="Arial" w:hAnsi="Arial"/>
        </w:rPr>
        <w:t>U</w:t>
      </w:r>
      <w:r>
        <w:rPr>
          <w:rFonts w:ascii="Arial" w:hAnsi="Arial"/>
        </w:rPr>
        <w:t xml:space="preserve"> median of 8%.</w:t>
      </w:r>
    </w:p>
    <w:p w14:paraId="46951A21" w14:textId="77777777" w:rsidR="008978C7" w:rsidRDefault="008978C7" w:rsidP="00531A85">
      <w:pPr>
        <w:spacing w:after="0" w:line="240" w:lineRule="auto"/>
        <w:rPr>
          <w:rFonts w:ascii="Arial" w:hAnsi="Arial"/>
        </w:rPr>
      </w:pPr>
    </w:p>
    <w:p w14:paraId="5DA51C67" w14:textId="507D36F8" w:rsidR="00830A74" w:rsidRDefault="00EB1D70" w:rsidP="00A00FF7">
      <w:pPr>
        <w:spacing w:after="0" w:line="240" w:lineRule="auto"/>
        <w:rPr>
          <w:rFonts w:ascii="Arial" w:hAnsi="Arial"/>
        </w:rPr>
      </w:pPr>
      <w:r>
        <w:rPr>
          <w:rFonts w:ascii="Arial" w:hAnsi="Arial"/>
        </w:rPr>
        <w:t xml:space="preserve">The finding that stands out is the relatively low HCO rate for older New Zealanders overall (4% compared with EU median of </w:t>
      </w:r>
      <w:r w:rsidR="00830A74">
        <w:rPr>
          <w:rFonts w:ascii="Arial" w:hAnsi="Arial"/>
        </w:rPr>
        <w:t>7</w:t>
      </w:r>
      <w:r>
        <w:rPr>
          <w:rFonts w:ascii="Arial" w:hAnsi="Arial"/>
        </w:rPr>
        <w:t>%), and the relatively high rate for those under 18 years overall (9% compared with overall EU median of 7%).</w:t>
      </w:r>
      <w:r w:rsidR="00A4686D">
        <w:rPr>
          <w:rFonts w:ascii="Arial" w:hAnsi="Arial"/>
        </w:rPr>
        <w:t xml:space="preserve"> </w:t>
      </w:r>
    </w:p>
    <w:p w14:paraId="3B3BFC60" w14:textId="77777777" w:rsidR="00EB1D70" w:rsidRDefault="00EB1D70" w:rsidP="00A00FF7">
      <w:pPr>
        <w:spacing w:after="0" w:line="240" w:lineRule="auto"/>
        <w:rPr>
          <w:rFonts w:ascii="Arial" w:hAnsi="Arial"/>
        </w:rPr>
      </w:pPr>
    </w:p>
    <w:p w14:paraId="205171EE" w14:textId="4B3B994B" w:rsidR="00AB18CB" w:rsidRPr="00AB18CB" w:rsidRDefault="00AB18CB" w:rsidP="00AB18CB">
      <w:pPr>
        <w:spacing w:after="0" w:line="240" w:lineRule="auto"/>
        <w:jc w:val="center"/>
        <w:rPr>
          <w:rFonts w:ascii="Arial" w:hAnsi="Arial"/>
          <w:b/>
          <w:bCs/>
          <w:sz w:val="18"/>
          <w:szCs w:val="18"/>
        </w:rPr>
      </w:pPr>
      <w:r w:rsidRPr="00AB18CB">
        <w:rPr>
          <w:rFonts w:ascii="Arial" w:hAnsi="Arial"/>
          <w:b/>
          <w:bCs/>
          <w:sz w:val="18"/>
          <w:szCs w:val="18"/>
        </w:rPr>
        <w:t xml:space="preserve">Figure </w:t>
      </w:r>
      <w:r w:rsidR="00994190">
        <w:rPr>
          <w:rFonts w:ascii="Arial" w:hAnsi="Arial"/>
          <w:b/>
          <w:bCs/>
          <w:sz w:val="18"/>
          <w:szCs w:val="18"/>
        </w:rPr>
        <w:t>18</w:t>
      </w:r>
    </w:p>
    <w:p w14:paraId="29649D97" w14:textId="77777777" w:rsidR="00AB18CB" w:rsidRDefault="00AB18CB" w:rsidP="00AB18CB">
      <w:pPr>
        <w:spacing w:after="0" w:line="240" w:lineRule="auto"/>
        <w:jc w:val="center"/>
        <w:rPr>
          <w:rFonts w:ascii="Arial" w:hAnsi="Arial"/>
          <w:b/>
          <w:bCs/>
          <w:sz w:val="18"/>
          <w:szCs w:val="18"/>
        </w:rPr>
      </w:pPr>
      <w:r w:rsidRPr="00AB18CB">
        <w:rPr>
          <w:rFonts w:ascii="Arial" w:hAnsi="Arial"/>
          <w:b/>
          <w:bCs/>
          <w:sz w:val="18"/>
          <w:szCs w:val="18"/>
        </w:rPr>
        <w:t xml:space="preserve">Proportion of individuals in households with </w:t>
      </w:r>
      <w:r>
        <w:rPr>
          <w:rFonts w:ascii="Arial" w:hAnsi="Arial"/>
          <w:b/>
          <w:bCs/>
          <w:sz w:val="18"/>
          <w:szCs w:val="18"/>
        </w:rPr>
        <w:t>‘Housing Cost Overburden’</w:t>
      </w:r>
      <w:r w:rsidRPr="00AB18CB">
        <w:rPr>
          <w:rFonts w:ascii="Arial" w:hAnsi="Arial"/>
          <w:b/>
          <w:bCs/>
          <w:sz w:val="18"/>
          <w:szCs w:val="18"/>
        </w:rPr>
        <w:t xml:space="preserve"> &gt; 40%</w:t>
      </w:r>
      <w:r>
        <w:rPr>
          <w:rFonts w:ascii="Arial" w:hAnsi="Arial"/>
          <w:b/>
          <w:bCs/>
          <w:sz w:val="18"/>
          <w:szCs w:val="18"/>
        </w:rPr>
        <w:t xml:space="preserve">, </w:t>
      </w:r>
    </w:p>
    <w:p w14:paraId="2E7D9F92" w14:textId="47FAE64B" w:rsidR="00AB18CB" w:rsidRPr="00AB18CB" w:rsidRDefault="00F327DE" w:rsidP="00AB18CB">
      <w:pPr>
        <w:spacing w:after="0" w:line="240" w:lineRule="auto"/>
        <w:jc w:val="center"/>
        <w:rPr>
          <w:rFonts w:ascii="Arial" w:hAnsi="Arial"/>
          <w:b/>
          <w:bCs/>
          <w:sz w:val="18"/>
          <w:szCs w:val="18"/>
        </w:rPr>
      </w:pPr>
      <w:r w:rsidRPr="00F327DE">
        <w:rPr>
          <w:noProof/>
        </w:rPr>
        <w:drawing>
          <wp:anchor distT="0" distB="0" distL="114300" distR="114300" simplePos="0" relativeHeight="251739136" behindDoc="0" locked="0" layoutInCell="1" allowOverlap="1" wp14:anchorId="1ED53B59" wp14:editId="74134C24">
            <wp:simplePos x="0" y="0"/>
            <wp:positionH relativeFrom="column">
              <wp:posOffset>-635</wp:posOffset>
            </wp:positionH>
            <wp:positionV relativeFrom="paragraph">
              <wp:posOffset>222250</wp:posOffset>
            </wp:positionV>
            <wp:extent cx="2777490" cy="1711960"/>
            <wp:effectExtent l="0" t="0" r="381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7490" cy="1711960"/>
                    </a:xfrm>
                    <a:prstGeom prst="rect">
                      <a:avLst/>
                    </a:prstGeom>
                  </pic:spPr>
                </pic:pic>
              </a:graphicData>
            </a:graphic>
            <wp14:sizeRelH relativeFrom="margin">
              <wp14:pctWidth>0</wp14:pctWidth>
            </wp14:sizeRelH>
            <wp14:sizeRelV relativeFrom="margin">
              <wp14:pctHeight>0</wp14:pctHeight>
            </wp14:sizeRelV>
          </wp:anchor>
        </w:drawing>
      </w:r>
      <w:r w:rsidRPr="00F327DE">
        <w:rPr>
          <w:noProof/>
        </w:rPr>
        <w:drawing>
          <wp:anchor distT="0" distB="0" distL="114300" distR="114300" simplePos="0" relativeHeight="251741184" behindDoc="0" locked="0" layoutInCell="1" allowOverlap="1" wp14:anchorId="424FB30D" wp14:editId="235CF631">
            <wp:simplePos x="0" y="0"/>
            <wp:positionH relativeFrom="column">
              <wp:posOffset>2908300</wp:posOffset>
            </wp:positionH>
            <wp:positionV relativeFrom="paragraph">
              <wp:posOffset>228600</wp:posOffset>
            </wp:positionV>
            <wp:extent cx="2768600" cy="1705610"/>
            <wp:effectExtent l="0" t="0" r="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8600" cy="1705610"/>
                    </a:xfrm>
                    <a:prstGeom prst="rect">
                      <a:avLst/>
                    </a:prstGeom>
                  </pic:spPr>
                </pic:pic>
              </a:graphicData>
            </a:graphic>
            <wp14:sizeRelH relativeFrom="margin">
              <wp14:pctWidth>0</wp14:pctWidth>
            </wp14:sizeRelH>
            <wp14:sizeRelV relativeFrom="margin">
              <wp14:pctHeight>0</wp14:pctHeight>
            </wp14:sizeRelV>
          </wp:anchor>
        </w:drawing>
      </w:r>
      <w:r w:rsidR="00AB18CB">
        <w:rPr>
          <w:rFonts w:ascii="Arial" w:hAnsi="Arial"/>
          <w:b/>
          <w:bCs/>
          <w:sz w:val="18"/>
          <w:szCs w:val="18"/>
        </w:rPr>
        <w:t>whole population and age-groups as indicated, c 2018</w:t>
      </w:r>
    </w:p>
    <w:p w14:paraId="0CEAE61D" w14:textId="2903063E" w:rsidR="00531A85" w:rsidRDefault="00254F7E" w:rsidP="00531A85">
      <w:pPr>
        <w:spacing w:after="0" w:line="240" w:lineRule="auto"/>
        <w:rPr>
          <w:rFonts w:ascii="Arial" w:hAnsi="Arial"/>
        </w:rPr>
      </w:pPr>
      <w:r w:rsidRPr="000F44AD">
        <w:rPr>
          <w:noProof/>
        </w:rPr>
        <w:drawing>
          <wp:anchor distT="0" distB="0" distL="114300" distR="114300" simplePos="0" relativeHeight="251745280" behindDoc="0" locked="0" layoutInCell="1" allowOverlap="1" wp14:anchorId="4CEA9FDE" wp14:editId="5BC1D452">
            <wp:simplePos x="0" y="0"/>
            <wp:positionH relativeFrom="column">
              <wp:posOffset>2896870</wp:posOffset>
            </wp:positionH>
            <wp:positionV relativeFrom="paragraph">
              <wp:posOffset>2097405</wp:posOffset>
            </wp:positionV>
            <wp:extent cx="2777490" cy="1711325"/>
            <wp:effectExtent l="0" t="0" r="381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7490" cy="1711325"/>
                    </a:xfrm>
                    <a:prstGeom prst="rect">
                      <a:avLst/>
                    </a:prstGeom>
                  </pic:spPr>
                </pic:pic>
              </a:graphicData>
            </a:graphic>
            <wp14:sizeRelH relativeFrom="margin">
              <wp14:pctWidth>0</wp14:pctWidth>
            </wp14:sizeRelH>
            <wp14:sizeRelV relativeFrom="margin">
              <wp14:pctHeight>0</wp14:pctHeight>
            </wp14:sizeRelV>
          </wp:anchor>
        </w:drawing>
      </w:r>
      <w:r w:rsidRPr="000F44AD">
        <w:rPr>
          <w:noProof/>
        </w:rPr>
        <w:drawing>
          <wp:anchor distT="0" distB="0" distL="114300" distR="114300" simplePos="0" relativeHeight="251743232" behindDoc="0" locked="0" layoutInCell="1" allowOverlap="1" wp14:anchorId="6F8C91ED" wp14:editId="26162013">
            <wp:simplePos x="0" y="0"/>
            <wp:positionH relativeFrom="column">
              <wp:posOffset>-53340</wp:posOffset>
            </wp:positionH>
            <wp:positionV relativeFrom="paragraph">
              <wp:posOffset>2097405</wp:posOffset>
            </wp:positionV>
            <wp:extent cx="2828290" cy="17430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290" cy="1743075"/>
                    </a:xfrm>
                    <a:prstGeom prst="rect">
                      <a:avLst/>
                    </a:prstGeom>
                  </pic:spPr>
                </pic:pic>
              </a:graphicData>
            </a:graphic>
            <wp14:sizeRelH relativeFrom="margin">
              <wp14:pctWidth>0</wp14:pctWidth>
            </wp14:sizeRelH>
            <wp14:sizeRelV relativeFrom="margin">
              <wp14:pctHeight>0</wp14:pctHeight>
            </wp14:sizeRelV>
          </wp:anchor>
        </w:drawing>
      </w:r>
    </w:p>
    <w:p w14:paraId="19FA8CDB" w14:textId="77777777" w:rsidR="002B1CE6" w:rsidRDefault="002B1CE6">
      <w:pPr>
        <w:spacing w:after="0" w:line="240" w:lineRule="auto"/>
        <w:rPr>
          <w:rFonts w:ascii="Arial" w:hAnsi="Arial"/>
        </w:rPr>
      </w:pPr>
    </w:p>
    <w:p w14:paraId="427E2160" w14:textId="77777777" w:rsidR="00646B6C" w:rsidRDefault="00CA35AC">
      <w:pPr>
        <w:spacing w:after="0" w:line="240" w:lineRule="auto"/>
        <w:rPr>
          <w:rFonts w:ascii="Arial" w:hAnsi="Arial"/>
          <w:szCs w:val="20"/>
        </w:rPr>
      </w:pPr>
      <w:bookmarkStart w:id="15" w:name="_Hlk85017817"/>
      <w:r w:rsidRPr="002B1CE6">
        <w:rPr>
          <w:rFonts w:ascii="Arial" w:hAnsi="Arial"/>
          <w:szCs w:val="20"/>
        </w:rPr>
        <w:t xml:space="preserve">The relativity between </w:t>
      </w:r>
      <w:r w:rsidR="007C6770">
        <w:rPr>
          <w:rFonts w:ascii="Arial" w:hAnsi="Arial"/>
          <w:szCs w:val="20"/>
        </w:rPr>
        <w:t xml:space="preserve">the HCO for </w:t>
      </w:r>
      <w:r w:rsidRPr="002B1CE6">
        <w:rPr>
          <w:rFonts w:ascii="Arial" w:hAnsi="Arial"/>
          <w:szCs w:val="20"/>
        </w:rPr>
        <w:t xml:space="preserve">children and </w:t>
      </w:r>
      <w:r w:rsidR="007C6770">
        <w:rPr>
          <w:rFonts w:ascii="Arial" w:hAnsi="Arial"/>
          <w:szCs w:val="20"/>
        </w:rPr>
        <w:t>those aged 65+ varies considerably across European countries. In other words, it’s not simply a life-stage phenomenon</w:t>
      </w:r>
      <w:r w:rsidR="00646B6C">
        <w:rPr>
          <w:rFonts w:ascii="Arial" w:hAnsi="Arial"/>
          <w:szCs w:val="20"/>
        </w:rPr>
        <w:t xml:space="preserve">; </w:t>
      </w:r>
      <w:r w:rsidR="007C6770">
        <w:rPr>
          <w:rFonts w:ascii="Arial" w:hAnsi="Arial"/>
          <w:szCs w:val="20"/>
        </w:rPr>
        <w:t xml:space="preserve">the relativities can be impacted by policy differences and cultural norms and expectations.  </w:t>
      </w:r>
    </w:p>
    <w:bookmarkEnd w:id="15"/>
    <w:p w14:paraId="70687E03" w14:textId="77777777" w:rsidR="00646B6C" w:rsidRDefault="00646B6C">
      <w:pPr>
        <w:spacing w:after="0" w:line="240" w:lineRule="auto"/>
        <w:rPr>
          <w:rFonts w:ascii="Arial" w:hAnsi="Arial"/>
          <w:szCs w:val="20"/>
        </w:rPr>
      </w:pPr>
    </w:p>
    <w:p w14:paraId="3106B5A4" w14:textId="7BD3336B" w:rsidR="00CA35AC" w:rsidRPr="002B1CE6" w:rsidRDefault="007C6770">
      <w:pPr>
        <w:spacing w:after="0" w:line="240" w:lineRule="auto"/>
        <w:rPr>
          <w:rFonts w:ascii="Arial" w:hAnsi="Arial"/>
          <w:szCs w:val="20"/>
        </w:rPr>
      </w:pPr>
      <w:r w:rsidRPr="007C6770">
        <w:rPr>
          <w:rFonts w:ascii="Arial" w:hAnsi="Arial"/>
          <w:b/>
          <w:bCs/>
          <w:szCs w:val="20"/>
        </w:rPr>
        <w:t xml:space="preserve">Figure </w:t>
      </w:r>
      <w:r w:rsidR="008D236D">
        <w:rPr>
          <w:rFonts w:ascii="Arial" w:hAnsi="Arial"/>
          <w:b/>
          <w:bCs/>
          <w:szCs w:val="20"/>
        </w:rPr>
        <w:t>19</w:t>
      </w:r>
      <w:r w:rsidR="00E3319B">
        <w:rPr>
          <w:rFonts w:ascii="Arial" w:hAnsi="Arial"/>
          <w:b/>
          <w:bCs/>
          <w:szCs w:val="20"/>
        </w:rPr>
        <w:t>a</w:t>
      </w:r>
      <w:r>
        <w:rPr>
          <w:rFonts w:ascii="Arial" w:hAnsi="Arial"/>
          <w:szCs w:val="20"/>
        </w:rPr>
        <w:t xml:space="preserve"> (next page) reports the ratio of HCO for children to that for those aged 65+</w:t>
      </w:r>
      <w:r w:rsidR="00CA35AC" w:rsidRPr="002B1CE6">
        <w:rPr>
          <w:rFonts w:ascii="Arial" w:hAnsi="Arial"/>
          <w:szCs w:val="20"/>
        </w:rPr>
        <w:t xml:space="preserve"> </w:t>
      </w:r>
      <w:r>
        <w:rPr>
          <w:rFonts w:ascii="Arial" w:hAnsi="Arial"/>
          <w:szCs w:val="20"/>
        </w:rPr>
        <w:t>for each country</w:t>
      </w:r>
      <w:r w:rsidR="00572B58">
        <w:rPr>
          <w:rFonts w:ascii="Arial" w:hAnsi="Arial"/>
          <w:szCs w:val="20"/>
        </w:rPr>
        <w:t>.</w:t>
      </w:r>
      <w:r>
        <w:rPr>
          <w:rFonts w:ascii="Arial" w:hAnsi="Arial"/>
          <w:szCs w:val="20"/>
        </w:rPr>
        <w:t xml:space="preserve"> New Zealand </w:t>
      </w:r>
      <w:r w:rsidR="00572B58">
        <w:rPr>
          <w:rFonts w:ascii="Arial" w:hAnsi="Arial"/>
          <w:szCs w:val="20"/>
        </w:rPr>
        <w:t>ranks</w:t>
      </w:r>
      <w:r w:rsidR="008D236D">
        <w:rPr>
          <w:rFonts w:ascii="Arial" w:hAnsi="Arial"/>
          <w:szCs w:val="20"/>
        </w:rPr>
        <w:t xml:space="preserve"> at the high end</w:t>
      </w:r>
      <w:r w:rsidR="00572B58">
        <w:rPr>
          <w:rFonts w:ascii="Arial" w:hAnsi="Arial"/>
          <w:szCs w:val="20"/>
        </w:rPr>
        <w:t xml:space="preserve"> (the HCO for children is double that for older New Zealanders)</w:t>
      </w:r>
      <w:r w:rsidR="008D236D">
        <w:rPr>
          <w:rFonts w:ascii="Arial" w:hAnsi="Arial"/>
          <w:szCs w:val="20"/>
        </w:rPr>
        <w:t xml:space="preserve">, lower only than Spain and Ireland, and well above </w:t>
      </w:r>
      <w:r w:rsidR="00572B58">
        <w:rPr>
          <w:rFonts w:ascii="Arial" w:hAnsi="Arial"/>
          <w:szCs w:val="20"/>
        </w:rPr>
        <w:t>European countries such as Belgium and France for whom the HCO for children is less than that for those aged 65+.</w:t>
      </w:r>
      <w:r w:rsidR="002B1CE6">
        <w:rPr>
          <w:rFonts w:ascii="Arial" w:hAnsi="Arial"/>
          <w:szCs w:val="20"/>
        </w:rPr>
        <w:t xml:space="preserve"> </w:t>
      </w:r>
    </w:p>
    <w:p w14:paraId="117A5026" w14:textId="77777777" w:rsidR="002B1CE6" w:rsidRDefault="002B1CE6">
      <w:pPr>
        <w:spacing w:after="0" w:line="240" w:lineRule="auto"/>
        <w:rPr>
          <w:rFonts w:ascii="Arial" w:hAnsi="Arial"/>
          <w:b/>
          <w:bCs/>
          <w:sz w:val="18"/>
          <w:szCs w:val="18"/>
        </w:rPr>
      </w:pPr>
      <w:r>
        <w:rPr>
          <w:rFonts w:ascii="Arial" w:hAnsi="Arial"/>
          <w:b/>
          <w:bCs/>
          <w:sz w:val="18"/>
          <w:szCs w:val="18"/>
        </w:rPr>
        <w:br w:type="page"/>
      </w:r>
    </w:p>
    <w:p w14:paraId="3C8FEA4C" w14:textId="3C0B180E" w:rsidR="00BA3C1A" w:rsidRPr="00AB18CB" w:rsidRDefault="00BA3C1A" w:rsidP="00BA3C1A">
      <w:pPr>
        <w:spacing w:after="0" w:line="240" w:lineRule="auto"/>
        <w:jc w:val="center"/>
        <w:rPr>
          <w:rFonts w:ascii="Arial" w:hAnsi="Arial"/>
          <w:b/>
          <w:bCs/>
          <w:sz w:val="18"/>
          <w:szCs w:val="18"/>
        </w:rPr>
      </w:pPr>
      <w:bookmarkStart w:id="16" w:name="_Hlk82521696"/>
      <w:r w:rsidRPr="00AB18CB">
        <w:rPr>
          <w:rFonts w:ascii="Arial" w:hAnsi="Arial"/>
          <w:b/>
          <w:bCs/>
          <w:sz w:val="18"/>
          <w:szCs w:val="18"/>
        </w:rPr>
        <w:lastRenderedPageBreak/>
        <w:t xml:space="preserve">Figure </w:t>
      </w:r>
      <w:r w:rsidR="00572B58">
        <w:rPr>
          <w:rFonts w:ascii="Arial" w:hAnsi="Arial"/>
          <w:b/>
          <w:bCs/>
          <w:sz w:val="18"/>
          <w:szCs w:val="18"/>
        </w:rPr>
        <w:t>19</w:t>
      </w:r>
      <w:r w:rsidR="007D524E">
        <w:rPr>
          <w:rFonts w:ascii="Arial" w:hAnsi="Arial"/>
          <w:b/>
          <w:bCs/>
          <w:sz w:val="18"/>
          <w:szCs w:val="18"/>
        </w:rPr>
        <w:t>a</w:t>
      </w:r>
    </w:p>
    <w:p w14:paraId="05DF4464" w14:textId="4EC5A7D3" w:rsidR="00B16D44" w:rsidRDefault="00160989" w:rsidP="00BA3C1A">
      <w:pPr>
        <w:spacing w:after="0" w:line="240" w:lineRule="auto"/>
        <w:jc w:val="center"/>
        <w:rPr>
          <w:rFonts w:ascii="Arial" w:hAnsi="Arial"/>
          <w:b/>
          <w:bCs/>
          <w:sz w:val="18"/>
          <w:szCs w:val="18"/>
        </w:rPr>
      </w:pPr>
      <w:r w:rsidRPr="0067236B">
        <w:rPr>
          <w:rFonts w:ascii="Arial" w:hAnsi="Arial"/>
          <w:b/>
          <w:bCs/>
          <w:sz w:val="18"/>
          <w:szCs w:val="18"/>
        </w:rPr>
        <w:t xml:space="preserve">Ratio of % </w:t>
      </w:r>
      <w:r w:rsidR="0067236B" w:rsidRPr="0067236B">
        <w:rPr>
          <w:rFonts w:ascii="Arial" w:hAnsi="Arial"/>
          <w:b/>
          <w:bCs/>
          <w:sz w:val="18"/>
          <w:szCs w:val="18"/>
        </w:rPr>
        <w:t xml:space="preserve">of those under 18 years </w:t>
      </w:r>
      <w:r w:rsidRPr="0067236B">
        <w:rPr>
          <w:rFonts w:ascii="Arial" w:hAnsi="Arial"/>
          <w:b/>
          <w:bCs/>
          <w:sz w:val="18"/>
          <w:szCs w:val="18"/>
        </w:rPr>
        <w:t>with high HCOs</w:t>
      </w:r>
      <w:r w:rsidR="0067236B" w:rsidRPr="0067236B">
        <w:rPr>
          <w:rFonts w:ascii="Arial" w:hAnsi="Arial"/>
          <w:b/>
          <w:bCs/>
          <w:sz w:val="18"/>
          <w:szCs w:val="18"/>
        </w:rPr>
        <w:t xml:space="preserve"> (&gt;40%) </w:t>
      </w:r>
      <w:r w:rsidRPr="0067236B">
        <w:rPr>
          <w:rFonts w:ascii="Arial" w:hAnsi="Arial"/>
          <w:b/>
          <w:bCs/>
          <w:sz w:val="18"/>
          <w:szCs w:val="18"/>
        </w:rPr>
        <w:t>to that for those aged 65+,</w:t>
      </w:r>
      <w:r w:rsidR="00BA3C1A" w:rsidRPr="0067236B">
        <w:rPr>
          <w:rFonts w:ascii="Arial" w:hAnsi="Arial"/>
          <w:b/>
          <w:bCs/>
          <w:sz w:val="18"/>
          <w:szCs w:val="18"/>
        </w:rPr>
        <w:t xml:space="preserve"> </w:t>
      </w:r>
    </w:p>
    <w:p w14:paraId="781C4178" w14:textId="3CF001E3" w:rsidR="00BA3C1A" w:rsidRDefault="00B16D44" w:rsidP="00BA3C1A">
      <w:pPr>
        <w:spacing w:after="0" w:line="240" w:lineRule="auto"/>
        <w:jc w:val="center"/>
        <w:rPr>
          <w:rFonts w:ascii="Arial" w:hAnsi="Arial"/>
          <w:b/>
          <w:bCs/>
          <w:sz w:val="18"/>
          <w:szCs w:val="18"/>
        </w:rPr>
      </w:pPr>
      <w:r w:rsidRPr="0067236B">
        <w:rPr>
          <w:noProof/>
        </w:rPr>
        <w:drawing>
          <wp:anchor distT="0" distB="0" distL="114300" distR="114300" simplePos="0" relativeHeight="251786240" behindDoc="0" locked="0" layoutInCell="1" allowOverlap="1" wp14:anchorId="185186DC" wp14:editId="751372A9">
            <wp:simplePos x="0" y="0"/>
            <wp:positionH relativeFrom="column">
              <wp:posOffset>1320800</wp:posOffset>
            </wp:positionH>
            <wp:positionV relativeFrom="paragraph">
              <wp:posOffset>182880</wp:posOffset>
            </wp:positionV>
            <wp:extent cx="3120390" cy="186817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1868170"/>
                    </a:xfrm>
                    <a:prstGeom prst="rect">
                      <a:avLst/>
                    </a:prstGeom>
                  </pic:spPr>
                </pic:pic>
              </a:graphicData>
            </a:graphic>
            <wp14:sizeRelH relativeFrom="margin">
              <wp14:pctWidth>0</wp14:pctWidth>
            </wp14:sizeRelH>
            <wp14:sizeRelV relativeFrom="margin">
              <wp14:pctHeight>0</wp14:pctHeight>
            </wp14:sizeRelV>
          </wp:anchor>
        </w:drawing>
      </w:r>
      <w:r w:rsidR="00BA3C1A" w:rsidRPr="0067236B">
        <w:rPr>
          <w:rFonts w:ascii="Arial" w:hAnsi="Arial"/>
          <w:b/>
          <w:bCs/>
          <w:sz w:val="18"/>
          <w:szCs w:val="18"/>
        </w:rPr>
        <w:t xml:space="preserve">all HHs considered </w:t>
      </w:r>
      <w:r>
        <w:rPr>
          <w:rFonts w:ascii="Arial" w:hAnsi="Arial"/>
          <w:b/>
          <w:bCs/>
          <w:sz w:val="18"/>
          <w:szCs w:val="18"/>
        </w:rPr>
        <w:t>(EU approach and definitions)</w:t>
      </w:r>
    </w:p>
    <w:p w14:paraId="1C1E7CBD" w14:textId="0FFC6186" w:rsidR="007E620E" w:rsidRPr="0067236B" w:rsidRDefault="007C6770" w:rsidP="007C6770">
      <w:pPr>
        <w:spacing w:after="0" w:line="240" w:lineRule="auto"/>
        <w:ind w:left="2410" w:hanging="425"/>
        <w:rPr>
          <w:rFonts w:ascii="Arial" w:hAnsi="Arial"/>
          <w:color w:val="000000" w:themeColor="text1"/>
          <w:sz w:val="16"/>
          <w:szCs w:val="16"/>
        </w:rPr>
      </w:pPr>
      <w:r w:rsidRPr="0067236B">
        <w:rPr>
          <w:rFonts w:ascii="Arial" w:hAnsi="Arial"/>
          <w:color w:val="000000" w:themeColor="text1"/>
          <w:sz w:val="16"/>
          <w:szCs w:val="16"/>
        </w:rPr>
        <w:t xml:space="preserve">Note: the horizontal dashed line at value ‘1.0’ indicates where the ratio would be if children and those aged 65+ </w:t>
      </w:r>
      <w:r w:rsidR="0091516E" w:rsidRPr="0067236B">
        <w:rPr>
          <w:rFonts w:ascii="Arial" w:hAnsi="Arial"/>
          <w:color w:val="000000" w:themeColor="text1"/>
          <w:sz w:val="16"/>
          <w:szCs w:val="16"/>
        </w:rPr>
        <w:t xml:space="preserve">each </w:t>
      </w:r>
      <w:r w:rsidRPr="0067236B">
        <w:rPr>
          <w:rFonts w:ascii="Arial" w:hAnsi="Arial"/>
          <w:color w:val="000000" w:themeColor="text1"/>
          <w:sz w:val="16"/>
          <w:szCs w:val="16"/>
        </w:rPr>
        <w:t>had the same chance of having an HCO greater than 40%.</w:t>
      </w:r>
    </w:p>
    <w:bookmarkEnd w:id="16"/>
    <w:p w14:paraId="486F129C" w14:textId="7D797403" w:rsidR="007E620E" w:rsidRDefault="007E620E" w:rsidP="002F6816">
      <w:pPr>
        <w:spacing w:after="0" w:line="240" w:lineRule="auto"/>
        <w:rPr>
          <w:rFonts w:ascii="Arial" w:hAnsi="Arial"/>
        </w:rPr>
      </w:pPr>
    </w:p>
    <w:p w14:paraId="3E5B16EE" w14:textId="55649FD2" w:rsidR="007D524E" w:rsidRPr="00B16D44" w:rsidRDefault="002F6816" w:rsidP="00E3319B">
      <w:pPr>
        <w:spacing w:after="0" w:line="240" w:lineRule="auto"/>
        <w:rPr>
          <w:rFonts w:ascii="Arial" w:hAnsi="Arial"/>
          <w:b/>
          <w:bCs/>
          <w:szCs w:val="20"/>
        </w:rPr>
      </w:pPr>
      <w:r w:rsidRPr="00B16D44">
        <w:rPr>
          <w:rFonts w:ascii="Arial" w:hAnsi="Arial"/>
          <w:szCs w:val="20"/>
        </w:rPr>
        <w:t xml:space="preserve">The analysis above covers households of all </w:t>
      </w:r>
      <w:r w:rsidR="00B16D44" w:rsidRPr="00B16D44">
        <w:rPr>
          <w:rFonts w:ascii="Arial" w:hAnsi="Arial"/>
          <w:szCs w:val="20"/>
        </w:rPr>
        <w:t>tenures</w:t>
      </w:r>
      <w:r w:rsidR="00303464" w:rsidRPr="00B16D44">
        <w:rPr>
          <w:rFonts w:ascii="Arial" w:hAnsi="Arial"/>
          <w:szCs w:val="20"/>
        </w:rPr>
        <w:t>.</w:t>
      </w:r>
      <w:r w:rsidR="007D524E" w:rsidRPr="00B16D44">
        <w:rPr>
          <w:rFonts w:ascii="Arial" w:hAnsi="Arial"/>
          <w:szCs w:val="20"/>
        </w:rPr>
        <w:t xml:space="preserve"> </w:t>
      </w:r>
      <w:r w:rsidR="00B16D44" w:rsidRPr="00B16D44">
        <w:rPr>
          <w:rFonts w:ascii="Arial" w:hAnsi="Arial"/>
          <w:szCs w:val="20"/>
        </w:rPr>
        <w:t xml:space="preserve">This means that the ratio for each country and the actual rankings are impacted by the </w:t>
      </w:r>
      <w:r w:rsidR="00B16D44">
        <w:rPr>
          <w:rFonts w:ascii="Arial" w:hAnsi="Arial"/>
          <w:szCs w:val="20"/>
        </w:rPr>
        <w:t xml:space="preserve">(relative) </w:t>
      </w:r>
      <w:r w:rsidR="00B16D44" w:rsidRPr="00B16D44">
        <w:rPr>
          <w:rFonts w:ascii="Arial" w:hAnsi="Arial"/>
          <w:szCs w:val="20"/>
        </w:rPr>
        <w:t xml:space="preserve">proportion of households that are mortgage-free in each </w:t>
      </w:r>
      <w:r w:rsidR="00B16D44">
        <w:rPr>
          <w:rFonts w:ascii="Arial" w:hAnsi="Arial"/>
          <w:szCs w:val="20"/>
        </w:rPr>
        <w:t>age group category</w:t>
      </w:r>
      <w:r w:rsidR="00B16D44" w:rsidRPr="00B16D44">
        <w:rPr>
          <w:rFonts w:ascii="Arial" w:hAnsi="Arial"/>
          <w:szCs w:val="20"/>
        </w:rPr>
        <w:t>.</w:t>
      </w:r>
      <w:r w:rsidR="00B16D44">
        <w:rPr>
          <w:rFonts w:ascii="Arial" w:hAnsi="Arial"/>
          <w:szCs w:val="20"/>
        </w:rPr>
        <w:t xml:space="preserve"> </w:t>
      </w:r>
      <w:r w:rsidR="00B16D44" w:rsidRPr="00B16D44">
        <w:rPr>
          <w:rFonts w:ascii="Arial" w:hAnsi="Arial"/>
          <w:b/>
          <w:bCs/>
          <w:szCs w:val="20"/>
        </w:rPr>
        <w:t>Figure 19b</w:t>
      </w:r>
      <w:r w:rsidR="00B16D44">
        <w:rPr>
          <w:rFonts w:ascii="Arial" w:hAnsi="Arial"/>
          <w:szCs w:val="20"/>
        </w:rPr>
        <w:t xml:space="preserve"> repeats the analysis using the OECD approach which excludes mortgage-free households.</w:t>
      </w:r>
      <w:r w:rsidR="00646B6C">
        <w:rPr>
          <w:rFonts w:ascii="Arial" w:hAnsi="Arial"/>
          <w:szCs w:val="20"/>
        </w:rPr>
        <w:t xml:space="preserve"> New Zealand is still at the ‘wrong</w:t>
      </w:r>
      <w:r w:rsidR="00266327">
        <w:rPr>
          <w:rFonts w:ascii="Arial" w:hAnsi="Arial"/>
          <w:szCs w:val="20"/>
        </w:rPr>
        <w:t xml:space="preserve"> </w:t>
      </w:r>
      <w:r w:rsidR="00646B6C">
        <w:rPr>
          <w:rFonts w:ascii="Arial" w:hAnsi="Arial"/>
          <w:szCs w:val="20"/>
        </w:rPr>
        <w:t>end</w:t>
      </w:r>
      <w:r w:rsidR="00266327">
        <w:rPr>
          <w:rFonts w:ascii="Arial" w:hAnsi="Arial"/>
          <w:szCs w:val="20"/>
        </w:rPr>
        <w:t>’</w:t>
      </w:r>
      <w:r w:rsidR="00646B6C">
        <w:rPr>
          <w:rFonts w:ascii="Arial" w:hAnsi="Arial"/>
          <w:szCs w:val="20"/>
        </w:rPr>
        <w:t xml:space="preserve"> of the rankings even on this approach which removes </w:t>
      </w:r>
      <w:r w:rsidR="00354BB5">
        <w:rPr>
          <w:rFonts w:ascii="Arial" w:hAnsi="Arial"/>
          <w:szCs w:val="20"/>
        </w:rPr>
        <w:t xml:space="preserve">the impact of the large number of </w:t>
      </w:r>
      <w:r w:rsidR="00646B6C">
        <w:rPr>
          <w:rFonts w:ascii="Arial" w:hAnsi="Arial"/>
          <w:szCs w:val="20"/>
        </w:rPr>
        <w:t>65+ households</w:t>
      </w:r>
      <w:r w:rsidR="00354BB5">
        <w:rPr>
          <w:rFonts w:ascii="Arial" w:hAnsi="Arial"/>
          <w:szCs w:val="20"/>
        </w:rPr>
        <w:t xml:space="preserve"> that are mortgage-free.</w:t>
      </w:r>
    </w:p>
    <w:p w14:paraId="0500255C" w14:textId="77777777" w:rsidR="00E3319B" w:rsidRDefault="00E3319B" w:rsidP="00E3319B">
      <w:pPr>
        <w:spacing w:after="0" w:line="240" w:lineRule="auto"/>
        <w:rPr>
          <w:rFonts w:ascii="Arial" w:hAnsi="Arial"/>
          <w:b/>
          <w:bCs/>
          <w:sz w:val="18"/>
          <w:szCs w:val="18"/>
        </w:rPr>
      </w:pPr>
    </w:p>
    <w:p w14:paraId="7A872B76" w14:textId="114B066E" w:rsidR="007D524E" w:rsidRPr="00AB18CB" w:rsidRDefault="007D524E" w:rsidP="007D524E">
      <w:pPr>
        <w:spacing w:after="0" w:line="240" w:lineRule="auto"/>
        <w:jc w:val="center"/>
        <w:rPr>
          <w:rFonts w:ascii="Arial" w:hAnsi="Arial"/>
          <w:b/>
          <w:bCs/>
          <w:sz w:val="18"/>
          <w:szCs w:val="18"/>
        </w:rPr>
      </w:pPr>
      <w:r w:rsidRPr="00AB18CB">
        <w:rPr>
          <w:rFonts w:ascii="Arial" w:hAnsi="Arial"/>
          <w:b/>
          <w:bCs/>
          <w:sz w:val="18"/>
          <w:szCs w:val="18"/>
        </w:rPr>
        <w:t xml:space="preserve">Figure </w:t>
      </w:r>
      <w:r>
        <w:rPr>
          <w:rFonts w:ascii="Arial" w:hAnsi="Arial"/>
          <w:b/>
          <w:bCs/>
          <w:sz w:val="18"/>
          <w:szCs w:val="18"/>
        </w:rPr>
        <w:t>19b</w:t>
      </w:r>
    </w:p>
    <w:p w14:paraId="35C5AD97" w14:textId="5734C2F5" w:rsidR="00B16D44" w:rsidRDefault="007D524E" w:rsidP="007D524E">
      <w:pPr>
        <w:spacing w:after="0" w:line="240" w:lineRule="auto"/>
        <w:jc w:val="center"/>
        <w:rPr>
          <w:rFonts w:ascii="Arial" w:hAnsi="Arial"/>
          <w:b/>
          <w:bCs/>
          <w:sz w:val="18"/>
          <w:szCs w:val="18"/>
        </w:rPr>
      </w:pPr>
      <w:r w:rsidRPr="0067236B">
        <w:rPr>
          <w:rFonts w:ascii="Arial" w:hAnsi="Arial"/>
          <w:b/>
          <w:bCs/>
          <w:sz w:val="18"/>
          <w:szCs w:val="18"/>
        </w:rPr>
        <w:t>Ratio of % of those under 1</w:t>
      </w:r>
      <w:r w:rsidR="00646B6C">
        <w:rPr>
          <w:rFonts w:ascii="Arial" w:hAnsi="Arial"/>
          <w:b/>
          <w:bCs/>
          <w:sz w:val="18"/>
          <w:szCs w:val="18"/>
        </w:rPr>
        <w:t>5</w:t>
      </w:r>
      <w:r w:rsidRPr="0067236B">
        <w:rPr>
          <w:rFonts w:ascii="Arial" w:hAnsi="Arial"/>
          <w:b/>
          <w:bCs/>
          <w:sz w:val="18"/>
          <w:szCs w:val="18"/>
        </w:rPr>
        <w:t xml:space="preserve"> years with high HCOs (&gt;40%) to that for those aged 65+, </w:t>
      </w:r>
    </w:p>
    <w:p w14:paraId="2E9B527E" w14:textId="6A362C05" w:rsidR="007D524E" w:rsidRDefault="00B16D44" w:rsidP="007D524E">
      <w:pPr>
        <w:spacing w:after="0" w:line="240" w:lineRule="auto"/>
        <w:jc w:val="center"/>
        <w:rPr>
          <w:rFonts w:ascii="Arial" w:hAnsi="Arial"/>
          <w:b/>
          <w:bCs/>
          <w:sz w:val="18"/>
          <w:szCs w:val="18"/>
        </w:rPr>
      </w:pPr>
      <w:r w:rsidRPr="007D524E">
        <w:rPr>
          <w:noProof/>
        </w:rPr>
        <w:drawing>
          <wp:anchor distT="0" distB="0" distL="114300" distR="114300" simplePos="0" relativeHeight="251846656" behindDoc="0" locked="0" layoutInCell="1" allowOverlap="1" wp14:anchorId="36D733D8" wp14:editId="2C6765A8">
            <wp:simplePos x="0" y="0"/>
            <wp:positionH relativeFrom="column">
              <wp:posOffset>1297940</wp:posOffset>
            </wp:positionH>
            <wp:positionV relativeFrom="paragraph">
              <wp:posOffset>215265</wp:posOffset>
            </wp:positionV>
            <wp:extent cx="3143250" cy="2051685"/>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0" cy="2051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sz w:val="18"/>
          <w:szCs w:val="18"/>
        </w:rPr>
        <w:t>OECD approach</w:t>
      </w:r>
      <w:r w:rsidR="00266327">
        <w:rPr>
          <w:rFonts w:ascii="Arial" w:hAnsi="Arial"/>
          <w:b/>
          <w:bCs/>
          <w:sz w:val="18"/>
          <w:szCs w:val="18"/>
        </w:rPr>
        <w:t xml:space="preserve"> (owned-without-mortgage </w:t>
      </w:r>
      <w:r w:rsidR="00266327" w:rsidRPr="0067236B">
        <w:rPr>
          <w:rFonts w:ascii="Arial" w:hAnsi="Arial"/>
          <w:b/>
          <w:bCs/>
          <w:sz w:val="18"/>
          <w:szCs w:val="18"/>
        </w:rPr>
        <w:t xml:space="preserve">HHs </w:t>
      </w:r>
      <w:r w:rsidR="00266327">
        <w:rPr>
          <w:rFonts w:ascii="Arial" w:hAnsi="Arial"/>
          <w:b/>
          <w:bCs/>
          <w:sz w:val="18"/>
          <w:szCs w:val="18"/>
        </w:rPr>
        <w:t xml:space="preserve">excluded) </w:t>
      </w:r>
      <w:r w:rsidR="007D524E" w:rsidRPr="0067236B">
        <w:rPr>
          <w:rFonts w:ascii="Arial" w:hAnsi="Arial"/>
          <w:b/>
          <w:bCs/>
          <w:sz w:val="18"/>
          <w:szCs w:val="18"/>
        </w:rPr>
        <w:t xml:space="preserve"> </w:t>
      </w:r>
    </w:p>
    <w:p w14:paraId="6A8B4A2B" w14:textId="203083FA" w:rsidR="00B16D44" w:rsidRDefault="00B16D44" w:rsidP="00B16D44">
      <w:pPr>
        <w:spacing w:after="0" w:line="240" w:lineRule="auto"/>
        <w:rPr>
          <w:rFonts w:ascii="Arial" w:hAnsi="Arial"/>
          <w:b/>
          <w:bCs/>
          <w:sz w:val="18"/>
          <w:szCs w:val="18"/>
        </w:rPr>
      </w:pPr>
      <w:r>
        <w:rPr>
          <w:rFonts w:ascii="Arial" w:hAnsi="Arial"/>
        </w:rPr>
        <w:t>The analysis above (in both cases) covers households of all incomes</w:t>
      </w:r>
      <w:r w:rsidR="00354BB5">
        <w:rPr>
          <w:rFonts w:ascii="Arial" w:hAnsi="Arial"/>
        </w:rPr>
        <w:t xml:space="preserve"> as well as all tenures</w:t>
      </w:r>
      <w:r>
        <w:rPr>
          <w:rFonts w:ascii="Arial" w:hAnsi="Arial"/>
        </w:rPr>
        <w:t>, so does not give an indication of housing stress or housing unaffordability.</w:t>
      </w:r>
      <w:r w:rsidR="00646B6C">
        <w:rPr>
          <w:rFonts w:ascii="Arial" w:hAnsi="Arial"/>
        </w:rPr>
        <w:t xml:space="preserve"> This </w:t>
      </w:r>
      <w:r>
        <w:rPr>
          <w:rFonts w:ascii="Arial" w:hAnsi="Arial"/>
        </w:rPr>
        <w:t xml:space="preserve">requires analysis looking at </w:t>
      </w:r>
      <w:r w:rsidR="00646B6C">
        <w:rPr>
          <w:rFonts w:ascii="Arial" w:hAnsi="Arial"/>
        </w:rPr>
        <w:t xml:space="preserve">households with </w:t>
      </w:r>
      <w:r>
        <w:rPr>
          <w:rFonts w:ascii="Arial" w:hAnsi="Arial"/>
        </w:rPr>
        <w:t xml:space="preserve">lower </w:t>
      </w:r>
      <w:r w:rsidRPr="00354BB5">
        <w:rPr>
          <w:rFonts w:ascii="Arial" w:hAnsi="Arial"/>
        </w:rPr>
        <w:t>incomes</w:t>
      </w:r>
      <w:r w:rsidR="00354BB5">
        <w:rPr>
          <w:rFonts w:ascii="Arial" w:hAnsi="Arial"/>
        </w:rPr>
        <w:t>.</w:t>
      </w:r>
      <w:r w:rsidRPr="00354BB5">
        <w:rPr>
          <w:rFonts w:ascii="Arial" w:hAnsi="Arial"/>
        </w:rPr>
        <w:t xml:space="preserve"> </w:t>
      </w:r>
      <w:r w:rsidR="00354BB5">
        <w:rPr>
          <w:rFonts w:ascii="Arial" w:hAnsi="Arial"/>
        </w:rPr>
        <w:t>Findings across income quintiles</w:t>
      </w:r>
      <w:r w:rsidRPr="00354BB5">
        <w:rPr>
          <w:rFonts w:ascii="Arial" w:hAnsi="Arial"/>
        </w:rPr>
        <w:t xml:space="preserve"> is reported on later in this European section, albeit not </w:t>
      </w:r>
      <w:r w:rsidR="00354BB5" w:rsidRPr="00354BB5">
        <w:rPr>
          <w:rFonts w:ascii="Arial" w:hAnsi="Arial"/>
        </w:rPr>
        <w:t xml:space="preserve">also </w:t>
      </w:r>
      <w:r w:rsidRPr="00354BB5">
        <w:rPr>
          <w:rFonts w:ascii="Arial" w:hAnsi="Arial"/>
        </w:rPr>
        <w:t xml:space="preserve">by tenure </w:t>
      </w:r>
      <w:r w:rsidR="00646B6C" w:rsidRPr="00354BB5">
        <w:rPr>
          <w:rFonts w:ascii="Arial" w:hAnsi="Arial"/>
        </w:rPr>
        <w:t>or age as Eurostat do</w:t>
      </w:r>
      <w:r w:rsidR="00354BB5">
        <w:rPr>
          <w:rFonts w:ascii="Arial" w:hAnsi="Arial"/>
        </w:rPr>
        <w:t>es</w:t>
      </w:r>
      <w:r w:rsidR="00646B6C" w:rsidRPr="00354BB5">
        <w:rPr>
          <w:rFonts w:ascii="Arial" w:hAnsi="Arial"/>
        </w:rPr>
        <w:t xml:space="preserve"> not </w:t>
      </w:r>
      <w:r w:rsidR="00354BB5" w:rsidRPr="00354BB5">
        <w:rPr>
          <w:rFonts w:ascii="Arial" w:hAnsi="Arial"/>
        </w:rPr>
        <w:t>provide</w:t>
      </w:r>
      <w:r w:rsidR="00646B6C" w:rsidRPr="00354BB5">
        <w:rPr>
          <w:rFonts w:ascii="Arial" w:hAnsi="Arial"/>
        </w:rPr>
        <w:t xml:space="preserve"> </w:t>
      </w:r>
      <w:r w:rsidR="00354BB5">
        <w:rPr>
          <w:rFonts w:ascii="Arial" w:hAnsi="Arial"/>
        </w:rPr>
        <w:t>this information</w:t>
      </w:r>
      <w:r w:rsidR="00646B6C" w:rsidRPr="00354BB5">
        <w:rPr>
          <w:rFonts w:ascii="Arial" w:hAnsi="Arial"/>
        </w:rPr>
        <w:t xml:space="preserve">. </w:t>
      </w:r>
      <w:r w:rsidRPr="00354BB5">
        <w:rPr>
          <w:rFonts w:ascii="Arial" w:hAnsi="Arial"/>
          <w:b/>
          <w:bCs/>
        </w:rPr>
        <w:t xml:space="preserve">Table </w:t>
      </w:r>
      <w:r w:rsidR="00556500">
        <w:rPr>
          <w:rFonts w:ascii="Arial" w:hAnsi="Arial"/>
          <w:b/>
          <w:bCs/>
        </w:rPr>
        <w:t>5</w:t>
      </w:r>
      <w:r w:rsidRPr="00354BB5">
        <w:rPr>
          <w:rFonts w:ascii="Arial" w:hAnsi="Arial"/>
        </w:rPr>
        <w:t xml:space="preserve"> shows </w:t>
      </w:r>
      <w:r w:rsidR="00354BB5">
        <w:rPr>
          <w:rFonts w:ascii="Arial" w:hAnsi="Arial"/>
        </w:rPr>
        <w:t>the</w:t>
      </w:r>
      <w:r w:rsidR="00646B6C" w:rsidRPr="00354BB5">
        <w:rPr>
          <w:rFonts w:ascii="Arial" w:hAnsi="Arial"/>
        </w:rPr>
        <w:t xml:space="preserve"> income quintile breakdown</w:t>
      </w:r>
      <w:r w:rsidR="00354BB5">
        <w:rPr>
          <w:rFonts w:ascii="Arial" w:hAnsi="Arial"/>
        </w:rPr>
        <w:t xml:space="preserve"> by age breakdown</w:t>
      </w:r>
      <w:r w:rsidR="00646B6C" w:rsidRPr="00354BB5">
        <w:rPr>
          <w:rFonts w:ascii="Arial" w:hAnsi="Arial"/>
        </w:rPr>
        <w:t xml:space="preserve"> for younger and older New Zealanders</w:t>
      </w:r>
      <w:r w:rsidR="00354BB5">
        <w:rPr>
          <w:rFonts w:ascii="Arial" w:hAnsi="Arial"/>
        </w:rPr>
        <w:t>,</w:t>
      </w:r>
      <w:r w:rsidR="00354BB5" w:rsidRPr="00354BB5">
        <w:rPr>
          <w:rFonts w:ascii="Arial" w:hAnsi="Arial"/>
        </w:rPr>
        <w:t xml:space="preserve"> using both the OECD and the EU approaches.</w:t>
      </w:r>
    </w:p>
    <w:bookmarkEnd w:id="14"/>
    <w:p w14:paraId="17C32EC4" w14:textId="77777777" w:rsidR="00953215" w:rsidRDefault="00953215" w:rsidP="007D524E">
      <w:pPr>
        <w:spacing w:after="0" w:line="240" w:lineRule="auto"/>
        <w:jc w:val="center"/>
        <w:rPr>
          <w:rFonts w:ascii="Arial" w:hAnsi="Arial"/>
          <w:b/>
          <w:bCs/>
          <w:sz w:val="18"/>
          <w:szCs w:val="18"/>
        </w:rPr>
      </w:pPr>
    </w:p>
    <w:p w14:paraId="33722CCC" w14:textId="434147EF" w:rsidR="007D524E" w:rsidRPr="001F6655" w:rsidRDefault="007D524E" w:rsidP="007D524E">
      <w:pPr>
        <w:spacing w:after="0" w:line="240" w:lineRule="auto"/>
        <w:jc w:val="center"/>
        <w:rPr>
          <w:rFonts w:ascii="Arial" w:hAnsi="Arial"/>
          <w:b/>
          <w:bCs/>
          <w:color w:val="FF0000"/>
          <w:sz w:val="18"/>
          <w:szCs w:val="18"/>
        </w:rPr>
      </w:pPr>
      <w:r w:rsidRPr="00303464">
        <w:rPr>
          <w:rFonts w:ascii="Arial" w:hAnsi="Arial"/>
          <w:b/>
          <w:bCs/>
          <w:sz w:val="18"/>
          <w:szCs w:val="18"/>
        </w:rPr>
        <w:t xml:space="preserve">Table </w:t>
      </w:r>
      <w:r w:rsidR="00556500">
        <w:rPr>
          <w:rFonts w:ascii="Arial" w:hAnsi="Arial"/>
          <w:b/>
          <w:bCs/>
          <w:sz w:val="18"/>
          <w:szCs w:val="18"/>
        </w:rPr>
        <w:t>5</w:t>
      </w:r>
    </w:p>
    <w:p w14:paraId="3E2D6759" w14:textId="77777777" w:rsidR="007D524E" w:rsidRDefault="007D524E" w:rsidP="007D524E">
      <w:pPr>
        <w:spacing w:line="240" w:lineRule="auto"/>
        <w:jc w:val="center"/>
        <w:rPr>
          <w:rFonts w:ascii="Arial" w:hAnsi="Arial"/>
          <w:b/>
          <w:bCs/>
          <w:sz w:val="18"/>
          <w:szCs w:val="18"/>
        </w:rPr>
      </w:pPr>
      <w:r>
        <w:rPr>
          <w:rFonts w:ascii="Arial" w:hAnsi="Arial"/>
          <w:b/>
          <w:bCs/>
          <w:sz w:val="18"/>
          <w:szCs w:val="18"/>
        </w:rPr>
        <w:t>Proportion (%) spending more than 40% of household income on housing costs</w:t>
      </w:r>
    </w:p>
    <w:tbl>
      <w:tblPr>
        <w:tblStyle w:val="TableGrid"/>
        <w:tblW w:w="0" w:type="auto"/>
        <w:jc w:val="center"/>
        <w:tblLook w:val="04A0" w:firstRow="1" w:lastRow="0" w:firstColumn="1" w:lastColumn="0" w:noHBand="0" w:noVBand="1"/>
      </w:tblPr>
      <w:tblGrid>
        <w:gridCol w:w="952"/>
        <w:gridCol w:w="783"/>
        <w:gridCol w:w="784"/>
        <w:gridCol w:w="783"/>
        <w:gridCol w:w="784"/>
        <w:gridCol w:w="783"/>
        <w:gridCol w:w="784"/>
      </w:tblGrid>
      <w:tr w:rsidR="007D524E" w14:paraId="33151601" w14:textId="77777777" w:rsidTr="00B16D44">
        <w:trPr>
          <w:jc w:val="center"/>
        </w:trPr>
        <w:tc>
          <w:tcPr>
            <w:tcW w:w="952" w:type="dxa"/>
          </w:tcPr>
          <w:p w14:paraId="6EE2A7FB" w14:textId="77777777" w:rsidR="007D524E" w:rsidRPr="007D524E" w:rsidRDefault="007D524E" w:rsidP="00B16D44">
            <w:pPr>
              <w:spacing w:before="40" w:after="40" w:line="240" w:lineRule="auto"/>
              <w:rPr>
                <w:rFonts w:ascii="Arial" w:hAnsi="Arial"/>
                <w:b/>
                <w:bCs/>
                <w:color w:val="000000" w:themeColor="text1"/>
                <w:sz w:val="14"/>
                <w:szCs w:val="14"/>
              </w:rPr>
            </w:pPr>
          </w:p>
        </w:tc>
        <w:tc>
          <w:tcPr>
            <w:tcW w:w="2350" w:type="dxa"/>
            <w:gridSpan w:val="3"/>
            <w:tcBorders>
              <w:right w:val="single" w:sz="8" w:space="0" w:color="auto"/>
            </w:tcBorders>
          </w:tcPr>
          <w:p w14:paraId="0853428C" w14:textId="77777777" w:rsidR="007D524E" w:rsidRPr="007D524E" w:rsidRDefault="007D524E" w:rsidP="00B16D44">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OECD definitions (2017-18)</w:t>
            </w:r>
          </w:p>
        </w:tc>
        <w:tc>
          <w:tcPr>
            <w:tcW w:w="2351" w:type="dxa"/>
            <w:gridSpan w:val="3"/>
            <w:tcBorders>
              <w:left w:val="single" w:sz="8" w:space="0" w:color="auto"/>
            </w:tcBorders>
          </w:tcPr>
          <w:p w14:paraId="7D2C99CC" w14:textId="77777777" w:rsidR="007D524E" w:rsidRPr="007D524E" w:rsidRDefault="007D524E" w:rsidP="00B16D44">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Eurostat definitions (2018-19)</w:t>
            </w:r>
          </w:p>
        </w:tc>
      </w:tr>
      <w:tr w:rsidR="007D524E" w14:paraId="4D2179CF" w14:textId="77777777" w:rsidTr="007D524E">
        <w:trPr>
          <w:jc w:val="center"/>
        </w:trPr>
        <w:tc>
          <w:tcPr>
            <w:tcW w:w="952" w:type="dxa"/>
          </w:tcPr>
          <w:p w14:paraId="4AF9F79C" w14:textId="77777777" w:rsidR="007D524E" w:rsidRPr="007D524E" w:rsidRDefault="007D524E" w:rsidP="00B16D44">
            <w:pPr>
              <w:spacing w:before="40" w:after="40" w:line="240" w:lineRule="auto"/>
              <w:rPr>
                <w:rFonts w:ascii="Arial" w:hAnsi="Arial"/>
                <w:b/>
                <w:bCs/>
                <w:color w:val="000000" w:themeColor="text1"/>
                <w:sz w:val="14"/>
                <w:szCs w:val="14"/>
              </w:rPr>
            </w:pPr>
          </w:p>
        </w:tc>
        <w:tc>
          <w:tcPr>
            <w:tcW w:w="783" w:type="dxa"/>
            <w:shd w:val="clear" w:color="auto" w:fill="auto"/>
            <w:vAlign w:val="center"/>
          </w:tcPr>
          <w:p w14:paraId="729CEDF1"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Q1</w:t>
            </w:r>
          </w:p>
        </w:tc>
        <w:tc>
          <w:tcPr>
            <w:tcW w:w="784" w:type="dxa"/>
            <w:shd w:val="clear" w:color="auto" w:fill="auto"/>
            <w:vAlign w:val="center"/>
          </w:tcPr>
          <w:p w14:paraId="09612154"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Q2</w:t>
            </w:r>
          </w:p>
        </w:tc>
        <w:tc>
          <w:tcPr>
            <w:tcW w:w="783" w:type="dxa"/>
            <w:tcBorders>
              <w:right w:val="single" w:sz="8" w:space="0" w:color="auto"/>
            </w:tcBorders>
            <w:shd w:val="clear" w:color="auto" w:fill="auto"/>
            <w:vAlign w:val="center"/>
          </w:tcPr>
          <w:p w14:paraId="6E4840D8"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ALL</w:t>
            </w:r>
          </w:p>
        </w:tc>
        <w:tc>
          <w:tcPr>
            <w:tcW w:w="784" w:type="dxa"/>
            <w:tcBorders>
              <w:left w:val="single" w:sz="8" w:space="0" w:color="auto"/>
            </w:tcBorders>
            <w:shd w:val="clear" w:color="auto" w:fill="auto"/>
            <w:vAlign w:val="center"/>
          </w:tcPr>
          <w:p w14:paraId="64EC9A8C"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Q1</w:t>
            </w:r>
          </w:p>
        </w:tc>
        <w:tc>
          <w:tcPr>
            <w:tcW w:w="783" w:type="dxa"/>
            <w:shd w:val="clear" w:color="auto" w:fill="auto"/>
            <w:vAlign w:val="center"/>
          </w:tcPr>
          <w:p w14:paraId="63F1E544"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Q2</w:t>
            </w:r>
          </w:p>
        </w:tc>
        <w:tc>
          <w:tcPr>
            <w:tcW w:w="784" w:type="dxa"/>
            <w:shd w:val="clear" w:color="auto" w:fill="auto"/>
            <w:vAlign w:val="center"/>
          </w:tcPr>
          <w:p w14:paraId="51F55DEF" w14:textId="77777777" w:rsidR="007D524E" w:rsidRPr="007D524E" w:rsidRDefault="007D524E" w:rsidP="007D524E">
            <w:pPr>
              <w:spacing w:before="40" w:after="40" w:line="240" w:lineRule="auto"/>
              <w:jc w:val="center"/>
              <w:rPr>
                <w:rFonts w:ascii="Arial" w:hAnsi="Arial"/>
                <w:b/>
                <w:bCs/>
                <w:color w:val="000000" w:themeColor="text1"/>
                <w:sz w:val="14"/>
                <w:szCs w:val="14"/>
              </w:rPr>
            </w:pPr>
            <w:r w:rsidRPr="007D524E">
              <w:rPr>
                <w:rFonts w:ascii="Arial" w:hAnsi="Arial"/>
                <w:b/>
                <w:bCs/>
                <w:color w:val="000000" w:themeColor="text1"/>
                <w:sz w:val="14"/>
                <w:szCs w:val="14"/>
              </w:rPr>
              <w:t>ALL</w:t>
            </w:r>
          </w:p>
        </w:tc>
      </w:tr>
      <w:tr w:rsidR="007D524E" w14:paraId="43878DC3" w14:textId="77777777" w:rsidTr="007D524E">
        <w:trPr>
          <w:jc w:val="center"/>
        </w:trPr>
        <w:tc>
          <w:tcPr>
            <w:tcW w:w="952" w:type="dxa"/>
          </w:tcPr>
          <w:p w14:paraId="184AC7D4" w14:textId="77777777" w:rsidR="007D524E" w:rsidRPr="007D524E" w:rsidRDefault="007D524E" w:rsidP="00B16D44">
            <w:pPr>
              <w:spacing w:before="40" w:after="40" w:line="240" w:lineRule="auto"/>
              <w:rPr>
                <w:rFonts w:ascii="Arial" w:hAnsi="Arial"/>
                <w:b/>
                <w:bCs/>
                <w:color w:val="000000" w:themeColor="text1"/>
                <w:sz w:val="14"/>
                <w:szCs w:val="14"/>
              </w:rPr>
            </w:pPr>
            <w:r w:rsidRPr="007D524E">
              <w:rPr>
                <w:rFonts w:ascii="Arial" w:hAnsi="Arial"/>
                <w:b/>
                <w:bCs/>
                <w:color w:val="000000" w:themeColor="text1"/>
                <w:sz w:val="14"/>
                <w:szCs w:val="14"/>
              </w:rPr>
              <w:t>All</w:t>
            </w:r>
          </w:p>
        </w:tc>
        <w:tc>
          <w:tcPr>
            <w:tcW w:w="783" w:type="dxa"/>
            <w:shd w:val="clear" w:color="auto" w:fill="auto"/>
            <w:vAlign w:val="center"/>
          </w:tcPr>
          <w:p w14:paraId="07E0CA63"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39</w:t>
            </w:r>
          </w:p>
        </w:tc>
        <w:tc>
          <w:tcPr>
            <w:tcW w:w="784" w:type="dxa"/>
            <w:shd w:val="clear" w:color="auto" w:fill="auto"/>
            <w:vAlign w:val="center"/>
          </w:tcPr>
          <w:p w14:paraId="55C0FE8C"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14</w:t>
            </w:r>
          </w:p>
        </w:tc>
        <w:tc>
          <w:tcPr>
            <w:tcW w:w="783" w:type="dxa"/>
            <w:tcBorders>
              <w:right w:val="single" w:sz="8" w:space="0" w:color="auto"/>
            </w:tcBorders>
            <w:shd w:val="clear" w:color="auto" w:fill="auto"/>
            <w:vAlign w:val="center"/>
          </w:tcPr>
          <w:p w14:paraId="67F21EBE" w14:textId="77777777" w:rsidR="007D524E" w:rsidRPr="007D524E" w:rsidRDefault="007D524E" w:rsidP="007D524E">
            <w:pPr>
              <w:spacing w:before="40" w:after="40" w:line="240" w:lineRule="auto"/>
              <w:jc w:val="center"/>
              <w:rPr>
                <w:rFonts w:ascii="Arial Mäori" w:hAnsi="Arial Mäori" w:cs="Times New Roman"/>
                <w:color w:val="000000" w:themeColor="text1"/>
                <w:sz w:val="22"/>
              </w:rPr>
            </w:pPr>
            <w:r w:rsidRPr="007D524E">
              <w:rPr>
                <w:rFonts w:ascii="Arial" w:hAnsi="Arial"/>
                <w:color w:val="000000" w:themeColor="text1"/>
                <w:sz w:val="14"/>
                <w:szCs w:val="14"/>
              </w:rPr>
              <w:t>14</w:t>
            </w:r>
          </w:p>
        </w:tc>
        <w:tc>
          <w:tcPr>
            <w:tcW w:w="784" w:type="dxa"/>
            <w:tcBorders>
              <w:left w:val="single" w:sz="8" w:space="0" w:color="auto"/>
            </w:tcBorders>
            <w:shd w:val="clear" w:color="auto" w:fill="auto"/>
            <w:vAlign w:val="center"/>
          </w:tcPr>
          <w:p w14:paraId="4E924FB7"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25</w:t>
            </w:r>
          </w:p>
        </w:tc>
        <w:tc>
          <w:tcPr>
            <w:tcW w:w="783" w:type="dxa"/>
            <w:shd w:val="clear" w:color="auto" w:fill="auto"/>
            <w:vAlign w:val="center"/>
          </w:tcPr>
          <w:p w14:paraId="5E090083"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11</w:t>
            </w:r>
          </w:p>
        </w:tc>
        <w:tc>
          <w:tcPr>
            <w:tcW w:w="784" w:type="dxa"/>
            <w:shd w:val="clear" w:color="auto" w:fill="auto"/>
            <w:vAlign w:val="center"/>
          </w:tcPr>
          <w:p w14:paraId="1A65840C"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9</w:t>
            </w:r>
          </w:p>
        </w:tc>
      </w:tr>
      <w:tr w:rsidR="007D524E" w14:paraId="4C20537D" w14:textId="77777777" w:rsidTr="007D524E">
        <w:trPr>
          <w:jc w:val="center"/>
        </w:trPr>
        <w:tc>
          <w:tcPr>
            <w:tcW w:w="952" w:type="dxa"/>
          </w:tcPr>
          <w:p w14:paraId="42563DAB" w14:textId="77777777" w:rsidR="007D524E" w:rsidRPr="007D524E" w:rsidRDefault="007D524E" w:rsidP="00B16D44">
            <w:pPr>
              <w:spacing w:before="40" w:after="40" w:line="240" w:lineRule="auto"/>
              <w:rPr>
                <w:rFonts w:ascii="Arial" w:hAnsi="Arial"/>
                <w:b/>
                <w:bCs/>
                <w:color w:val="000000" w:themeColor="text1"/>
                <w:sz w:val="14"/>
                <w:szCs w:val="14"/>
              </w:rPr>
            </w:pPr>
            <w:r w:rsidRPr="007D524E">
              <w:rPr>
                <w:rFonts w:ascii="Arial" w:hAnsi="Arial"/>
                <w:b/>
                <w:bCs/>
                <w:color w:val="000000" w:themeColor="text1"/>
                <w:sz w:val="14"/>
                <w:szCs w:val="14"/>
              </w:rPr>
              <w:t>65+</w:t>
            </w:r>
          </w:p>
        </w:tc>
        <w:tc>
          <w:tcPr>
            <w:tcW w:w="783" w:type="dxa"/>
            <w:shd w:val="clear" w:color="auto" w:fill="auto"/>
            <w:vAlign w:val="center"/>
          </w:tcPr>
          <w:p w14:paraId="01889C12"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21</w:t>
            </w:r>
          </w:p>
        </w:tc>
        <w:tc>
          <w:tcPr>
            <w:tcW w:w="784" w:type="dxa"/>
            <w:shd w:val="clear" w:color="auto" w:fill="auto"/>
            <w:vAlign w:val="center"/>
          </w:tcPr>
          <w:p w14:paraId="70D814EF"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12</w:t>
            </w:r>
          </w:p>
        </w:tc>
        <w:tc>
          <w:tcPr>
            <w:tcW w:w="783" w:type="dxa"/>
            <w:tcBorders>
              <w:right w:val="single" w:sz="8" w:space="0" w:color="auto"/>
            </w:tcBorders>
            <w:shd w:val="clear" w:color="auto" w:fill="auto"/>
            <w:vAlign w:val="center"/>
          </w:tcPr>
          <w:p w14:paraId="2CA81015" w14:textId="77777777" w:rsidR="007D524E" w:rsidRPr="007D524E" w:rsidRDefault="007D524E" w:rsidP="007D524E">
            <w:pPr>
              <w:spacing w:before="40" w:after="40" w:line="240" w:lineRule="auto"/>
              <w:jc w:val="center"/>
              <w:rPr>
                <w:rFonts w:ascii="Arial Mäori" w:hAnsi="Arial Mäori" w:cs="Times New Roman"/>
                <w:color w:val="000000" w:themeColor="text1"/>
                <w:sz w:val="22"/>
              </w:rPr>
            </w:pPr>
            <w:r w:rsidRPr="007D524E">
              <w:rPr>
                <w:rFonts w:ascii="Arial" w:hAnsi="Arial"/>
                <w:color w:val="000000" w:themeColor="text1"/>
                <w:sz w:val="14"/>
                <w:szCs w:val="14"/>
              </w:rPr>
              <w:t>13</w:t>
            </w:r>
          </w:p>
        </w:tc>
        <w:tc>
          <w:tcPr>
            <w:tcW w:w="784" w:type="dxa"/>
            <w:tcBorders>
              <w:left w:val="single" w:sz="8" w:space="0" w:color="auto"/>
            </w:tcBorders>
            <w:shd w:val="clear" w:color="auto" w:fill="auto"/>
            <w:vAlign w:val="center"/>
          </w:tcPr>
          <w:p w14:paraId="467DD35D"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9</w:t>
            </w:r>
          </w:p>
        </w:tc>
        <w:tc>
          <w:tcPr>
            <w:tcW w:w="783" w:type="dxa"/>
            <w:shd w:val="clear" w:color="auto" w:fill="auto"/>
            <w:vAlign w:val="center"/>
          </w:tcPr>
          <w:p w14:paraId="6422798A"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4</w:t>
            </w:r>
          </w:p>
        </w:tc>
        <w:tc>
          <w:tcPr>
            <w:tcW w:w="784" w:type="dxa"/>
            <w:shd w:val="clear" w:color="auto" w:fill="auto"/>
            <w:vAlign w:val="center"/>
          </w:tcPr>
          <w:p w14:paraId="199D8C69"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4</w:t>
            </w:r>
          </w:p>
        </w:tc>
      </w:tr>
      <w:tr w:rsidR="007D524E" w14:paraId="1789BC32" w14:textId="77777777" w:rsidTr="007D524E">
        <w:trPr>
          <w:jc w:val="center"/>
        </w:trPr>
        <w:tc>
          <w:tcPr>
            <w:tcW w:w="952" w:type="dxa"/>
          </w:tcPr>
          <w:p w14:paraId="0F2FB6DC" w14:textId="77777777" w:rsidR="007D524E" w:rsidRPr="007D524E" w:rsidRDefault="007D524E" w:rsidP="00B16D44">
            <w:pPr>
              <w:spacing w:before="40" w:after="40" w:line="240" w:lineRule="auto"/>
              <w:rPr>
                <w:rFonts w:ascii="Arial" w:hAnsi="Arial"/>
                <w:b/>
                <w:bCs/>
                <w:color w:val="000000" w:themeColor="text1"/>
                <w:sz w:val="14"/>
                <w:szCs w:val="14"/>
              </w:rPr>
            </w:pPr>
            <w:r w:rsidRPr="007D524E">
              <w:rPr>
                <w:rFonts w:ascii="Arial" w:hAnsi="Arial"/>
                <w:b/>
                <w:bCs/>
                <w:color w:val="000000" w:themeColor="text1"/>
                <w:sz w:val="14"/>
                <w:szCs w:val="14"/>
              </w:rPr>
              <w:t>under 18</w:t>
            </w:r>
          </w:p>
        </w:tc>
        <w:tc>
          <w:tcPr>
            <w:tcW w:w="783" w:type="dxa"/>
            <w:shd w:val="clear" w:color="auto" w:fill="auto"/>
            <w:vAlign w:val="center"/>
          </w:tcPr>
          <w:p w14:paraId="3486BE3C"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35</w:t>
            </w:r>
          </w:p>
        </w:tc>
        <w:tc>
          <w:tcPr>
            <w:tcW w:w="784" w:type="dxa"/>
            <w:shd w:val="clear" w:color="auto" w:fill="auto"/>
            <w:vAlign w:val="center"/>
          </w:tcPr>
          <w:p w14:paraId="303CD2FF"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13</w:t>
            </w:r>
          </w:p>
        </w:tc>
        <w:tc>
          <w:tcPr>
            <w:tcW w:w="783" w:type="dxa"/>
            <w:tcBorders>
              <w:right w:val="single" w:sz="8" w:space="0" w:color="auto"/>
            </w:tcBorders>
            <w:shd w:val="clear" w:color="auto" w:fill="auto"/>
            <w:vAlign w:val="center"/>
          </w:tcPr>
          <w:p w14:paraId="28775A41"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15</w:t>
            </w:r>
          </w:p>
        </w:tc>
        <w:tc>
          <w:tcPr>
            <w:tcW w:w="784" w:type="dxa"/>
            <w:tcBorders>
              <w:left w:val="single" w:sz="8" w:space="0" w:color="auto"/>
            </w:tcBorders>
            <w:shd w:val="clear" w:color="auto" w:fill="auto"/>
            <w:vAlign w:val="center"/>
          </w:tcPr>
          <w:p w14:paraId="05CE2C62"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25</w:t>
            </w:r>
          </w:p>
        </w:tc>
        <w:tc>
          <w:tcPr>
            <w:tcW w:w="783" w:type="dxa"/>
            <w:shd w:val="clear" w:color="auto" w:fill="auto"/>
            <w:vAlign w:val="center"/>
          </w:tcPr>
          <w:p w14:paraId="51896AFD"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9</w:t>
            </w:r>
          </w:p>
        </w:tc>
        <w:tc>
          <w:tcPr>
            <w:tcW w:w="784" w:type="dxa"/>
            <w:shd w:val="clear" w:color="auto" w:fill="auto"/>
            <w:vAlign w:val="center"/>
          </w:tcPr>
          <w:p w14:paraId="1FDA5F60"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9</w:t>
            </w:r>
          </w:p>
        </w:tc>
      </w:tr>
      <w:tr w:rsidR="007D524E" w14:paraId="4BFF8E04" w14:textId="77777777" w:rsidTr="007D524E">
        <w:trPr>
          <w:jc w:val="center"/>
        </w:trPr>
        <w:tc>
          <w:tcPr>
            <w:tcW w:w="952" w:type="dxa"/>
          </w:tcPr>
          <w:p w14:paraId="1A05873C" w14:textId="77777777" w:rsidR="007D524E" w:rsidRPr="007D524E" w:rsidRDefault="007D524E" w:rsidP="00B16D44">
            <w:pPr>
              <w:spacing w:before="40" w:after="40" w:line="240" w:lineRule="auto"/>
              <w:rPr>
                <w:rFonts w:ascii="Arial" w:hAnsi="Arial"/>
                <w:b/>
                <w:bCs/>
                <w:color w:val="000000" w:themeColor="text1"/>
                <w:sz w:val="14"/>
                <w:szCs w:val="14"/>
              </w:rPr>
            </w:pPr>
            <w:r w:rsidRPr="007D524E">
              <w:rPr>
                <w:rFonts w:ascii="Arial" w:hAnsi="Arial"/>
                <w:b/>
                <w:bCs/>
                <w:color w:val="000000" w:themeColor="text1"/>
                <w:sz w:val="14"/>
                <w:szCs w:val="14"/>
              </w:rPr>
              <w:t>under 15</w:t>
            </w:r>
          </w:p>
        </w:tc>
        <w:tc>
          <w:tcPr>
            <w:tcW w:w="783" w:type="dxa"/>
            <w:shd w:val="clear" w:color="auto" w:fill="auto"/>
            <w:vAlign w:val="center"/>
          </w:tcPr>
          <w:p w14:paraId="6121BDB2"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36</w:t>
            </w:r>
          </w:p>
        </w:tc>
        <w:tc>
          <w:tcPr>
            <w:tcW w:w="784" w:type="dxa"/>
            <w:shd w:val="clear" w:color="auto" w:fill="auto"/>
            <w:vAlign w:val="center"/>
          </w:tcPr>
          <w:p w14:paraId="667738A4"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13</w:t>
            </w:r>
          </w:p>
        </w:tc>
        <w:tc>
          <w:tcPr>
            <w:tcW w:w="783" w:type="dxa"/>
            <w:tcBorders>
              <w:right w:val="single" w:sz="8" w:space="0" w:color="auto"/>
            </w:tcBorders>
            <w:shd w:val="clear" w:color="auto" w:fill="auto"/>
            <w:vAlign w:val="center"/>
          </w:tcPr>
          <w:p w14:paraId="06C4E9C3" w14:textId="77777777" w:rsidR="007D524E" w:rsidRPr="007D524E" w:rsidRDefault="007D524E" w:rsidP="007D524E">
            <w:pPr>
              <w:spacing w:before="40" w:after="40" w:line="240" w:lineRule="auto"/>
              <w:jc w:val="center"/>
              <w:rPr>
                <w:rFonts w:ascii="Arial Mäori" w:hAnsi="Arial Mäori" w:cs="Times New Roman"/>
                <w:color w:val="000000" w:themeColor="text1"/>
                <w:sz w:val="22"/>
              </w:rPr>
            </w:pPr>
            <w:r w:rsidRPr="007D524E">
              <w:rPr>
                <w:rFonts w:ascii="Arial" w:hAnsi="Arial"/>
                <w:color w:val="000000" w:themeColor="text1"/>
                <w:sz w:val="14"/>
                <w:szCs w:val="14"/>
              </w:rPr>
              <w:t>15</w:t>
            </w:r>
          </w:p>
        </w:tc>
        <w:tc>
          <w:tcPr>
            <w:tcW w:w="784" w:type="dxa"/>
            <w:tcBorders>
              <w:left w:val="single" w:sz="8" w:space="0" w:color="auto"/>
            </w:tcBorders>
            <w:shd w:val="clear" w:color="auto" w:fill="auto"/>
            <w:vAlign w:val="center"/>
          </w:tcPr>
          <w:p w14:paraId="4B488CD2"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27</w:t>
            </w:r>
          </w:p>
        </w:tc>
        <w:tc>
          <w:tcPr>
            <w:tcW w:w="783" w:type="dxa"/>
            <w:shd w:val="clear" w:color="auto" w:fill="auto"/>
            <w:vAlign w:val="center"/>
          </w:tcPr>
          <w:p w14:paraId="394F29DC"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10</w:t>
            </w:r>
          </w:p>
        </w:tc>
        <w:tc>
          <w:tcPr>
            <w:tcW w:w="784" w:type="dxa"/>
            <w:shd w:val="clear" w:color="auto" w:fill="auto"/>
            <w:vAlign w:val="center"/>
          </w:tcPr>
          <w:p w14:paraId="2D05A108" w14:textId="77777777" w:rsidR="007D524E" w:rsidRPr="007D524E" w:rsidRDefault="007D524E" w:rsidP="007D524E">
            <w:pPr>
              <w:spacing w:before="40" w:after="40" w:line="240" w:lineRule="auto"/>
              <w:jc w:val="center"/>
              <w:rPr>
                <w:rFonts w:ascii="Arial" w:hAnsi="Arial"/>
                <w:color w:val="000000" w:themeColor="text1"/>
                <w:sz w:val="14"/>
                <w:szCs w:val="14"/>
              </w:rPr>
            </w:pPr>
            <w:r w:rsidRPr="007D524E">
              <w:rPr>
                <w:rFonts w:ascii="Arial" w:hAnsi="Arial"/>
                <w:color w:val="000000" w:themeColor="text1"/>
                <w:sz w:val="14"/>
                <w:szCs w:val="14"/>
              </w:rPr>
              <w:t>9</w:t>
            </w:r>
          </w:p>
        </w:tc>
      </w:tr>
    </w:tbl>
    <w:p w14:paraId="25F80EB0" w14:textId="77777777" w:rsidR="007D524E" w:rsidRPr="00EB2FB1" w:rsidRDefault="007D524E" w:rsidP="007D524E">
      <w:pPr>
        <w:spacing w:before="60" w:after="0" w:line="240" w:lineRule="auto"/>
        <w:ind w:left="1701"/>
        <w:rPr>
          <w:rFonts w:ascii="Arial" w:hAnsi="Arial"/>
          <w:sz w:val="16"/>
          <w:szCs w:val="16"/>
        </w:rPr>
      </w:pPr>
      <w:r w:rsidRPr="00EB2FB1">
        <w:rPr>
          <w:rFonts w:ascii="Arial" w:hAnsi="Arial"/>
          <w:sz w:val="16"/>
          <w:szCs w:val="16"/>
        </w:rPr>
        <w:t>Note: see text for the difference between the OECD and EU approaches</w:t>
      </w:r>
    </w:p>
    <w:p w14:paraId="64653938" w14:textId="77777777" w:rsidR="007E620E" w:rsidRDefault="007E620E" w:rsidP="00531A85">
      <w:pPr>
        <w:spacing w:after="0" w:line="240" w:lineRule="auto"/>
        <w:rPr>
          <w:rFonts w:ascii="Arial" w:hAnsi="Arial"/>
          <w:b/>
          <w:bCs/>
          <w:sz w:val="24"/>
          <w:szCs w:val="24"/>
        </w:rPr>
      </w:pPr>
    </w:p>
    <w:p w14:paraId="3383CE37" w14:textId="00D78DD6" w:rsidR="009807CA" w:rsidRPr="009807CA" w:rsidRDefault="009807CA" w:rsidP="00531A85">
      <w:pPr>
        <w:spacing w:after="0" w:line="240" w:lineRule="auto"/>
        <w:rPr>
          <w:rFonts w:ascii="Arial" w:hAnsi="Arial"/>
          <w:b/>
          <w:bCs/>
          <w:sz w:val="24"/>
          <w:szCs w:val="24"/>
        </w:rPr>
      </w:pPr>
      <w:r w:rsidRPr="009807CA">
        <w:rPr>
          <w:rFonts w:ascii="Arial" w:hAnsi="Arial"/>
          <w:b/>
          <w:bCs/>
          <w:sz w:val="24"/>
          <w:szCs w:val="24"/>
        </w:rPr>
        <w:lastRenderedPageBreak/>
        <w:t>Household income quintiles</w:t>
      </w:r>
    </w:p>
    <w:p w14:paraId="02C8D374" w14:textId="77777777" w:rsidR="009807CA" w:rsidRDefault="009807CA" w:rsidP="00531A85">
      <w:pPr>
        <w:spacing w:after="0" w:line="240" w:lineRule="auto"/>
        <w:rPr>
          <w:rFonts w:ascii="Arial" w:hAnsi="Arial"/>
        </w:rPr>
      </w:pPr>
    </w:p>
    <w:p w14:paraId="7D2E58C1" w14:textId="1A965AD1" w:rsidR="00AF6B10" w:rsidRDefault="009807CA" w:rsidP="00531A85">
      <w:pPr>
        <w:spacing w:after="0" w:line="240" w:lineRule="auto"/>
        <w:rPr>
          <w:rFonts w:ascii="Arial" w:hAnsi="Arial"/>
        </w:rPr>
      </w:pPr>
      <w:r w:rsidRPr="00CA5957">
        <w:rPr>
          <w:rFonts w:ascii="Arial" w:hAnsi="Arial"/>
          <w:b/>
          <w:bCs/>
        </w:rPr>
        <w:t xml:space="preserve">Figure </w:t>
      </w:r>
      <w:r w:rsidR="00976ADC">
        <w:rPr>
          <w:rFonts w:ascii="Arial" w:hAnsi="Arial"/>
          <w:b/>
          <w:bCs/>
        </w:rPr>
        <w:t>20</w:t>
      </w:r>
      <w:r w:rsidR="00976ADC">
        <w:rPr>
          <w:rFonts w:ascii="Arial" w:hAnsi="Arial"/>
        </w:rPr>
        <w:t xml:space="preserve"> </w:t>
      </w:r>
      <w:r>
        <w:rPr>
          <w:rFonts w:ascii="Arial" w:hAnsi="Arial"/>
        </w:rPr>
        <w:t xml:space="preserve">shows that New Zealand’s 40% HCO </w:t>
      </w:r>
      <w:r w:rsidR="00D1069C">
        <w:rPr>
          <w:rFonts w:ascii="Arial" w:hAnsi="Arial"/>
        </w:rPr>
        <w:t xml:space="preserve">rate </w:t>
      </w:r>
      <w:r>
        <w:rPr>
          <w:rFonts w:ascii="Arial" w:hAnsi="Arial"/>
        </w:rPr>
        <w:t xml:space="preserve">for the lowest income quintile (all tenures included) is 25%, a little below the rate for the </w:t>
      </w:r>
      <w:r w:rsidR="00CA5957">
        <w:rPr>
          <w:rFonts w:ascii="Arial" w:hAnsi="Arial"/>
        </w:rPr>
        <w:t xml:space="preserve">median </w:t>
      </w:r>
      <w:r>
        <w:rPr>
          <w:rFonts w:ascii="Arial" w:hAnsi="Arial"/>
        </w:rPr>
        <w:t>European country (28%).</w:t>
      </w:r>
      <w:r w:rsidR="00CA5957">
        <w:rPr>
          <w:rFonts w:ascii="Arial" w:hAnsi="Arial"/>
        </w:rPr>
        <w:t xml:space="preserve"> On the other hand, the Q2 rate in </w:t>
      </w:r>
      <w:r w:rsidR="00CA5957" w:rsidRPr="00CA5957">
        <w:rPr>
          <w:rFonts w:ascii="Arial" w:hAnsi="Arial"/>
          <w:b/>
          <w:bCs/>
        </w:rPr>
        <w:t xml:space="preserve">Figure </w:t>
      </w:r>
      <w:r w:rsidR="00976ADC">
        <w:rPr>
          <w:rFonts w:ascii="Arial" w:hAnsi="Arial"/>
          <w:b/>
          <w:bCs/>
        </w:rPr>
        <w:t>21</w:t>
      </w:r>
      <w:r w:rsidR="00CA5957">
        <w:rPr>
          <w:rFonts w:ascii="Arial" w:hAnsi="Arial"/>
        </w:rPr>
        <w:t xml:space="preserve"> (11%) is above the rate for the median European country (6%).</w:t>
      </w:r>
      <w:r w:rsidR="00AF6B10">
        <w:rPr>
          <w:rFonts w:ascii="Arial" w:hAnsi="Arial"/>
        </w:rPr>
        <w:t xml:space="preserve"> </w:t>
      </w:r>
    </w:p>
    <w:p w14:paraId="58EADDDD" w14:textId="77777777" w:rsidR="00AF6B10" w:rsidRDefault="00AF6B10" w:rsidP="00531A85">
      <w:pPr>
        <w:spacing w:after="0" w:line="240" w:lineRule="auto"/>
        <w:rPr>
          <w:rFonts w:ascii="Arial" w:hAnsi="Arial"/>
        </w:rPr>
      </w:pPr>
    </w:p>
    <w:p w14:paraId="045EA82E" w14:textId="0A612720" w:rsidR="001665A3" w:rsidRDefault="00AF6B10" w:rsidP="00531A85">
      <w:pPr>
        <w:spacing w:after="0" w:line="240" w:lineRule="auto"/>
        <w:rPr>
          <w:rFonts w:ascii="Arial" w:hAnsi="Arial"/>
        </w:rPr>
      </w:pPr>
      <w:r w:rsidRPr="001665A3">
        <w:rPr>
          <w:rFonts w:ascii="Arial" w:hAnsi="Arial"/>
        </w:rPr>
        <w:t xml:space="preserve">The Q1 rate is lower than expected, given the Q2 rate. </w:t>
      </w:r>
      <w:r w:rsidR="001665A3" w:rsidRPr="001665A3">
        <w:rPr>
          <w:rFonts w:ascii="Arial" w:hAnsi="Arial"/>
        </w:rPr>
        <w:t xml:space="preserve">The </w:t>
      </w:r>
      <w:r w:rsidR="00D1069C" w:rsidRPr="001665A3">
        <w:rPr>
          <w:rFonts w:ascii="Arial" w:hAnsi="Arial"/>
        </w:rPr>
        <w:t>N</w:t>
      </w:r>
      <w:r w:rsidR="00AE09CB">
        <w:rPr>
          <w:rFonts w:ascii="Arial" w:hAnsi="Arial"/>
        </w:rPr>
        <w:t>ew Zealand</w:t>
      </w:r>
      <w:r w:rsidR="00D1069C" w:rsidRPr="001665A3">
        <w:rPr>
          <w:rFonts w:ascii="Arial" w:hAnsi="Arial"/>
        </w:rPr>
        <w:t xml:space="preserve"> Q</w:t>
      </w:r>
      <w:r w:rsidR="00884989">
        <w:rPr>
          <w:rFonts w:ascii="Arial" w:hAnsi="Arial"/>
        </w:rPr>
        <w:t>1</w:t>
      </w:r>
      <w:r w:rsidR="00D1069C" w:rsidRPr="001665A3">
        <w:rPr>
          <w:rFonts w:ascii="Arial" w:hAnsi="Arial"/>
        </w:rPr>
        <w:t xml:space="preserve"> </w:t>
      </w:r>
      <w:r w:rsidR="001665A3" w:rsidRPr="001665A3">
        <w:rPr>
          <w:rFonts w:ascii="Arial" w:hAnsi="Arial"/>
        </w:rPr>
        <w:t>rate is just over double the Q</w:t>
      </w:r>
      <w:r w:rsidR="00884989">
        <w:rPr>
          <w:rFonts w:ascii="Arial" w:hAnsi="Arial"/>
        </w:rPr>
        <w:t>2</w:t>
      </w:r>
      <w:r w:rsidR="001665A3" w:rsidRPr="001665A3">
        <w:rPr>
          <w:rFonts w:ascii="Arial" w:hAnsi="Arial"/>
        </w:rPr>
        <w:t xml:space="preserve"> rate, and the next ranked country is the </w:t>
      </w:r>
      <w:r w:rsidR="00D1069C" w:rsidRPr="001665A3">
        <w:rPr>
          <w:rFonts w:ascii="Arial" w:hAnsi="Arial"/>
        </w:rPr>
        <w:t xml:space="preserve">UK </w:t>
      </w:r>
      <w:r w:rsidR="001665A3" w:rsidRPr="001665A3">
        <w:rPr>
          <w:rFonts w:ascii="Arial" w:hAnsi="Arial"/>
        </w:rPr>
        <w:t>with a Q</w:t>
      </w:r>
      <w:r w:rsidR="00AE09CB">
        <w:rPr>
          <w:rFonts w:ascii="Arial" w:hAnsi="Arial"/>
        </w:rPr>
        <w:t>1</w:t>
      </w:r>
      <w:r w:rsidR="001665A3" w:rsidRPr="001665A3">
        <w:rPr>
          <w:rFonts w:ascii="Arial" w:hAnsi="Arial"/>
        </w:rPr>
        <w:t xml:space="preserve"> rate just under three times the Q</w:t>
      </w:r>
      <w:r w:rsidR="00AE09CB">
        <w:rPr>
          <w:rFonts w:ascii="Arial" w:hAnsi="Arial"/>
        </w:rPr>
        <w:t>2</w:t>
      </w:r>
      <w:r w:rsidR="001665A3" w:rsidRPr="001665A3">
        <w:rPr>
          <w:rFonts w:ascii="Arial" w:hAnsi="Arial"/>
        </w:rPr>
        <w:t xml:space="preserve"> rate. The bulk of the rest of the countries have a Q1 rate that is 4 or more times the Q2 rate.</w:t>
      </w:r>
    </w:p>
    <w:p w14:paraId="0CC541DF" w14:textId="5AB688E9" w:rsidR="00976ADC" w:rsidRDefault="00976ADC">
      <w:pPr>
        <w:spacing w:after="0" w:line="240" w:lineRule="auto"/>
        <w:rPr>
          <w:rFonts w:ascii="Arial" w:hAnsi="Arial"/>
          <w:b/>
          <w:bCs/>
          <w:sz w:val="18"/>
          <w:szCs w:val="18"/>
        </w:rPr>
      </w:pPr>
    </w:p>
    <w:p w14:paraId="4F68FBF0" w14:textId="7B412214" w:rsidR="005A6FA2" w:rsidRPr="006C1113" w:rsidRDefault="005A6FA2" w:rsidP="005A6FA2">
      <w:pPr>
        <w:spacing w:after="0" w:line="240" w:lineRule="auto"/>
        <w:jc w:val="center"/>
        <w:rPr>
          <w:rFonts w:ascii="Arial" w:hAnsi="Arial"/>
          <w:b/>
          <w:bCs/>
          <w:sz w:val="18"/>
          <w:szCs w:val="18"/>
        </w:rPr>
      </w:pPr>
      <w:r w:rsidRPr="005A6FA2">
        <w:rPr>
          <w:rFonts w:ascii="Arial" w:hAnsi="Arial"/>
          <w:b/>
          <w:bCs/>
          <w:sz w:val="18"/>
          <w:szCs w:val="18"/>
        </w:rPr>
        <w:t xml:space="preserve"> </w:t>
      </w:r>
      <w:r w:rsidRPr="006C1113">
        <w:rPr>
          <w:rFonts w:ascii="Arial" w:hAnsi="Arial"/>
          <w:b/>
          <w:bCs/>
          <w:sz w:val="18"/>
          <w:szCs w:val="18"/>
        </w:rPr>
        <w:t xml:space="preserve">Figure </w:t>
      </w:r>
      <w:r w:rsidR="00976ADC">
        <w:rPr>
          <w:rFonts w:ascii="Arial" w:hAnsi="Arial"/>
          <w:b/>
          <w:bCs/>
          <w:sz w:val="18"/>
          <w:szCs w:val="18"/>
        </w:rPr>
        <w:t>20</w:t>
      </w:r>
    </w:p>
    <w:p w14:paraId="42A8C317" w14:textId="14B968AA" w:rsidR="005A6FA2" w:rsidRDefault="005A6FA2" w:rsidP="005A6FA2">
      <w:pPr>
        <w:spacing w:after="0" w:line="240" w:lineRule="auto"/>
        <w:jc w:val="center"/>
        <w:rPr>
          <w:rFonts w:ascii="Arial" w:hAnsi="Arial"/>
          <w:b/>
          <w:bCs/>
          <w:sz w:val="18"/>
          <w:szCs w:val="18"/>
        </w:rPr>
      </w:pPr>
      <w:r w:rsidRPr="005A6FA2">
        <w:rPr>
          <w:rFonts w:ascii="Arial" w:hAnsi="Arial"/>
          <w:b/>
          <w:bCs/>
          <w:sz w:val="18"/>
          <w:szCs w:val="18"/>
        </w:rPr>
        <w:t xml:space="preserve"> </w:t>
      </w:r>
      <w:r w:rsidRPr="00AB18CB">
        <w:rPr>
          <w:rFonts w:ascii="Arial" w:hAnsi="Arial"/>
          <w:b/>
          <w:bCs/>
          <w:sz w:val="18"/>
          <w:szCs w:val="18"/>
        </w:rPr>
        <w:t xml:space="preserve">Proportion of individuals in households with </w:t>
      </w:r>
      <w:r>
        <w:rPr>
          <w:rFonts w:ascii="Arial" w:hAnsi="Arial"/>
          <w:b/>
          <w:bCs/>
          <w:sz w:val="18"/>
          <w:szCs w:val="18"/>
        </w:rPr>
        <w:t>‘Housing Cost Overburden’</w:t>
      </w:r>
      <w:r w:rsidRPr="00AB18CB">
        <w:rPr>
          <w:rFonts w:ascii="Arial" w:hAnsi="Arial"/>
          <w:b/>
          <w:bCs/>
          <w:sz w:val="18"/>
          <w:szCs w:val="18"/>
        </w:rPr>
        <w:t xml:space="preserve"> &gt; 40%</w:t>
      </w:r>
      <w:r>
        <w:rPr>
          <w:rFonts w:ascii="Arial" w:hAnsi="Arial"/>
          <w:b/>
          <w:bCs/>
          <w:sz w:val="18"/>
          <w:szCs w:val="18"/>
        </w:rPr>
        <w:t xml:space="preserve">, </w:t>
      </w:r>
    </w:p>
    <w:p w14:paraId="395905C4" w14:textId="27F11096" w:rsidR="005A6FA2" w:rsidRDefault="00B170EF" w:rsidP="005A6FA2">
      <w:pPr>
        <w:spacing w:after="0" w:line="240" w:lineRule="auto"/>
        <w:jc w:val="center"/>
        <w:rPr>
          <w:rFonts w:ascii="Arial" w:hAnsi="Arial"/>
          <w:b/>
          <w:bCs/>
          <w:sz w:val="18"/>
          <w:szCs w:val="18"/>
        </w:rPr>
      </w:pPr>
      <w:r w:rsidRPr="00B170EF">
        <w:rPr>
          <w:noProof/>
        </w:rPr>
        <w:drawing>
          <wp:anchor distT="0" distB="0" distL="114300" distR="114300" simplePos="0" relativeHeight="251858944" behindDoc="0" locked="0" layoutInCell="1" allowOverlap="1" wp14:anchorId="6FE983AB" wp14:editId="4E84F8D7">
            <wp:simplePos x="0" y="0"/>
            <wp:positionH relativeFrom="column">
              <wp:posOffset>1035050</wp:posOffset>
            </wp:positionH>
            <wp:positionV relativeFrom="paragraph">
              <wp:posOffset>174625</wp:posOffset>
            </wp:positionV>
            <wp:extent cx="3616960" cy="222885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16960" cy="2228850"/>
                    </a:xfrm>
                    <a:prstGeom prst="rect">
                      <a:avLst/>
                    </a:prstGeom>
                  </pic:spPr>
                </pic:pic>
              </a:graphicData>
            </a:graphic>
            <wp14:sizeRelH relativeFrom="margin">
              <wp14:pctWidth>0</wp14:pctWidth>
            </wp14:sizeRelH>
            <wp14:sizeRelV relativeFrom="margin">
              <wp14:pctHeight>0</wp14:pctHeight>
            </wp14:sizeRelV>
          </wp:anchor>
        </w:drawing>
      </w:r>
      <w:r w:rsidR="00020950" w:rsidRPr="00020950">
        <w:t xml:space="preserve"> </w:t>
      </w:r>
      <w:r w:rsidR="005A6FA2">
        <w:rPr>
          <w:rFonts w:ascii="Arial" w:hAnsi="Arial"/>
          <w:b/>
          <w:bCs/>
          <w:sz w:val="18"/>
          <w:szCs w:val="18"/>
        </w:rPr>
        <w:t>lowest income quintile (Q1)</w:t>
      </w:r>
      <w:r w:rsidR="00B37F42">
        <w:rPr>
          <w:rFonts w:ascii="Arial" w:hAnsi="Arial"/>
          <w:b/>
          <w:bCs/>
          <w:sz w:val="18"/>
          <w:szCs w:val="18"/>
        </w:rPr>
        <w:t>, NZ and European comparisons</w:t>
      </w:r>
    </w:p>
    <w:p w14:paraId="09960C05" w14:textId="62A04597" w:rsidR="005A6FA2" w:rsidRDefault="005A6FA2" w:rsidP="005A6FA2">
      <w:pPr>
        <w:spacing w:after="0" w:line="240" w:lineRule="auto"/>
        <w:jc w:val="center"/>
        <w:rPr>
          <w:rFonts w:ascii="Arial" w:hAnsi="Arial"/>
          <w:b/>
          <w:bCs/>
          <w:sz w:val="18"/>
          <w:szCs w:val="18"/>
        </w:rPr>
      </w:pPr>
    </w:p>
    <w:p w14:paraId="708E03C2" w14:textId="77777777" w:rsidR="00AE09CB" w:rsidRDefault="00AE09CB" w:rsidP="005A6FA2">
      <w:pPr>
        <w:spacing w:after="0" w:line="240" w:lineRule="auto"/>
        <w:jc w:val="center"/>
        <w:rPr>
          <w:rFonts w:ascii="Arial" w:hAnsi="Arial"/>
          <w:b/>
          <w:bCs/>
          <w:sz w:val="18"/>
          <w:szCs w:val="18"/>
        </w:rPr>
      </w:pPr>
    </w:p>
    <w:p w14:paraId="19A890E8" w14:textId="45BFF7B0" w:rsidR="005A6FA2" w:rsidRPr="006C1113" w:rsidRDefault="005A6FA2" w:rsidP="005A6FA2">
      <w:pPr>
        <w:spacing w:after="0" w:line="240" w:lineRule="auto"/>
        <w:jc w:val="center"/>
        <w:rPr>
          <w:rFonts w:ascii="Arial" w:hAnsi="Arial"/>
          <w:b/>
          <w:bCs/>
          <w:sz w:val="18"/>
          <w:szCs w:val="18"/>
        </w:rPr>
      </w:pPr>
      <w:r w:rsidRPr="006C1113">
        <w:rPr>
          <w:rFonts w:ascii="Arial" w:hAnsi="Arial"/>
          <w:b/>
          <w:bCs/>
          <w:sz w:val="18"/>
          <w:szCs w:val="18"/>
        </w:rPr>
        <w:t xml:space="preserve">Figure </w:t>
      </w:r>
      <w:r w:rsidR="00976ADC">
        <w:rPr>
          <w:rFonts w:ascii="Arial" w:hAnsi="Arial"/>
          <w:b/>
          <w:bCs/>
          <w:sz w:val="18"/>
          <w:szCs w:val="18"/>
        </w:rPr>
        <w:t>21</w:t>
      </w:r>
    </w:p>
    <w:p w14:paraId="72CBC74E" w14:textId="0D6C1685" w:rsidR="005A6FA2" w:rsidRDefault="005A6FA2" w:rsidP="005A6FA2">
      <w:pPr>
        <w:spacing w:after="0" w:line="240" w:lineRule="auto"/>
        <w:jc w:val="center"/>
        <w:rPr>
          <w:rFonts w:ascii="Arial" w:hAnsi="Arial"/>
          <w:b/>
          <w:bCs/>
          <w:sz w:val="18"/>
          <w:szCs w:val="18"/>
        </w:rPr>
      </w:pPr>
      <w:r w:rsidRPr="005A6FA2">
        <w:rPr>
          <w:rFonts w:ascii="Arial" w:hAnsi="Arial"/>
          <w:b/>
          <w:bCs/>
          <w:sz w:val="18"/>
          <w:szCs w:val="18"/>
        </w:rPr>
        <w:t xml:space="preserve"> </w:t>
      </w:r>
      <w:r w:rsidRPr="00AB18CB">
        <w:rPr>
          <w:rFonts w:ascii="Arial" w:hAnsi="Arial"/>
          <w:b/>
          <w:bCs/>
          <w:sz w:val="18"/>
          <w:szCs w:val="18"/>
        </w:rPr>
        <w:t xml:space="preserve">Proportion of individuals in households with </w:t>
      </w:r>
      <w:r>
        <w:rPr>
          <w:rFonts w:ascii="Arial" w:hAnsi="Arial"/>
          <w:b/>
          <w:bCs/>
          <w:sz w:val="18"/>
          <w:szCs w:val="18"/>
        </w:rPr>
        <w:t>‘Housing Cost Overburden’</w:t>
      </w:r>
      <w:r w:rsidRPr="00AB18CB">
        <w:rPr>
          <w:rFonts w:ascii="Arial" w:hAnsi="Arial"/>
          <w:b/>
          <w:bCs/>
          <w:sz w:val="18"/>
          <w:szCs w:val="18"/>
        </w:rPr>
        <w:t xml:space="preserve"> &gt; 40%</w:t>
      </w:r>
      <w:r>
        <w:rPr>
          <w:rFonts w:ascii="Arial" w:hAnsi="Arial"/>
          <w:b/>
          <w:bCs/>
          <w:sz w:val="18"/>
          <w:szCs w:val="18"/>
        </w:rPr>
        <w:t xml:space="preserve">, </w:t>
      </w:r>
    </w:p>
    <w:p w14:paraId="11416839" w14:textId="42BCBB28" w:rsidR="00531A85" w:rsidRDefault="00040318" w:rsidP="00B37F42">
      <w:pPr>
        <w:spacing w:after="0" w:line="240" w:lineRule="auto"/>
        <w:jc w:val="center"/>
        <w:rPr>
          <w:rFonts w:ascii="Arial" w:hAnsi="Arial"/>
        </w:rPr>
      </w:pPr>
      <w:r w:rsidRPr="00040318">
        <w:t xml:space="preserve"> </w:t>
      </w:r>
      <w:r w:rsidR="005A6FA2">
        <w:rPr>
          <w:rFonts w:ascii="Arial" w:hAnsi="Arial"/>
          <w:b/>
          <w:bCs/>
          <w:sz w:val="18"/>
          <w:szCs w:val="18"/>
        </w:rPr>
        <w:t>second lowest income quintile</w:t>
      </w:r>
      <w:r w:rsidR="00884989">
        <w:rPr>
          <w:rFonts w:ascii="Arial" w:hAnsi="Arial"/>
          <w:b/>
          <w:bCs/>
          <w:sz w:val="18"/>
          <w:szCs w:val="18"/>
        </w:rPr>
        <w:t xml:space="preserve"> (Q2)</w:t>
      </w:r>
      <w:r w:rsidR="00B37F42">
        <w:rPr>
          <w:rFonts w:ascii="Arial" w:hAnsi="Arial"/>
          <w:b/>
          <w:bCs/>
          <w:sz w:val="18"/>
          <w:szCs w:val="18"/>
        </w:rPr>
        <w:t>, NZ and European comparisons</w:t>
      </w:r>
    </w:p>
    <w:p w14:paraId="56BF87BC" w14:textId="5D64B5E9" w:rsidR="00A4732A" w:rsidRDefault="00946AA7" w:rsidP="005A6FA2">
      <w:pPr>
        <w:spacing w:after="0" w:line="240" w:lineRule="auto"/>
        <w:jc w:val="center"/>
        <w:rPr>
          <w:rFonts w:ascii="Arial" w:hAnsi="Arial"/>
          <w:b/>
          <w:bCs/>
          <w:sz w:val="18"/>
          <w:szCs w:val="18"/>
        </w:rPr>
      </w:pPr>
      <w:r w:rsidRPr="00946AA7">
        <w:rPr>
          <w:noProof/>
        </w:rPr>
        <w:drawing>
          <wp:anchor distT="0" distB="0" distL="114300" distR="114300" simplePos="0" relativeHeight="251872256" behindDoc="0" locked="0" layoutInCell="1" allowOverlap="1" wp14:anchorId="4CDB878B" wp14:editId="4F7492D9">
            <wp:simplePos x="0" y="0"/>
            <wp:positionH relativeFrom="column">
              <wp:posOffset>1130300</wp:posOffset>
            </wp:positionH>
            <wp:positionV relativeFrom="paragraph">
              <wp:posOffset>85725</wp:posOffset>
            </wp:positionV>
            <wp:extent cx="3657600" cy="22542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2254250"/>
                    </a:xfrm>
                    <a:prstGeom prst="rect">
                      <a:avLst/>
                    </a:prstGeom>
                  </pic:spPr>
                </pic:pic>
              </a:graphicData>
            </a:graphic>
            <wp14:sizeRelH relativeFrom="margin">
              <wp14:pctWidth>0</wp14:pctWidth>
            </wp14:sizeRelH>
            <wp14:sizeRelV relativeFrom="margin">
              <wp14:pctHeight>0</wp14:pctHeight>
            </wp14:sizeRelV>
          </wp:anchor>
        </w:drawing>
      </w:r>
    </w:p>
    <w:p w14:paraId="5A21898A" w14:textId="1731B86C" w:rsidR="007E620E" w:rsidRDefault="007E620E" w:rsidP="007E620E">
      <w:pPr>
        <w:spacing w:after="0" w:line="240" w:lineRule="auto"/>
        <w:jc w:val="center"/>
        <w:rPr>
          <w:rFonts w:ascii="Arial" w:hAnsi="Arial"/>
          <w:b/>
          <w:bCs/>
          <w:sz w:val="18"/>
          <w:szCs w:val="18"/>
        </w:rPr>
      </w:pPr>
    </w:p>
    <w:p w14:paraId="27A2B1D3" w14:textId="5E8B82FD" w:rsidR="00976ADC" w:rsidRDefault="00976ADC">
      <w:pPr>
        <w:spacing w:after="0" w:line="240" w:lineRule="auto"/>
        <w:rPr>
          <w:rFonts w:ascii="Arial" w:hAnsi="Arial"/>
          <w:b/>
          <w:bCs/>
          <w:sz w:val="18"/>
          <w:szCs w:val="18"/>
        </w:rPr>
      </w:pPr>
      <w:r>
        <w:rPr>
          <w:rFonts w:ascii="Arial" w:hAnsi="Arial"/>
          <w:b/>
          <w:bCs/>
          <w:sz w:val="18"/>
          <w:szCs w:val="18"/>
        </w:rPr>
        <w:br w:type="page"/>
      </w:r>
    </w:p>
    <w:p w14:paraId="278CA666" w14:textId="3794DC7B" w:rsidR="00976ADC" w:rsidRDefault="00976ADC" w:rsidP="00976ADC">
      <w:pPr>
        <w:spacing w:after="0" w:line="240" w:lineRule="auto"/>
        <w:rPr>
          <w:rFonts w:ascii="Arial" w:hAnsi="Arial"/>
        </w:rPr>
      </w:pPr>
      <w:r w:rsidRPr="00AF6B10">
        <w:rPr>
          <w:rFonts w:ascii="Arial" w:hAnsi="Arial"/>
          <w:b/>
          <w:bCs/>
        </w:rPr>
        <w:lastRenderedPageBreak/>
        <w:t xml:space="preserve">Figure </w:t>
      </w:r>
      <w:r>
        <w:rPr>
          <w:rFonts w:ascii="Arial" w:hAnsi="Arial"/>
          <w:b/>
          <w:bCs/>
        </w:rPr>
        <w:t>22</w:t>
      </w:r>
      <w:r>
        <w:rPr>
          <w:rFonts w:ascii="Arial" w:hAnsi="Arial"/>
        </w:rPr>
        <w:t xml:space="preserve"> shows the relationship between Q1 and Q2 rates in the scatter diagram and associated linear correlation line. It shows that there is good cause to have expected a New Zealand Q1 rate of 35-45%, all else equal, rather than the much lower 25%.  </w:t>
      </w:r>
    </w:p>
    <w:p w14:paraId="59D85A1D" w14:textId="77777777" w:rsidR="00976ADC" w:rsidRDefault="00976ADC" w:rsidP="00976ADC">
      <w:pPr>
        <w:spacing w:after="0" w:line="240" w:lineRule="auto"/>
        <w:rPr>
          <w:rFonts w:ascii="Arial" w:hAnsi="Arial"/>
        </w:rPr>
      </w:pPr>
    </w:p>
    <w:p w14:paraId="5C05FA2D" w14:textId="779A2B97" w:rsidR="00976ADC" w:rsidRDefault="00976ADC" w:rsidP="00976ADC">
      <w:pPr>
        <w:spacing w:after="0" w:line="240" w:lineRule="auto"/>
        <w:rPr>
          <w:rFonts w:ascii="Arial" w:hAnsi="Arial"/>
        </w:rPr>
      </w:pPr>
      <w:r>
        <w:rPr>
          <w:rFonts w:ascii="Arial" w:hAnsi="Arial"/>
        </w:rPr>
        <w:t xml:space="preserve">The reason for this ‘discrepancy’ in the New Zealand Q1 rate when using the EU approach is that Q1 is highly populated with 65+ households, the vast majority of whom own outright. This is a distinctive feature of the New Zealand income distribution and housing tenure nexus that has as one of its consequences the relatively low material hardship rates for those aged 65+. </w:t>
      </w:r>
    </w:p>
    <w:p w14:paraId="6C5B82E9" w14:textId="77777777" w:rsidR="00976ADC" w:rsidRDefault="00976ADC" w:rsidP="00976ADC">
      <w:pPr>
        <w:spacing w:after="0" w:line="240" w:lineRule="auto"/>
        <w:rPr>
          <w:rFonts w:ascii="Arial" w:hAnsi="Arial"/>
          <w:b/>
          <w:bCs/>
          <w:sz w:val="18"/>
          <w:szCs w:val="18"/>
        </w:rPr>
      </w:pPr>
      <w:r w:rsidRPr="00D1069C">
        <w:rPr>
          <w:rFonts w:ascii="Arial" w:hAnsi="Arial"/>
          <w:highlight w:val="yellow"/>
        </w:rPr>
        <w:t xml:space="preserve"> </w:t>
      </w:r>
    </w:p>
    <w:p w14:paraId="6253EC26" w14:textId="67364284" w:rsidR="005A6FA2" w:rsidRPr="006C1113" w:rsidRDefault="007E620E" w:rsidP="007E620E">
      <w:pPr>
        <w:spacing w:after="0" w:line="240" w:lineRule="auto"/>
        <w:jc w:val="center"/>
        <w:rPr>
          <w:rFonts w:ascii="Arial" w:hAnsi="Arial"/>
          <w:b/>
          <w:bCs/>
          <w:sz w:val="18"/>
          <w:szCs w:val="18"/>
        </w:rPr>
      </w:pPr>
      <w:r>
        <w:rPr>
          <w:rFonts w:ascii="Arial" w:hAnsi="Arial"/>
          <w:b/>
          <w:bCs/>
          <w:sz w:val="18"/>
          <w:szCs w:val="18"/>
        </w:rPr>
        <w:t>F</w:t>
      </w:r>
      <w:r w:rsidR="005A6FA2" w:rsidRPr="006C1113">
        <w:rPr>
          <w:rFonts w:ascii="Arial" w:hAnsi="Arial"/>
          <w:b/>
          <w:bCs/>
          <w:sz w:val="18"/>
          <w:szCs w:val="18"/>
        </w:rPr>
        <w:t xml:space="preserve">igure </w:t>
      </w:r>
      <w:r w:rsidR="00976ADC">
        <w:rPr>
          <w:rFonts w:ascii="Arial" w:hAnsi="Arial"/>
          <w:b/>
          <w:bCs/>
          <w:sz w:val="18"/>
          <w:szCs w:val="18"/>
        </w:rPr>
        <w:t>22</w:t>
      </w:r>
    </w:p>
    <w:p w14:paraId="48975C40" w14:textId="07695139" w:rsidR="005A6FA2" w:rsidRDefault="005A6FA2" w:rsidP="005A6FA2">
      <w:pPr>
        <w:spacing w:after="0" w:line="240" w:lineRule="auto"/>
        <w:jc w:val="center"/>
        <w:rPr>
          <w:rFonts w:ascii="Arial" w:hAnsi="Arial"/>
          <w:b/>
          <w:bCs/>
          <w:sz w:val="18"/>
          <w:szCs w:val="18"/>
        </w:rPr>
      </w:pPr>
      <w:r w:rsidRPr="005A6FA2">
        <w:rPr>
          <w:rFonts w:ascii="Arial" w:hAnsi="Arial"/>
          <w:b/>
          <w:bCs/>
          <w:sz w:val="18"/>
          <w:szCs w:val="18"/>
        </w:rPr>
        <w:t xml:space="preserve"> </w:t>
      </w:r>
      <w:r w:rsidRPr="00AB18CB">
        <w:rPr>
          <w:rFonts w:ascii="Arial" w:hAnsi="Arial"/>
          <w:b/>
          <w:bCs/>
          <w:sz w:val="18"/>
          <w:szCs w:val="18"/>
        </w:rPr>
        <w:t xml:space="preserve">Proportion of individuals in households with </w:t>
      </w:r>
      <w:r>
        <w:rPr>
          <w:rFonts w:ascii="Arial" w:hAnsi="Arial"/>
          <w:b/>
          <w:bCs/>
          <w:sz w:val="18"/>
          <w:szCs w:val="18"/>
        </w:rPr>
        <w:t>‘Housing Cost Overburden’</w:t>
      </w:r>
      <w:r w:rsidRPr="00AB18CB">
        <w:rPr>
          <w:rFonts w:ascii="Arial" w:hAnsi="Arial"/>
          <w:b/>
          <w:bCs/>
          <w:sz w:val="18"/>
          <w:szCs w:val="18"/>
        </w:rPr>
        <w:t xml:space="preserve"> &gt; 40%</w:t>
      </w:r>
      <w:r>
        <w:rPr>
          <w:rFonts w:ascii="Arial" w:hAnsi="Arial"/>
          <w:b/>
          <w:bCs/>
          <w:sz w:val="18"/>
          <w:szCs w:val="18"/>
        </w:rPr>
        <w:t xml:space="preserve">, </w:t>
      </w:r>
    </w:p>
    <w:p w14:paraId="71BAD30C" w14:textId="3AE4ACF3" w:rsidR="005A6FA2" w:rsidRDefault="00E52E27" w:rsidP="005A6FA2">
      <w:pPr>
        <w:spacing w:after="0" w:line="240" w:lineRule="auto"/>
        <w:jc w:val="center"/>
        <w:rPr>
          <w:rFonts w:ascii="Arial" w:hAnsi="Arial"/>
          <w:b/>
          <w:bCs/>
          <w:sz w:val="18"/>
          <w:szCs w:val="18"/>
        </w:rPr>
      </w:pPr>
      <w:r w:rsidRPr="00A4732A">
        <w:rPr>
          <w:noProof/>
        </w:rPr>
        <w:drawing>
          <wp:anchor distT="0" distB="0" distL="114300" distR="114300" simplePos="0" relativeHeight="251784192" behindDoc="0" locked="0" layoutInCell="1" allowOverlap="1" wp14:anchorId="20FCDED5" wp14:editId="1D20192E">
            <wp:simplePos x="0" y="0"/>
            <wp:positionH relativeFrom="column">
              <wp:posOffset>1220470</wp:posOffset>
            </wp:positionH>
            <wp:positionV relativeFrom="paragraph">
              <wp:posOffset>172085</wp:posOffset>
            </wp:positionV>
            <wp:extent cx="3325495" cy="2051050"/>
            <wp:effectExtent l="0" t="0" r="825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5495" cy="2051050"/>
                    </a:xfrm>
                    <a:prstGeom prst="rect">
                      <a:avLst/>
                    </a:prstGeom>
                  </pic:spPr>
                </pic:pic>
              </a:graphicData>
            </a:graphic>
            <wp14:sizeRelH relativeFrom="margin">
              <wp14:pctWidth>0</wp14:pctWidth>
            </wp14:sizeRelH>
            <wp14:sizeRelV relativeFrom="margin">
              <wp14:pctHeight>0</wp14:pctHeight>
            </wp14:sizeRelV>
          </wp:anchor>
        </w:drawing>
      </w:r>
      <w:r w:rsidR="00716C19">
        <w:rPr>
          <w:rFonts w:ascii="Arial" w:hAnsi="Arial"/>
          <w:b/>
          <w:bCs/>
          <w:sz w:val="18"/>
          <w:szCs w:val="18"/>
        </w:rPr>
        <w:t>Q1 and Q2 rates compared for European countries and New Zealand</w:t>
      </w:r>
    </w:p>
    <w:p w14:paraId="052B1F14" w14:textId="1CB3697F" w:rsidR="005A6FA2" w:rsidRDefault="005A6FA2" w:rsidP="00531A85">
      <w:pPr>
        <w:spacing w:after="0" w:line="240" w:lineRule="auto"/>
        <w:rPr>
          <w:rFonts w:ascii="Arial" w:hAnsi="Arial"/>
        </w:rPr>
      </w:pPr>
    </w:p>
    <w:p w14:paraId="15B7CA95" w14:textId="77777777" w:rsidR="006F6F60" w:rsidRDefault="006F6F60" w:rsidP="00531A85">
      <w:pPr>
        <w:spacing w:after="0" w:line="240" w:lineRule="auto"/>
        <w:rPr>
          <w:rFonts w:ascii="Arial" w:hAnsi="Arial"/>
        </w:rPr>
      </w:pPr>
    </w:p>
    <w:p w14:paraId="44ED1123" w14:textId="77777777" w:rsidR="00DD2EDB" w:rsidRDefault="00DD2EDB">
      <w:pPr>
        <w:spacing w:after="0" w:line="240" w:lineRule="auto"/>
        <w:rPr>
          <w:rFonts w:ascii="Arial" w:hAnsi="Arial"/>
          <w:b/>
          <w:bCs/>
          <w:color w:val="FF0000"/>
          <w:sz w:val="24"/>
          <w:szCs w:val="24"/>
          <w:highlight w:val="yellow"/>
        </w:rPr>
      </w:pPr>
    </w:p>
    <w:p w14:paraId="70C0C39A" w14:textId="77777777" w:rsidR="00DD2EDB" w:rsidRDefault="00DD2EDB">
      <w:pPr>
        <w:spacing w:after="0" w:line="240" w:lineRule="auto"/>
        <w:rPr>
          <w:rFonts w:ascii="Arial" w:hAnsi="Arial"/>
          <w:b/>
          <w:bCs/>
          <w:color w:val="FF0000"/>
          <w:sz w:val="24"/>
          <w:szCs w:val="24"/>
          <w:highlight w:val="yellow"/>
        </w:rPr>
      </w:pPr>
    </w:p>
    <w:p w14:paraId="26B51FB5" w14:textId="77777777" w:rsidR="00DD2EDB" w:rsidRDefault="00DD2EDB">
      <w:pPr>
        <w:spacing w:after="0" w:line="240" w:lineRule="auto"/>
        <w:rPr>
          <w:rFonts w:ascii="Arial" w:hAnsi="Arial"/>
          <w:b/>
          <w:bCs/>
          <w:color w:val="FF0000"/>
          <w:sz w:val="24"/>
          <w:szCs w:val="24"/>
          <w:highlight w:val="yellow"/>
        </w:rPr>
      </w:pPr>
    </w:p>
    <w:p w14:paraId="38609FBB" w14:textId="77777777" w:rsidR="00DD2EDB" w:rsidRDefault="00DD2EDB">
      <w:pPr>
        <w:spacing w:after="0" w:line="240" w:lineRule="auto"/>
        <w:rPr>
          <w:rFonts w:ascii="Arial" w:hAnsi="Arial"/>
          <w:b/>
          <w:bCs/>
          <w:sz w:val="24"/>
          <w:szCs w:val="28"/>
        </w:rPr>
      </w:pPr>
      <w:r>
        <w:rPr>
          <w:rFonts w:ascii="Arial" w:hAnsi="Arial"/>
          <w:b/>
          <w:bCs/>
          <w:sz w:val="24"/>
          <w:szCs w:val="28"/>
        </w:rPr>
        <w:br w:type="page"/>
      </w:r>
    </w:p>
    <w:p w14:paraId="69C74580" w14:textId="7048EAB2" w:rsidR="00531A85" w:rsidRPr="00DD6589" w:rsidRDefault="0006755D" w:rsidP="00531A85">
      <w:pPr>
        <w:spacing w:after="0" w:line="240" w:lineRule="auto"/>
        <w:rPr>
          <w:rFonts w:ascii="Arial" w:hAnsi="Arial"/>
          <w:b/>
          <w:bCs/>
          <w:sz w:val="28"/>
          <w:szCs w:val="32"/>
        </w:rPr>
      </w:pPr>
      <w:r w:rsidRPr="00DD6589">
        <w:rPr>
          <w:rFonts w:ascii="Arial" w:hAnsi="Arial"/>
          <w:b/>
          <w:bCs/>
          <w:sz w:val="28"/>
          <w:szCs w:val="32"/>
        </w:rPr>
        <w:lastRenderedPageBreak/>
        <w:t>References</w:t>
      </w:r>
    </w:p>
    <w:p w14:paraId="18365D3D" w14:textId="78A39E29" w:rsidR="0006755D" w:rsidRDefault="0006755D" w:rsidP="00531A85">
      <w:pPr>
        <w:spacing w:after="0" w:line="240" w:lineRule="auto"/>
        <w:rPr>
          <w:rFonts w:ascii="Arial" w:hAnsi="Arial"/>
          <w:b/>
          <w:bCs/>
        </w:rPr>
      </w:pPr>
    </w:p>
    <w:p w14:paraId="544DF9AA" w14:textId="3FA112BD" w:rsidR="00911CF5" w:rsidRPr="0075204E" w:rsidRDefault="00911CF5" w:rsidP="00F70C6A">
      <w:pPr>
        <w:autoSpaceDE w:val="0"/>
        <w:autoSpaceDN w:val="0"/>
        <w:adjustRightInd w:val="0"/>
        <w:spacing w:after="0" w:line="240" w:lineRule="auto"/>
        <w:ind w:left="567" w:hanging="567"/>
        <w:rPr>
          <w:rFonts w:ascii="Arial" w:hAnsi="Arial"/>
          <w:color w:val="0000FF"/>
          <w:szCs w:val="20"/>
        </w:rPr>
      </w:pPr>
      <w:r w:rsidRPr="0075204E">
        <w:rPr>
          <w:rFonts w:ascii="Arial" w:hAnsi="Arial"/>
          <w:szCs w:val="20"/>
        </w:rPr>
        <w:t xml:space="preserve">Barker, A. (2019), “Improving wellbeing through better housing policy in New Zealand”, OECD Economics Department Working Papers, No. 1565, OECD Publishing, Paris, </w:t>
      </w:r>
      <w:hyperlink r:id="rId39" w:history="1">
        <w:r w:rsidRPr="0075204E">
          <w:rPr>
            <w:rStyle w:val="Hyperlink"/>
            <w:rFonts w:ascii="Arial" w:hAnsi="Arial"/>
            <w:color w:val="0000FF"/>
            <w:szCs w:val="20"/>
            <w:shd w:val="clear" w:color="auto" w:fill="F6F6F6"/>
          </w:rPr>
          <w:t>https://doi.org/10.1787/b82d856b-en</w:t>
        </w:r>
      </w:hyperlink>
    </w:p>
    <w:p w14:paraId="31164B44" w14:textId="77777777" w:rsidR="00911CF5" w:rsidRPr="0075204E" w:rsidRDefault="00911CF5" w:rsidP="00F70C6A">
      <w:pPr>
        <w:autoSpaceDE w:val="0"/>
        <w:autoSpaceDN w:val="0"/>
        <w:adjustRightInd w:val="0"/>
        <w:spacing w:after="0" w:line="240" w:lineRule="auto"/>
        <w:ind w:left="567" w:hanging="567"/>
        <w:rPr>
          <w:rFonts w:ascii="Arial" w:hAnsi="Arial"/>
          <w:szCs w:val="20"/>
        </w:rPr>
      </w:pPr>
    </w:p>
    <w:p w14:paraId="3ADAECBC" w14:textId="41E95498" w:rsidR="00F90B61" w:rsidRDefault="00F90B61" w:rsidP="00F70C6A">
      <w:pPr>
        <w:autoSpaceDE w:val="0"/>
        <w:autoSpaceDN w:val="0"/>
        <w:adjustRightInd w:val="0"/>
        <w:spacing w:after="0" w:line="240" w:lineRule="auto"/>
        <w:ind w:left="567" w:hanging="567"/>
        <w:rPr>
          <w:rFonts w:ascii="Arial" w:hAnsi="Arial"/>
          <w:szCs w:val="20"/>
        </w:rPr>
      </w:pPr>
      <w:r w:rsidRPr="0075204E">
        <w:rPr>
          <w:rFonts w:ascii="Arial" w:hAnsi="Arial"/>
          <w:szCs w:val="20"/>
        </w:rPr>
        <w:t>CoreLogic (2021)</w:t>
      </w:r>
      <w:r w:rsidR="00A94A08" w:rsidRPr="0075204E">
        <w:rPr>
          <w:rFonts w:ascii="Arial" w:hAnsi="Arial"/>
          <w:szCs w:val="20"/>
        </w:rPr>
        <w:t>,</w:t>
      </w:r>
      <w:r w:rsidRPr="0075204E">
        <w:rPr>
          <w:rFonts w:ascii="Arial" w:hAnsi="Arial"/>
          <w:szCs w:val="20"/>
        </w:rPr>
        <w:t xml:space="preserve"> </w:t>
      </w:r>
      <w:r w:rsidR="0031214D" w:rsidRPr="0075204E">
        <w:rPr>
          <w:rFonts w:ascii="Arial" w:hAnsi="Arial"/>
          <w:szCs w:val="20"/>
        </w:rPr>
        <w:t>“</w:t>
      </w:r>
      <w:r w:rsidRPr="0075204E">
        <w:rPr>
          <w:rFonts w:ascii="Arial" w:hAnsi="Arial"/>
          <w:szCs w:val="20"/>
        </w:rPr>
        <w:t>The NZ Housing Affordability Report</w:t>
      </w:r>
      <w:r w:rsidR="0031214D" w:rsidRPr="0075204E">
        <w:rPr>
          <w:rFonts w:ascii="Arial" w:hAnsi="Arial"/>
          <w:szCs w:val="20"/>
        </w:rPr>
        <w:t>”</w:t>
      </w:r>
      <w:r w:rsidRPr="0075204E">
        <w:rPr>
          <w:rFonts w:ascii="Arial" w:hAnsi="Arial"/>
          <w:szCs w:val="20"/>
        </w:rPr>
        <w:t xml:space="preserve"> available at: </w:t>
      </w:r>
    </w:p>
    <w:p w14:paraId="6FCD05BD" w14:textId="5C9BC9F5" w:rsidR="00FF4BB5" w:rsidRPr="0075204E" w:rsidRDefault="003D500C" w:rsidP="00FF4BB5">
      <w:pPr>
        <w:autoSpaceDE w:val="0"/>
        <w:autoSpaceDN w:val="0"/>
        <w:adjustRightInd w:val="0"/>
        <w:spacing w:after="0" w:line="240" w:lineRule="auto"/>
        <w:ind w:left="567"/>
        <w:rPr>
          <w:rFonts w:ascii="Arial" w:hAnsi="Arial"/>
          <w:szCs w:val="20"/>
        </w:rPr>
      </w:pPr>
      <w:hyperlink r:id="rId40" w:history="1">
        <w:r w:rsidR="00FF4BB5" w:rsidRPr="00AA4E33">
          <w:rPr>
            <w:rStyle w:val="Hyperlink"/>
            <w:rFonts w:ascii="Arial" w:hAnsi="Arial"/>
            <w:szCs w:val="20"/>
          </w:rPr>
          <w:t>https://www.corelogic.co.nz/reports/housing-affordability-report</w:t>
        </w:r>
      </w:hyperlink>
    </w:p>
    <w:p w14:paraId="7980EFF2" w14:textId="77777777" w:rsidR="00F90B61" w:rsidRPr="0075204E" w:rsidRDefault="00F90B61" w:rsidP="00F70C6A">
      <w:pPr>
        <w:autoSpaceDE w:val="0"/>
        <w:autoSpaceDN w:val="0"/>
        <w:adjustRightInd w:val="0"/>
        <w:spacing w:after="0" w:line="240" w:lineRule="auto"/>
        <w:ind w:left="567" w:hanging="567"/>
        <w:rPr>
          <w:rFonts w:ascii="Arial" w:hAnsi="Arial"/>
          <w:szCs w:val="20"/>
        </w:rPr>
      </w:pPr>
    </w:p>
    <w:p w14:paraId="240367AA" w14:textId="7BB8BEE9" w:rsidR="00F70C6A" w:rsidRPr="0075204E" w:rsidRDefault="00F70C6A" w:rsidP="00F70C6A">
      <w:pPr>
        <w:autoSpaceDE w:val="0"/>
        <w:autoSpaceDN w:val="0"/>
        <w:adjustRightInd w:val="0"/>
        <w:spacing w:after="0" w:line="240" w:lineRule="auto"/>
        <w:ind w:left="567" w:hanging="567"/>
        <w:rPr>
          <w:rFonts w:ascii="Arial" w:hAnsi="Arial"/>
          <w:szCs w:val="20"/>
        </w:rPr>
      </w:pPr>
      <w:r w:rsidRPr="0075204E">
        <w:rPr>
          <w:rFonts w:ascii="Arial" w:hAnsi="Arial"/>
          <w:szCs w:val="20"/>
        </w:rPr>
        <w:t xml:space="preserve">Johnson, A., Howden-Chapman P. &amp; Eaqub, S. (2018), </w:t>
      </w:r>
      <w:r w:rsidRPr="0075204E">
        <w:rPr>
          <w:rFonts w:ascii="Arial" w:hAnsi="Arial"/>
          <w:i/>
          <w:iCs/>
          <w:szCs w:val="20"/>
        </w:rPr>
        <w:t>A Stocktake of New Zealand Housing</w:t>
      </w:r>
      <w:r w:rsidRPr="0075204E">
        <w:rPr>
          <w:rFonts w:ascii="Arial" w:hAnsi="Arial"/>
          <w:szCs w:val="20"/>
        </w:rPr>
        <w:t>. Wellington: Ministry of Business, Innovation and Employment.</w:t>
      </w:r>
    </w:p>
    <w:p w14:paraId="45A983D9" w14:textId="77777777" w:rsidR="00F70C6A" w:rsidRPr="0075204E" w:rsidRDefault="00F70C6A" w:rsidP="008C0875">
      <w:pPr>
        <w:spacing w:after="0" w:line="240" w:lineRule="auto"/>
        <w:ind w:left="567" w:hanging="567"/>
        <w:rPr>
          <w:rFonts w:ascii="Arial" w:hAnsi="Arial"/>
          <w:color w:val="000000" w:themeColor="text1"/>
          <w:szCs w:val="20"/>
          <w:shd w:val="clear" w:color="auto" w:fill="FFFFFF"/>
        </w:rPr>
      </w:pPr>
    </w:p>
    <w:p w14:paraId="51960C00" w14:textId="42046BEC" w:rsidR="0031214D" w:rsidRPr="0075204E" w:rsidRDefault="0031214D" w:rsidP="0031214D">
      <w:pPr>
        <w:spacing w:after="0" w:line="240" w:lineRule="auto"/>
        <w:ind w:left="567" w:hanging="567"/>
        <w:rPr>
          <w:rFonts w:ascii="Arial" w:hAnsi="Arial"/>
          <w:szCs w:val="20"/>
        </w:rPr>
      </w:pPr>
      <w:r w:rsidRPr="0075204E">
        <w:rPr>
          <w:rFonts w:ascii="Arial" w:hAnsi="Arial"/>
          <w:szCs w:val="20"/>
        </w:rPr>
        <w:t xml:space="preserve">Massey University Real Estate Analysis Unit (2021), “Home Affordability Report”, </w:t>
      </w:r>
      <w:hyperlink r:id="rId41" w:history="1">
        <w:r w:rsidRPr="0075204E">
          <w:rPr>
            <w:rStyle w:val="Hyperlink"/>
            <w:rFonts w:ascii="Arial" w:hAnsi="Arial"/>
            <w:szCs w:val="20"/>
          </w:rPr>
          <w:t>https://www.massey.ac.nz/massey/learning/colleges/college-business/school-of-economics-and-finance/research/reau/home-affordability-report.cfm</w:t>
        </w:r>
      </w:hyperlink>
      <w:r w:rsidRPr="0075204E">
        <w:rPr>
          <w:rFonts w:ascii="Arial" w:hAnsi="Arial"/>
          <w:szCs w:val="20"/>
        </w:rPr>
        <w:t xml:space="preserve"> </w:t>
      </w:r>
    </w:p>
    <w:p w14:paraId="2BF164D0" w14:textId="77777777" w:rsidR="0031214D" w:rsidRPr="0075204E" w:rsidRDefault="0031214D" w:rsidP="00D700D5">
      <w:pPr>
        <w:spacing w:after="0" w:line="240" w:lineRule="auto"/>
        <w:ind w:left="567" w:hanging="567"/>
        <w:rPr>
          <w:rFonts w:ascii="Arial" w:hAnsi="Arial"/>
          <w:color w:val="000000" w:themeColor="text1"/>
          <w:szCs w:val="20"/>
          <w:shd w:val="clear" w:color="auto" w:fill="FFFFFF"/>
        </w:rPr>
      </w:pPr>
    </w:p>
    <w:p w14:paraId="7FFE726D" w14:textId="77777777" w:rsidR="0075204E" w:rsidRDefault="0075204E" w:rsidP="00D700D5">
      <w:pPr>
        <w:spacing w:after="0" w:line="240" w:lineRule="auto"/>
        <w:ind w:left="567" w:hanging="567"/>
        <w:rPr>
          <w:rFonts w:ascii="Arial" w:hAnsi="Arial"/>
          <w:szCs w:val="20"/>
        </w:rPr>
      </w:pPr>
      <w:r w:rsidRPr="0075204E">
        <w:rPr>
          <w:rFonts w:ascii="Arial" w:hAnsi="Arial"/>
          <w:szCs w:val="20"/>
        </w:rPr>
        <w:t>OECD</w:t>
      </w:r>
      <w:r>
        <w:rPr>
          <w:rFonts w:ascii="Arial" w:hAnsi="Arial"/>
          <w:szCs w:val="20"/>
        </w:rPr>
        <w:t xml:space="preserve"> </w:t>
      </w:r>
      <w:r w:rsidRPr="0075204E">
        <w:rPr>
          <w:rFonts w:ascii="Arial" w:hAnsi="Arial"/>
          <w:szCs w:val="20"/>
        </w:rPr>
        <w:t xml:space="preserve">(2017) OECD Environmental Performance Reviews: New Zealand 2017. Paris: OECD. </w:t>
      </w:r>
    </w:p>
    <w:p w14:paraId="33C24B7C" w14:textId="77777777" w:rsidR="0075204E" w:rsidRDefault="0075204E" w:rsidP="00D700D5">
      <w:pPr>
        <w:spacing w:after="0" w:line="240" w:lineRule="auto"/>
        <w:ind w:left="567" w:hanging="567"/>
        <w:rPr>
          <w:rFonts w:ascii="Arial" w:hAnsi="Arial"/>
          <w:szCs w:val="20"/>
        </w:rPr>
      </w:pPr>
    </w:p>
    <w:p w14:paraId="2851EAA4" w14:textId="5F78AE44" w:rsidR="00D700D5" w:rsidRPr="0075204E" w:rsidRDefault="00DC107E" w:rsidP="00D700D5">
      <w:pPr>
        <w:spacing w:after="0" w:line="240" w:lineRule="auto"/>
        <w:ind w:left="567" w:hanging="567"/>
        <w:rPr>
          <w:rFonts w:ascii="Arial" w:hAnsi="Arial"/>
          <w:color w:val="0000FF"/>
          <w:szCs w:val="20"/>
          <w:shd w:val="clear" w:color="auto" w:fill="FFFFFF"/>
        </w:rPr>
      </w:pPr>
      <w:r w:rsidRPr="0075204E">
        <w:rPr>
          <w:rFonts w:ascii="Arial" w:hAnsi="Arial"/>
          <w:color w:val="000000" w:themeColor="text1"/>
          <w:szCs w:val="20"/>
          <w:shd w:val="clear" w:color="auto" w:fill="FFFFFF"/>
        </w:rPr>
        <w:t>OECD (2019</w:t>
      </w:r>
      <w:r w:rsidR="00D700D5" w:rsidRPr="0075204E">
        <w:rPr>
          <w:rFonts w:ascii="Arial" w:hAnsi="Arial"/>
          <w:color w:val="000000" w:themeColor="text1"/>
          <w:szCs w:val="20"/>
          <w:shd w:val="clear" w:color="auto" w:fill="FFFFFF"/>
        </w:rPr>
        <w:t>a</w:t>
      </w:r>
      <w:r w:rsidRPr="0075204E">
        <w:rPr>
          <w:rFonts w:ascii="Arial" w:hAnsi="Arial"/>
          <w:color w:val="000000" w:themeColor="text1"/>
          <w:szCs w:val="20"/>
          <w:shd w:val="clear" w:color="auto" w:fill="FFFFFF"/>
        </w:rPr>
        <w:t>), </w:t>
      </w:r>
      <w:r w:rsidRPr="0075204E">
        <w:rPr>
          <w:rFonts w:ascii="Arial" w:hAnsi="Arial"/>
          <w:i/>
          <w:iCs/>
          <w:color w:val="000000" w:themeColor="text1"/>
          <w:szCs w:val="20"/>
          <w:shd w:val="clear" w:color="auto" w:fill="FFFFFF"/>
        </w:rPr>
        <w:t>Under Pressure: The Squeezed Middle Class</w:t>
      </w:r>
      <w:r w:rsidRPr="0075204E">
        <w:rPr>
          <w:rFonts w:ascii="Arial" w:hAnsi="Arial"/>
          <w:color w:val="000000" w:themeColor="text1"/>
          <w:szCs w:val="20"/>
          <w:shd w:val="clear" w:color="auto" w:fill="FFFFFF"/>
        </w:rPr>
        <w:t>, OECD Publishing, Paris, </w:t>
      </w:r>
      <w:hyperlink r:id="rId42" w:history="1">
        <w:r w:rsidRPr="0075204E">
          <w:rPr>
            <w:rStyle w:val="Hyperlink"/>
            <w:rFonts w:ascii="Arial" w:hAnsi="Arial"/>
            <w:color w:val="0000FF"/>
            <w:szCs w:val="20"/>
            <w:shd w:val="clear" w:color="auto" w:fill="FFFFFF"/>
          </w:rPr>
          <w:t>https://doi.org/10.1787/689afed1-en</w:t>
        </w:r>
      </w:hyperlink>
    </w:p>
    <w:p w14:paraId="39F6DB95" w14:textId="77777777" w:rsidR="00D700D5" w:rsidRPr="0075204E" w:rsidRDefault="00D700D5" w:rsidP="00D700D5">
      <w:pPr>
        <w:spacing w:after="0" w:line="240" w:lineRule="auto"/>
        <w:ind w:left="567" w:hanging="567"/>
        <w:rPr>
          <w:rFonts w:ascii="Arial" w:hAnsi="Arial"/>
          <w:color w:val="000000" w:themeColor="text1"/>
          <w:szCs w:val="20"/>
          <w:shd w:val="clear" w:color="auto" w:fill="FFFFFF"/>
        </w:rPr>
      </w:pPr>
    </w:p>
    <w:p w14:paraId="5FC6B8AE" w14:textId="4E52C5CF" w:rsidR="00D700D5" w:rsidRPr="0075204E" w:rsidRDefault="00D700D5" w:rsidP="00D700D5">
      <w:pPr>
        <w:spacing w:after="0" w:line="240" w:lineRule="auto"/>
        <w:ind w:left="567" w:hanging="567"/>
        <w:rPr>
          <w:rFonts w:ascii="Arial" w:hAnsi="Arial"/>
          <w:color w:val="0000FF"/>
          <w:szCs w:val="20"/>
          <w:shd w:val="clear" w:color="auto" w:fill="FFFFFF"/>
        </w:rPr>
      </w:pPr>
      <w:r w:rsidRPr="0075204E">
        <w:rPr>
          <w:rFonts w:ascii="Arial" w:hAnsi="Arial"/>
          <w:color w:val="000000" w:themeColor="text1"/>
          <w:szCs w:val="20"/>
          <w:shd w:val="clear" w:color="auto" w:fill="FFFFFF"/>
        </w:rPr>
        <w:t>OECD (2019b), </w:t>
      </w:r>
      <w:r w:rsidRPr="0075204E">
        <w:rPr>
          <w:rFonts w:ascii="Arial" w:hAnsi="Arial"/>
          <w:i/>
          <w:iCs/>
          <w:color w:val="000000" w:themeColor="text1"/>
          <w:szCs w:val="20"/>
          <w:shd w:val="clear" w:color="auto" w:fill="FFFFFF"/>
        </w:rPr>
        <w:t>OECD Economic Surveys: New Zealand 2019</w:t>
      </w:r>
      <w:r w:rsidRPr="0075204E">
        <w:rPr>
          <w:rFonts w:ascii="Arial" w:hAnsi="Arial"/>
          <w:color w:val="000000" w:themeColor="text1"/>
          <w:szCs w:val="20"/>
          <w:shd w:val="clear" w:color="auto" w:fill="FFFFFF"/>
        </w:rPr>
        <w:t>, OECD Publishing, Paris</w:t>
      </w:r>
      <w:r w:rsidRPr="0075204E">
        <w:rPr>
          <w:rFonts w:ascii="Arial" w:hAnsi="Arial"/>
          <w:color w:val="7F7F7F"/>
          <w:szCs w:val="20"/>
          <w:shd w:val="clear" w:color="auto" w:fill="FFFFFF"/>
        </w:rPr>
        <w:t>, </w:t>
      </w:r>
      <w:hyperlink r:id="rId43" w:history="1">
        <w:r w:rsidRPr="0075204E">
          <w:rPr>
            <w:rStyle w:val="Hyperlink"/>
            <w:rFonts w:ascii="Arial" w:hAnsi="Arial"/>
            <w:color w:val="0000FF"/>
            <w:szCs w:val="20"/>
            <w:shd w:val="clear" w:color="auto" w:fill="FFFFFF"/>
          </w:rPr>
          <w:t>https://doi.org/10.1787/b0b94dbd-en</w:t>
        </w:r>
      </w:hyperlink>
    </w:p>
    <w:p w14:paraId="012572D1" w14:textId="77777777" w:rsidR="00D700D5" w:rsidRPr="0075204E" w:rsidRDefault="00D700D5" w:rsidP="008C0875">
      <w:pPr>
        <w:spacing w:after="0" w:line="240" w:lineRule="auto"/>
        <w:ind w:left="567" w:hanging="567"/>
        <w:rPr>
          <w:rFonts w:ascii="Arial" w:hAnsi="Arial"/>
          <w:color w:val="0000FF"/>
          <w:szCs w:val="20"/>
          <w:shd w:val="clear" w:color="auto" w:fill="FFFFFF"/>
        </w:rPr>
      </w:pPr>
    </w:p>
    <w:p w14:paraId="37F78328" w14:textId="23AC761F" w:rsidR="0006755D" w:rsidRPr="008C0875" w:rsidRDefault="0006755D" w:rsidP="008C0875">
      <w:pPr>
        <w:spacing w:after="0" w:line="240" w:lineRule="auto"/>
        <w:ind w:left="567" w:hanging="567"/>
        <w:rPr>
          <w:rFonts w:ascii="Arial" w:hAnsi="Arial"/>
          <w:color w:val="0000FF"/>
          <w:szCs w:val="20"/>
          <w:shd w:val="clear" w:color="auto" w:fill="FFFFFF"/>
        </w:rPr>
      </w:pPr>
      <w:r w:rsidRPr="008C0875">
        <w:rPr>
          <w:rFonts w:ascii="Arial" w:hAnsi="Arial"/>
          <w:color w:val="000000" w:themeColor="text1"/>
          <w:szCs w:val="20"/>
          <w:shd w:val="clear" w:color="auto" w:fill="FFFFFF"/>
        </w:rPr>
        <w:t>OECD (2020</w:t>
      </w:r>
      <w:r w:rsidR="00BA2827">
        <w:rPr>
          <w:rFonts w:ascii="Arial" w:hAnsi="Arial"/>
          <w:color w:val="000000" w:themeColor="text1"/>
          <w:szCs w:val="20"/>
          <w:shd w:val="clear" w:color="auto" w:fill="FFFFFF"/>
        </w:rPr>
        <w:t>a</w:t>
      </w:r>
      <w:r w:rsidRPr="008C0875">
        <w:rPr>
          <w:rFonts w:ascii="Arial" w:hAnsi="Arial"/>
          <w:color w:val="000000" w:themeColor="text1"/>
          <w:szCs w:val="20"/>
          <w:shd w:val="clear" w:color="auto" w:fill="FFFFFF"/>
        </w:rPr>
        <w:t>), "Housing overburden rates, by age", in </w:t>
      </w:r>
      <w:r w:rsidRPr="008C0875">
        <w:rPr>
          <w:rFonts w:ascii="Arial" w:hAnsi="Arial"/>
          <w:i/>
          <w:iCs/>
          <w:color w:val="000000" w:themeColor="text1"/>
          <w:szCs w:val="20"/>
          <w:shd w:val="clear" w:color="auto" w:fill="FFFFFF"/>
        </w:rPr>
        <w:t>Housing and Inclusive Growth</w:t>
      </w:r>
      <w:r w:rsidRPr="008C0875">
        <w:rPr>
          <w:rFonts w:ascii="Arial" w:hAnsi="Arial"/>
          <w:color w:val="000000" w:themeColor="text1"/>
          <w:szCs w:val="20"/>
          <w:shd w:val="clear" w:color="auto" w:fill="FFFFFF"/>
        </w:rPr>
        <w:t>, OECD Publishing, Paris, </w:t>
      </w:r>
      <w:hyperlink r:id="rId44" w:history="1">
        <w:r w:rsidR="00D700D5" w:rsidRPr="00A321CA">
          <w:rPr>
            <w:rStyle w:val="Hyperlink"/>
            <w:rFonts w:ascii="Arial" w:hAnsi="Arial"/>
            <w:szCs w:val="20"/>
            <w:shd w:val="clear" w:color="auto" w:fill="FFFFFF"/>
          </w:rPr>
          <w:t>https://doi.org/10.1787/196db741-en</w:t>
        </w:r>
      </w:hyperlink>
    </w:p>
    <w:p w14:paraId="5A726642" w14:textId="71C9CBAA" w:rsidR="008C0875" w:rsidRDefault="008C0875" w:rsidP="008C0875">
      <w:pPr>
        <w:spacing w:after="0" w:line="240" w:lineRule="auto"/>
        <w:ind w:left="567" w:hanging="567"/>
        <w:rPr>
          <w:rFonts w:ascii="Arial" w:hAnsi="Arial"/>
          <w:b/>
          <w:bCs/>
          <w:color w:val="0000FF"/>
        </w:rPr>
      </w:pPr>
    </w:p>
    <w:p w14:paraId="6CE1566E" w14:textId="77777777" w:rsidR="00BA2827" w:rsidRDefault="00BA2827" w:rsidP="00BA2827">
      <w:pPr>
        <w:autoSpaceDE w:val="0"/>
        <w:autoSpaceDN w:val="0"/>
        <w:adjustRightInd w:val="0"/>
        <w:spacing w:after="0" w:line="240" w:lineRule="auto"/>
        <w:ind w:left="567" w:hanging="567"/>
        <w:rPr>
          <w:rFonts w:ascii="Arial" w:hAnsi="Arial"/>
          <w:szCs w:val="20"/>
        </w:rPr>
      </w:pPr>
      <w:r w:rsidRPr="00521163">
        <w:rPr>
          <w:rFonts w:ascii="Arial" w:hAnsi="Arial"/>
          <w:szCs w:val="20"/>
        </w:rPr>
        <w:t>OECD (2020</w:t>
      </w:r>
      <w:r>
        <w:rPr>
          <w:rFonts w:ascii="Arial" w:hAnsi="Arial"/>
          <w:szCs w:val="20"/>
        </w:rPr>
        <w:t>b</w:t>
      </w:r>
      <w:r w:rsidRPr="00521163">
        <w:rPr>
          <w:rFonts w:ascii="Arial" w:hAnsi="Arial"/>
          <w:szCs w:val="20"/>
        </w:rPr>
        <w:t xml:space="preserve">), “Social housing: A key part of past and future housing policy”, Employment, Labour and Social Affairs Policy Briefs, OECD, Paris, </w:t>
      </w:r>
      <w:hyperlink r:id="rId45" w:history="1">
        <w:r w:rsidRPr="008A054E">
          <w:rPr>
            <w:rStyle w:val="Hyperlink"/>
            <w:rFonts w:ascii="Arial" w:hAnsi="Arial"/>
            <w:szCs w:val="20"/>
          </w:rPr>
          <w:t>http://oe.cd/social-housing-2020</w:t>
        </w:r>
      </w:hyperlink>
    </w:p>
    <w:p w14:paraId="56348AAE" w14:textId="77777777" w:rsidR="00BA2827" w:rsidRDefault="00BA2827" w:rsidP="00521163">
      <w:pPr>
        <w:autoSpaceDE w:val="0"/>
        <w:autoSpaceDN w:val="0"/>
        <w:adjustRightInd w:val="0"/>
        <w:spacing w:after="0" w:line="240" w:lineRule="auto"/>
        <w:ind w:left="567" w:hanging="567"/>
        <w:rPr>
          <w:rFonts w:ascii="Arial" w:hAnsi="Arial"/>
          <w:color w:val="000000"/>
          <w:szCs w:val="20"/>
        </w:rPr>
      </w:pPr>
    </w:p>
    <w:p w14:paraId="2CB29B66" w14:textId="1BBDAA22" w:rsidR="00521163" w:rsidRPr="003E5A92" w:rsidRDefault="008C0875" w:rsidP="00521163">
      <w:pPr>
        <w:autoSpaceDE w:val="0"/>
        <w:autoSpaceDN w:val="0"/>
        <w:adjustRightInd w:val="0"/>
        <w:spacing w:after="0" w:line="240" w:lineRule="auto"/>
        <w:ind w:left="567" w:hanging="567"/>
        <w:rPr>
          <w:rFonts w:ascii="Arial" w:hAnsi="Arial"/>
          <w:color w:val="000000"/>
          <w:szCs w:val="20"/>
        </w:rPr>
      </w:pPr>
      <w:r w:rsidRPr="003E5A92">
        <w:rPr>
          <w:rFonts w:ascii="Arial" w:hAnsi="Arial"/>
          <w:color w:val="000000"/>
          <w:szCs w:val="20"/>
        </w:rPr>
        <w:t xml:space="preserve">OECD (2021), “Building for a better tomorrow: Policies to make housing more affordable”, Employment, Labour and Social Affairs Policy Briefs, OECD, Paris, </w:t>
      </w:r>
      <w:hyperlink r:id="rId46" w:history="1">
        <w:r w:rsidRPr="003E5A92">
          <w:rPr>
            <w:rStyle w:val="Hyperlink"/>
            <w:rFonts w:ascii="Arial" w:hAnsi="Arial"/>
            <w:szCs w:val="20"/>
          </w:rPr>
          <w:t>http://oe.cd/affordable-housing-2021</w:t>
        </w:r>
      </w:hyperlink>
      <w:r w:rsidRPr="003E5A92">
        <w:rPr>
          <w:rFonts w:ascii="Arial" w:hAnsi="Arial"/>
          <w:color w:val="000000"/>
          <w:szCs w:val="20"/>
        </w:rPr>
        <w:t xml:space="preserve">  </w:t>
      </w:r>
    </w:p>
    <w:p w14:paraId="381BD286" w14:textId="77777777" w:rsidR="00521163" w:rsidRPr="003E5A92" w:rsidRDefault="00521163" w:rsidP="00521163">
      <w:pPr>
        <w:autoSpaceDE w:val="0"/>
        <w:autoSpaceDN w:val="0"/>
        <w:adjustRightInd w:val="0"/>
        <w:spacing w:after="0" w:line="240" w:lineRule="auto"/>
        <w:ind w:left="567" w:hanging="567"/>
        <w:rPr>
          <w:rFonts w:ascii="Arial" w:hAnsi="Arial"/>
          <w:szCs w:val="20"/>
        </w:rPr>
      </w:pPr>
    </w:p>
    <w:p w14:paraId="2DC9EBDB" w14:textId="25DD2681" w:rsidR="003E5A92" w:rsidRPr="003E5A92" w:rsidRDefault="003E5A92" w:rsidP="002E0EE1">
      <w:pPr>
        <w:widowControl w:val="0"/>
        <w:autoSpaceDE w:val="0"/>
        <w:autoSpaceDN w:val="0"/>
        <w:adjustRightInd w:val="0"/>
        <w:spacing w:after="240" w:line="240" w:lineRule="auto"/>
        <w:ind w:left="425" w:hanging="425"/>
        <w:rPr>
          <w:rFonts w:ascii="Arial" w:hAnsi="Arial"/>
          <w:szCs w:val="20"/>
        </w:rPr>
      </w:pPr>
      <w:r w:rsidRPr="003E5A92">
        <w:rPr>
          <w:rFonts w:ascii="Arial" w:hAnsi="Arial"/>
          <w:color w:val="333333"/>
          <w:shd w:val="clear" w:color="auto" w:fill="FFFFFF"/>
        </w:rPr>
        <w:t>NZ Productivity Commission (2012), </w:t>
      </w:r>
      <w:r w:rsidRPr="003E5A92">
        <w:rPr>
          <w:rFonts w:ascii="Arial" w:hAnsi="Arial"/>
          <w:i/>
          <w:iCs/>
          <w:color w:val="333333"/>
          <w:shd w:val="clear" w:color="auto" w:fill="FFFFFF"/>
        </w:rPr>
        <w:t>Housing Affordability</w:t>
      </w:r>
      <w:r w:rsidRPr="003E5A92">
        <w:rPr>
          <w:rFonts w:ascii="Arial" w:hAnsi="Arial"/>
          <w:color w:val="333333"/>
          <w:shd w:val="clear" w:color="auto" w:fill="FFFFFF"/>
        </w:rPr>
        <w:t>, Final Inquiry Report, Wellington</w:t>
      </w:r>
      <w:r>
        <w:rPr>
          <w:rFonts w:ascii="Arial" w:hAnsi="Arial"/>
          <w:color w:val="333333"/>
          <w:shd w:val="clear" w:color="auto" w:fill="FFFFFF"/>
        </w:rPr>
        <w:t>.</w:t>
      </w:r>
    </w:p>
    <w:p w14:paraId="21BEC317" w14:textId="6A05687B" w:rsidR="003C32D8" w:rsidRDefault="002E0EE1" w:rsidP="002E0EE1">
      <w:pPr>
        <w:widowControl w:val="0"/>
        <w:autoSpaceDE w:val="0"/>
        <w:autoSpaceDN w:val="0"/>
        <w:adjustRightInd w:val="0"/>
        <w:spacing w:after="240" w:line="240" w:lineRule="auto"/>
        <w:ind w:left="425" w:hanging="425"/>
        <w:rPr>
          <w:rFonts w:ascii="Arial" w:hAnsi="Arial"/>
          <w:szCs w:val="20"/>
        </w:rPr>
      </w:pPr>
      <w:r w:rsidRPr="00A63A13">
        <w:rPr>
          <w:rFonts w:ascii="Arial" w:hAnsi="Arial"/>
          <w:szCs w:val="20"/>
        </w:rPr>
        <w:t>Perry, B. (201</w:t>
      </w:r>
      <w:r>
        <w:rPr>
          <w:rFonts w:ascii="Arial" w:hAnsi="Arial"/>
          <w:szCs w:val="20"/>
        </w:rPr>
        <w:t>9</w:t>
      </w:r>
      <w:r w:rsidRPr="00A63A13">
        <w:rPr>
          <w:rFonts w:ascii="Arial" w:hAnsi="Arial"/>
          <w:szCs w:val="20"/>
        </w:rPr>
        <w:t>)</w:t>
      </w:r>
      <w:r>
        <w:rPr>
          <w:rFonts w:ascii="Arial" w:hAnsi="Arial"/>
          <w:szCs w:val="20"/>
        </w:rPr>
        <w:t>,</w:t>
      </w:r>
      <w:r w:rsidRPr="00A63A13">
        <w:rPr>
          <w:rFonts w:ascii="Arial" w:hAnsi="Arial"/>
          <w:szCs w:val="20"/>
        </w:rPr>
        <w:t xml:space="preserve"> </w:t>
      </w:r>
      <w:r w:rsidRPr="00A63A13">
        <w:rPr>
          <w:rFonts w:ascii="Arial" w:hAnsi="Arial"/>
          <w:i/>
          <w:szCs w:val="20"/>
        </w:rPr>
        <w:t>Household Incomes in New Zealand: Trends in Indicators of Inequality and Hardship,</w:t>
      </w:r>
      <w:r w:rsidRPr="00A63A13">
        <w:rPr>
          <w:rFonts w:ascii="Arial" w:hAnsi="Arial"/>
          <w:szCs w:val="20"/>
        </w:rPr>
        <w:t xml:space="preserve"> 1982 to 201</w:t>
      </w:r>
      <w:r>
        <w:rPr>
          <w:rFonts w:ascii="Arial" w:hAnsi="Arial"/>
          <w:szCs w:val="20"/>
        </w:rPr>
        <w:t>8</w:t>
      </w:r>
      <w:r w:rsidRPr="00A63A13">
        <w:rPr>
          <w:rFonts w:ascii="Arial" w:hAnsi="Arial"/>
          <w:szCs w:val="20"/>
        </w:rPr>
        <w:t>. Wellington</w:t>
      </w:r>
      <w:r>
        <w:rPr>
          <w:rFonts w:ascii="Arial" w:hAnsi="Arial"/>
          <w:szCs w:val="20"/>
        </w:rPr>
        <w:t xml:space="preserve">: </w:t>
      </w:r>
      <w:r w:rsidRPr="00A63A13">
        <w:rPr>
          <w:rFonts w:ascii="Arial" w:hAnsi="Arial"/>
          <w:szCs w:val="20"/>
        </w:rPr>
        <w:t>Ministry of Social Development</w:t>
      </w:r>
      <w:r>
        <w:rPr>
          <w:rFonts w:ascii="Arial" w:hAnsi="Arial"/>
          <w:szCs w:val="20"/>
        </w:rPr>
        <w:t>.</w:t>
      </w:r>
    </w:p>
    <w:p w14:paraId="710915C2" w14:textId="20EA7FB1" w:rsidR="00E85AA1" w:rsidRDefault="00E85AA1" w:rsidP="00E85AA1">
      <w:pPr>
        <w:widowControl w:val="0"/>
        <w:autoSpaceDE w:val="0"/>
        <w:autoSpaceDN w:val="0"/>
        <w:adjustRightInd w:val="0"/>
        <w:spacing w:after="240" w:line="240" w:lineRule="auto"/>
        <w:ind w:left="425" w:hanging="425"/>
        <w:rPr>
          <w:rFonts w:ascii="Arial" w:hAnsi="Arial"/>
          <w:color w:val="000000"/>
          <w:szCs w:val="20"/>
        </w:rPr>
      </w:pPr>
      <w:r w:rsidRPr="00A63A13">
        <w:rPr>
          <w:rFonts w:ascii="Arial" w:hAnsi="Arial"/>
          <w:szCs w:val="20"/>
        </w:rPr>
        <w:t>Perry, B. (20</w:t>
      </w:r>
      <w:r>
        <w:rPr>
          <w:rFonts w:ascii="Arial" w:hAnsi="Arial"/>
          <w:szCs w:val="20"/>
        </w:rPr>
        <w:t>21</w:t>
      </w:r>
      <w:r w:rsidRPr="00A63A13">
        <w:rPr>
          <w:rFonts w:ascii="Arial" w:hAnsi="Arial"/>
          <w:szCs w:val="20"/>
        </w:rPr>
        <w:t>)</w:t>
      </w:r>
      <w:r>
        <w:rPr>
          <w:rFonts w:ascii="Arial" w:hAnsi="Arial"/>
          <w:szCs w:val="20"/>
        </w:rPr>
        <w:t>,</w:t>
      </w:r>
      <w:r w:rsidRPr="00A63A13">
        <w:rPr>
          <w:rFonts w:ascii="Arial" w:hAnsi="Arial"/>
          <w:szCs w:val="20"/>
        </w:rPr>
        <w:t xml:space="preserve"> </w:t>
      </w:r>
      <w:r>
        <w:rPr>
          <w:rFonts w:ascii="Arial" w:hAnsi="Arial"/>
          <w:i/>
          <w:szCs w:val="20"/>
        </w:rPr>
        <w:t>Child Poverty</w:t>
      </w:r>
      <w:r w:rsidRPr="00A63A13">
        <w:rPr>
          <w:rFonts w:ascii="Arial" w:hAnsi="Arial"/>
          <w:i/>
          <w:szCs w:val="20"/>
        </w:rPr>
        <w:t xml:space="preserve"> in New Zealand</w:t>
      </w:r>
      <w:r>
        <w:rPr>
          <w:rFonts w:ascii="Arial" w:hAnsi="Arial"/>
          <w:i/>
          <w:szCs w:val="20"/>
        </w:rPr>
        <w:t>.</w:t>
      </w:r>
      <w:r w:rsidRPr="00A63A13">
        <w:rPr>
          <w:rFonts w:ascii="Arial" w:hAnsi="Arial"/>
          <w:szCs w:val="20"/>
        </w:rPr>
        <w:t xml:space="preserve"> Wellington</w:t>
      </w:r>
      <w:r>
        <w:rPr>
          <w:rFonts w:ascii="Arial" w:hAnsi="Arial"/>
          <w:szCs w:val="20"/>
        </w:rPr>
        <w:t xml:space="preserve">: </w:t>
      </w:r>
      <w:r w:rsidRPr="00A63A13">
        <w:rPr>
          <w:rFonts w:ascii="Arial" w:hAnsi="Arial"/>
          <w:szCs w:val="20"/>
        </w:rPr>
        <w:t>Ministry of Social Development</w:t>
      </w:r>
      <w:r>
        <w:rPr>
          <w:rFonts w:ascii="Arial" w:hAnsi="Arial"/>
          <w:szCs w:val="20"/>
        </w:rPr>
        <w:t>.</w:t>
      </w:r>
    </w:p>
    <w:p w14:paraId="03CCDDEC" w14:textId="45A9E4E3" w:rsidR="009B50B7" w:rsidRDefault="00C74404" w:rsidP="009B50B7">
      <w:pPr>
        <w:autoSpaceDE w:val="0"/>
        <w:autoSpaceDN w:val="0"/>
        <w:adjustRightInd w:val="0"/>
        <w:spacing w:after="0" w:line="240" w:lineRule="auto"/>
        <w:ind w:left="567" w:hanging="567"/>
        <w:rPr>
          <w:rFonts w:ascii="Arial" w:hAnsi="Arial"/>
          <w:szCs w:val="20"/>
        </w:rPr>
      </w:pPr>
      <w:r w:rsidRPr="00C74404">
        <w:rPr>
          <w:rFonts w:ascii="Arial" w:hAnsi="Arial"/>
          <w:color w:val="000000"/>
          <w:szCs w:val="20"/>
        </w:rPr>
        <w:t xml:space="preserve">Salvi del Pero, A. et al. (2016), “Policies to promote access to good-quality affordable housing in OECD countries”, OECD Social, Employment and Migration Working Papers, No. 176, OECD Publishing, Paris. </w:t>
      </w:r>
      <w:hyperlink r:id="rId47" w:history="1">
        <w:r w:rsidRPr="00C74404">
          <w:rPr>
            <w:rStyle w:val="Hyperlink"/>
            <w:rFonts w:ascii="Arial" w:hAnsi="Arial"/>
            <w:szCs w:val="20"/>
          </w:rPr>
          <w:t>http://dx.doi.org/10.1787/5jm3p5gl4djd-en</w:t>
        </w:r>
      </w:hyperlink>
      <w:r>
        <w:rPr>
          <w:rFonts w:ascii="Arial" w:hAnsi="Arial"/>
          <w:color w:val="000000"/>
          <w:szCs w:val="20"/>
        </w:rPr>
        <w:t xml:space="preserve"> </w:t>
      </w:r>
    </w:p>
    <w:p w14:paraId="3B029313" w14:textId="77777777" w:rsidR="009B50B7" w:rsidRDefault="009B50B7" w:rsidP="009B50B7">
      <w:pPr>
        <w:autoSpaceDE w:val="0"/>
        <w:autoSpaceDN w:val="0"/>
        <w:adjustRightInd w:val="0"/>
        <w:spacing w:after="0" w:line="240" w:lineRule="auto"/>
        <w:ind w:left="567" w:hanging="567"/>
        <w:rPr>
          <w:rFonts w:ascii="Arial" w:hAnsi="Arial"/>
          <w:szCs w:val="20"/>
        </w:rPr>
      </w:pPr>
    </w:p>
    <w:p w14:paraId="1C19AA39" w14:textId="3D88541D" w:rsidR="001B2EC6" w:rsidRDefault="009B50B7" w:rsidP="001B2EC6">
      <w:pPr>
        <w:autoSpaceDE w:val="0"/>
        <w:autoSpaceDN w:val="0"/>
        <w:adjustRightInd w:val="0"/>
        <w:spacing w:after="0" w:line="240" w:lineRule="auto"/>
        <w:ind w:left="567" w:hanging="567"/>
        <w:rPr>
          <w:rFonts w:ascii="Arial" w:hAnsi="Arial"/>
        </w:rPr>
      </w:pPr>
      <w:r w:rsidRPr="009B50B7">
        <w:rPr>
          <w:rFonts w:ascii="Arial" w:hAnsi="Arial"/>
        </w:rPr>
        <w:t xml:space="preserve">Stats NZ (2020). Housing in Aotearoa: 2020. Retrieved from </w:t>
      </w:r>
      <w:hyperlink r:id="rId48" w:history="1">
        <w:r w:rsidR="00BB3BCB" w:rsidRPr="00015001">
          <w:rPr>
            <w:rStyle w:val="Hyperlink"/>
            <w:rFonts w:ascii="Arial" w:hAnsi="Arial"/>
          </w:rPr>
          <w:t>www.stats.govt.nz</w:t>
        </w:r>
      </w:hyperlink>
      <w:r w:rsidR="00BB3BCB">
        <w:rPr>
          <w:rFonts w:ascii="Arial" w:hAnsi="Arial"/>
        </w:rPr>
        <w:t xml:space="preserve"> </w:t>
      </w:r>
      <w:r w:rsidRPr="009B50B7">
        <w:rPr>
          <w:rFonts w:ascii="Arial" w:hAnsi="Arial"/>
        </w:rPr>
        <w:t>.</w:t>
      </w:r>
    </w:p>
    <w:p w14:paraId="320FB327" w14:textId="1F58B81C" w:rsidR="003A530F" w:rsidRDefault="003A530F" w:rsidP="001B2EC6">
      <w:pPr>
        <w:autoSpaceDE w:val="0"/>
        <w:autoSpaceDN w:val="0"/>
        <w:adjustRightInd w:val="0"/>
        <w:spacing w:after="0" w:line="240" w:lineRule="auto"/>
        <w:ind w:left="567" w:hanging="567"/>
        <w:rPr>
          <w:rFonts w:ascii="Arial" w:hAnsi="Arial"/>
        </w:rPr>
      </w:pPr>
    </w:p>
    <w:p w14:paraId="299BD4F4" w14:textId="5A4552C1" w:rsidR="003A530F" w:rsidRDefault="003A530F" w:rsidP="001B2EC6">
      <w:pPr>
        <w:autoSpaceDE w:val="0"/>
        <w:autoSpaceDN w:val="0"/>
        <w:adjustRightInd w:val="0"/>
        <w:spacing w:after="0" w:line="240" w:lineRule="auto"/>
        <w:ind w:left="567" w:hanging="567"/>
        <w:rPr>
          <w:rFonts w:ascii="Arial" w:hAnsi="Arial"/>
        </w:rPr>
      </w:pPr>
    </w:p>
    <w:p w14:paraId="3084A635" w14:textId="6BE90EE6" w:rsidR="003A530F" w:rsidRDefault="003A530F" w:rsidP="001B2EC6">
      <w:pPr>
        <w:autoSpaceDE w:val="0"/>
        <w:autoSpaceDN w:val="0"/>
        <w:adjustRightInd w:val="0"/>
        <w:spacing w:after="0" w:line="240" w:lineRule="auto"/>
        <w:ind w:left="567" w:hanging="567"/>
        <w:rPr>
          <w:rFonts w:ascii="Arial" w:hAnsi="Arial"/>
        </w:rPr>
      </w:pPr>
    </w:p>
    <w:p w14:paraId="0836C98D" w14:textId="77777777" w:rsidR="001B2EC6" w:rsidRDefault="001B2EC6" w:rsidP="001B2EC6">
      <w:pPr>
        <w:autoSpaceDE w:val="0"/>
        <w:autoSpaceDN w:val="0"/>
        <w:adjustRightInd w:val="0"/>
        <w:spacing w:after="0" w:line="240" w:lineRule="auto"/>
        <w:ind w:left="567" w:hanging="567"/>
        <w:rPr>
          <w:rFonts w:ascii="Arial" w:hAnsi="Arial"/>
        </w:rPr>
      </w:pPr>
    </w:p>
    <w:p w14:paraId="11CAB6B4" w14:textId="77777777" w:rsidR="00531A85" w:rsidRDefault="00531A85" w:rsidP="00531A85">
      <w:pPr>
        <w:spacing w:after="0" w:line="240" w:lineRule="auto"/>
        <w:rPr>
          <w:rFonts w:ascii="Arial" w:hAnsi="Arial"/>
        </w:rPr>
      </w:pPr>
    </w:p>
    <w:p w14:paraId="67A323E5" w14:textId="7886BF7D" w:rsidR="00531A85" w:rsidRDefault="00531A85" w:rsidP="00531A85">
      <w:pPr>
        <w:spacing w:after="0" w:line="240" w:lineRule="auto"/>
        <w:rPr>
          <w:rFonts w:ascii="Arial" w:hAnsi="Arial"/>
          <w:b/>
          <w:bCs/>
          <w:sz w:val="24"/>
          <w:szCs w:val="28"/>
        </w:rPr>
      </w:pPr>
      <w:r>
        <w:rPr>
          <w:rFonts w:ascii="Arial" w:hAnsi="Arial"/>
          <w:b/>
          <w:bCs/>
          <w:sz w:val="24"/>
          <w:szCs w:val="28"/>
        </w:rPr>
        <w:br w:type="page"/>
      </w:r>
    </w:p>
    <w:p w14:paraId="221BF219" w14:textId="71FB8078" w:rsidR="001D082A" w:rsidRPr="00FD23FD" w:rsidRDefault="001D082A" w:rsidP="001D082A">
      <w:pPr>
        <w:spacing w:after="0" w:line="240" w:lineRule="auto"/>
        <w:rPr>
          <w:rFonts w:ascii="Arial" w:hAnsi="Arial"/>
          <w:b/>
          <w:sz w:val="28"/>
        </w:rPr>
      </w:pPr>
      <w:r w:rsidRPr="00FD23FD">
        <w:rPr>
          <w:rFonts w:ascii="Arial" w:hAnsi="Arial"/>
          <w:b/>
          <w:sz w:val="28"/>
        </w:rPr>
        <w:lastRenderedPageBreak/>
        <w:t>Appendix</w:t>
      </w:r>
      <w:r>
        <w:rPr>
          <w:rFonts w:ascii="Arial" w:hAnsi="Arial"/>
          <w:b/>
          <w:sz w:val="28"/>
        </w:rPr>
        <w:t xml:space="preserve"> </w:t>
      </w:r>
      <w:r w:rsidR="00C56D87">
        <w:rPr>
          <w:rFonts w:ascii="Arial" w:hAnsi="Arial"/>
          <w:b/>
          <w:sz w:val="28"/>
        </w:rPr>
        <w:t>1</w:t>
      </w:r>
    </w:p>
    <w:p w14:paraId="25236D58" w14:textId="77777777" w:rsidR="001D082A" w:rsidRDefault="001D082A" w:rsidP="001D082A">
      <w:pPr>
        <w:spacing w:after="0" w:line="240" w:lineRule="auto"/>
        <w:rPr>
          <w:rFonts w:ascii="Arial" w:hAnsi="Arial"/>
        </w:rPr>
      </w:pPr>
    </w:p>
    <w:p w14:paraId="5B268EA7" w14:textId="737C7D62" w:rsidR="001D082A" w:rsidRDefault="00D47B4A" w:rsidP="001D082A">
      <w:pPr>
        <w:spacing w:after="0" w:line="240" w:lineRule="auto"/>
        <w:rPr>
          <w:rFonts w:ascii="Arial" w:hAnsi="Arial"/>
          <w:b/>
          <w:sz w:val="22"/>
        </w:rPr>
      </w:pPr>
      <w:r>
        <w:rPr>
          <w:rFonts w:ascii="Arial" w:hAnsi="Arial"/>
          <w:b/>
          <w:sz w:val="22"/>
        </w:rPr>
        <w:t xml:space="preserve">Higher OTIs for lower income households mean a higher likelihood of </w:t>
      </w:r>
      <w:r w:rsidR="001D082A">
        <w:rPr>
          <w:rFonts w:ascii="Arial" w:hAnsi="Arial"/>
          <w:b/>
          <w:sz w:val="22"/>
        </w:rPr>
        <w:t>higher levels of material and financial hardship</w:t>
      </w:r>
    </w:p>
    <w:p w14:paraId="713B73A8" w14:textId="77777777" w:rsidR="001D082A" w:rsidRDefault="001D082A" w:rsidP="001D082A">
      <w:pPr>
        <w:spacing w:after="0" w:line="240" w:lineRule="auto"/>
        <w:rPr>
          <w:rFonts w:ascii="Arial" w:hAnsi="Arial"/>
          <w:b/>
          <w:sz w:val="22"/>
        </w:rPr>
      </w:pPr>
    </w:p>
    <w:p w14:paraId="728C5545" w14:textId="39EFD126" w:rsidR="00583E83" w:rsidRDefault="001D082A" w:rsidP="001D082A">
      <w:pPr>
        <w:spacing w:after="0" w:line="240" w:lineRule="auto"/>
        <w:rPr>
          <w:rFonts w:ascii="Arial" w:hAnsi="Arial"/>
          <w:bCs/>
          <w:szCs w:val="20"/>
        </w:rPr>
      </w:pPr>
      <w:r w:rsidRPr="001D082A">
        <w:rPr>
          <w:rFonts w:ascii="Arial" w:hAnsi="Arial"/>
          <w:b/>
          <w:szCs w:val="20"/>
        </w:rPr>
        <w:t xml:space="preserve">Table </w:t>
      </w:r>
      <w:r w:rsidR="00583E83">
        <w:rPr>
          <w:rFonts w:ascii="Arial" w:hAnsi="Arial"/>
          <w:b/>
          <w:szCs w:val="20"/>
        </w:rPr>
        <w:t>1</w:t>
      </w:r>
      <w:r w:rsidRPr="001D082A">
        <w:rPr>
          <w:rFonts w:ascii="Arial" w:hAnsi="Arial"/>
          <w:b/>
          <w:szCs w:val="20"/>
        </w:rPr>
        <w:t>.1</w:t>
      </w:r>
      <w:r w:rsidR="00583E83" w:rsidRPr="00583E83">
        <w:rPr>
          <w:rFonts w:ascii="Arial" w:hAnsi="Arial"/>
          <w:bCs/>
          <w:szCs w:val="20"/>
        </w:rPr>
        <w:t xml:space="preserve"> provides a profile of the relative levels of material and financial hardship for low-income households with lower and higher OTIs.</w:t>
      </w:r>
      <w:r w:rsidR="00583E83">
        <w:rPr>
          <w:rFonts w:ascii="Arial" w:hAnsi="Arial"/>
          <w:bCs/>
          <w:szCs w:val="20"/>
        </w:rPr>
        <w:t xml:space="preserve"> Higher OTIs are 42% and above, and lower are 38% and below. The profiles are reported for </w:t>
      </w:r>
      <w:r w:rsidR="00FC3590">
        <w:rPr>
          <w:rFonts w:ascii="Arial" w:hAnsi="Arial"/>
          <w:bCs/>
          <w:szCs w:val="20"/>
        </w:rPr>
        <w:t>the two</w:t>
      </w:r>
      <w:r w:rsidR="00583E83">
        <w:rPr>
          <w:rFonts w:ascii="Arial" w:hAnsi="Arial"/>
          <w:bCs/>
          <w:szCs w:val="20"/>
        </w:rPr>
        <w:t xml:space="preserve"> lower BHC household income quintiles (Q1 and Q2).</w:t>
      </w:r>
    </w:p>
    <w:p w14:paraId="5CED5D86" w14:textId="77777777" w:rsidR="00583E83" w:rsidRDefault="00583E83" w:rsidP="001D082A">
      <w:pPr>
        <w:spacing w:after="0" w:line="240" w:lineRule="auto"/>
        <w:rPr>
          <w:rFonts w:ascii="Arial" w:hAnsi="Arial"/>
          <w:bCs/>
          <w:szCs w:val="20"/>
        </w:rPr>
      </w:pPr>
    </w:p>
    <w:p w14:paraId="445AE03E" w14:textId="77777777" w:rsidR="00885D46" w:rsidRDefault="00583E83" w:rsidP="001D082A">
      <w:pPr>
        <w:spacing w:after="0" w:line="240" w:lineRule="auto"/>
        <w:rPr>
          <w:rFonts w:ascii="Arial" w:hAnsi="Arial"/>
          <w:bCs/>
          <w:szCs w:val="20"/>
        </w:rPr>
      </w:pPr>
      <w:r>
        <w:rPr>
          <w:rFonts w:ascii="Arial" w:hAnsi="Arial"/>
          <w:bCs/>
          <w:szCs w:val="20"/>
        </w:rPr>
        <w:t>Probably the clearest evidence of the difference is in the</w:t>
      </w:r>
      <w:r w:rsidR="00885D46">
        <w:rPr>
          <w:rFonts w:ascii="Arial" w:hAnsi="Arial"/>
          <w:bCs/>
          <w:szCs w:val="20"/>
        </w:rPr>
        <w:t xml:space="preserve"> three shaded rows:</w:t>
      </w:r>
    </w:p>
    <w:p w14:paraId="51346164" w14:textId="255105BC" w:rsidR="00885D46" w:rsidRPr="00885D46" w:rsidRDefault="00D579AE" w:rsidP="00885D46">
      <w:pPr>
        <w:pStyle w:val="ListParagraph"/>
        <w:numPr>
          <w:ilvl w:val="0"/>
          <w:numId w:val="28"/>
        </w:numPr>
        <w:spacing w:before="120" w:after="0" w:line="240" w:lineRule="auto"/>
        <w:ind w:left="714" w:hanging="357"/>
        <w:contextualSpacing w:val="0"/>
        <w:rPr>
          <w:rFonts w:ascii="Arial" w:hAnsi="Arial"/>
          <w:bCs/>
          <w:szCs w:val="20"/>
        </w:rPr>
      </w:pPr>
      <w:r>
        <w:rPr>
          <w:rFonts w:ascii="Arial" w:hAnsi="Arial"/>
          <w:bCs/>
          <w:szCs w:val="20"/>
        </w:rPr>
        <w:t xml:space="preserve">the </w:t>
      </w:r>
      <w:r w:rsidR="00885D46" w:rsidRPr="00885D46">
        <w:rPr>
          <w:rFonts w:ascii="Arial" w:hAnsi="Arial"/>
          <w:bCs/>
          <w:szCs w:val="20"/>
        </w:rPr>
        <w:t xml:space="preserve">median AHC income </w:t>
      </w:r>
      <w:r>
        <w:rPr>
          <w:rFonts w:ascii="Arial" w:hAnsi="Arial"/>
          <w:bCs/>
          <w:szCs w:val="20"/>
        </w:rPr>
        <w:t xml:space="preserve">level </w:t>
      </w:r>
      <w:r w:rsidR="00885D46" w:rsidRPr="00885D46">
        <w:rPr>
          <w:rFonts w:ascii="Arial" w:hAnsi="Arial"/>
          <w:bCs/>
          <w:szCs w:val="20"/>
        </w:rPr>
        <w:t xml:space="preserve">is </w:t>
      </w:r>
      <w:r>
        <w:rPr>
          <w:rFonts w:ascii="Arial" w:hAnsi="Arial"/>
          <w:bCs/>
          <w:szCs w:val="20"/>
        </w:rPr>
        <w:t xml:space="preserve">close to </w:t>
      </w:r>
      <w:r w:rsidR="00885D46" w:rsidRPr="00885D46">
        <w:rPr>
          <w:rFonts w:ascii="Arial" w:hAnsi="Arial"/>
          <w:bCs/>
          <w:szCs w:val="20"/>
        </w:rPr>
        <w:t>unliveable for Q1 households</w:t>
      </w:r>
      <w:r w:rsidR="00885D46">
        <w:rPr>
          <w:rFonts w:ascii="Arial" w:hAnsi="Arial"/>
          <w:bCs/>
          <w:szCs w:val="20"/>
        </w:rPr>
        <w:t xml:space="preserve"> ($5600 equivalised, which is around $220 pw for a two adult, two child household … to cover food</w:t>
      </w:r>
      <w:r w:rsidR="00D358D3">
        <w:rPr>
          <w:rFonts w:ascii="Arial" w:hAnsi="Arial"/>
          <w:bCs/>
          <w:szCs w:val="20"/>
        </w:rPr>
        <w:t>, groceries</w:t>
      </w:r>
      <w:r w:rsidR="00885D46">
        <w:rPr>
          <w:rFonts w:ascii="Arial" w:hAnsi="Arial"/>
          <w:bCs/>
          <w:szCs w:val="20"/>
        </w:rPr>
        <w:t xml:space="preserve"> and personal items, electricity, transport, medical and so on).</w:t>
      </w:r>
    </w:p>
    <w:p w14:paraId="7EFB3DD5" w14:textId="720DCC05" w:rsidR="00885D46" w:rsidRPr="00885D46" w:rsidRDefault="00885D46" w:rsidP="00885D46">
      <w:pPr>
        <w:pStyle w:val="ListParagraph"/>
        <w:numPr>
          <w:ilvl w:val="0"/>
          <w:numId w:val="28"/>
        </w:numPr>
        <w:spacing w:before="120" w:after="0" w:line="240" w:lineRule="auto"/>
        <w:ind w:left="714" w:hanging="357"/>
        <w:contextualSpacing w:val="0"/>
        <w:rPr>
          <w:rFonts w:ascii="Arial" w:hAnsi="Arial"/>
          <w:bCs/>
          <w:szCs w:val="20"/>
        </w:rPr>
      </w:pPr>
      <w:r w:rsidRPr="00885D46">
        <w:rPr>
          <w:rFonts w:ascii="Arial" w:hAnsi="Arial"/>
          <w:bCs/>
          <w:szCs w:val="20"/>
        </w:rPr>
        <w:t>the high OTI households have extremely high median OTIs – those in Q1 with high OTIs spend</w:t>
      </w:r>
      <w:r w:rsidR="00D579AE">
        <w:rPr>
          <w:rFonts w:ascii="Arial" w:hAnsi="Arial"/>
          <w:bCs/>
          <w:szCs w:val="20"/>
        </w:rPr>
        <w:t xml:space="preserve"> on average </w:t>
      </w:r>
      <w:r w:rsidRPr="00885D46">
        <w:rPr>
          <w:rFonts w:ascii="Arial" w:hAnsi="Arial"/>
          <w:bCs/>
          <w:szCs w:val="20"/>
        </w:rPr>
        <w:t>two thirds</w:t>
      </w:r>
      <w:r w:rsidR="00D579AE">
        <w:rPr>
          <w:rFonts w:ascii="Arial" w:hAnsi="Arial"/>
          <w:bCs/>
          <w:szCs w:val="20"/>
        </w:rPr>
        <w:t xml:space="preserve"> (65%)</w:t>
      </w:r>
      <w:r w:rsidRPr="00885D46">
        <w:rPr>
          <w:rFonts w:ascii="Arial" w:hAnsi="Arial"/>
          <w:bCs/>
          <w:szCs w:val="20"/>
        </w:rPr>
        <w:t xml:space="preserve"> of their income on housing costs</w:t>
      </w:r>
    </w:p>
    <w:p w14:paraId="17510A39" w14:textId="5B5E875B" w:rsidR="009C26A8" w:rsidRPr="00885D46" w:rsidRDefault="00885D46" w:rsidP="00885D46">
      <w:pPr>
        <w:pStyle w:val="ListParagraph"/>
        <w:numPr>
          <w:ilvl w:val="0"/>
          <w:numId w:val="28"/>
        </w:numPr>
        <w:spacing w:before="120" w:after="0" w:line="240" w:lineRule="auto"/>
        <w:ind w:left="714" w:hanging="357"/>
        <w:contextualSpacing w:val="0"/>
        <w:rPr>
          <w:rFonts w:ascii="Arial" w:hAnsi="Arial"/>
          <w:bCs/>
          <w:szCs w:val="20"/>
        </w:rPr>
      </w:pPr>
      <w:r w:rsidRPr="00885D46">
        <w:rPr>
          <w:rFonts w:ascii="Arial" w:hAnsi="Arial"/>
          <w:bCs/>
          <w:szCs w:val="20"/>
        </w:rPr>
        <w:t>material hardship</w:t>
      </w:r>
      <w:r w:rsidR="00583E83" w:rsidRPr="00885D46">
        <w:rPr>
          <w:rFonts w:ascii="Arial" w:hAnsi="Arial"/>
          <w:bCs/>
          <w:szCs w:val="20"/>
        </w:rPr>
        <w:t xml:space="preserve"> rates for those with higher OTIs are much greater </w:t>
      </w:r>
      <w:r w:rsidR="00D579AE">
        <w:rPr>
          <w:rFonts w:ascii="Arial" w:hAnsi="Arial"/>
          <w:bCs/>
          <w:szCs w:val="20"/>
        </w:rPr>
        <w:t xml:space="preserve">than those with lower  OTIs </w:t>
      </w:r>
      <w:r w:rsidR="00583E83" w:rsidRPr="00885D46">
        <w:rPr>
          <w:rFonts w:ascii="Arial" w:hAnsi="Arial"/>
          <w:bCs/>
          <w:szCs w:val="20"/>
        </w:rPr>
        <w:t>for both income bands, double for Q1 and triple for Q2.</w:t>
      </w:r>
    </w:p>
    <w:p w14:paraId="34C83CCE" w14:textId="77777777" w:rsidR="009C26A8" w:rsidRDefault="009C26A8" w:rsidP="001D082A">
      <w:pPr>
        <w:spacing w:after="0" w:line="240" w:lineRule="auto"/>
        <w:rPr>
          <w:rFonts w:ascii="Arial" w:hAnsi="Arial"/>
          <w:bCs/>
          <w:szCs w:val="20"/>
        </w:rPr>
      </w:pPr>
    </w:p>
    <w:p w14:paraId="09659441" w14:textId="77777777" w:rsidR="006B7C3E" w:rsidRPr="00657FB4" w:rsidRDefault="006B7C3E" w:rsidP="006B7C3E">
      <w:pPr>
        <w:spacing w:after="0" w:line="240" w:lineRule="auto"/>
        <w:jc w:val="center"/>
        <w:rPr>
          <w:rFonts w:ascii="Arial" w:eastAsia="Times New Roman" w:hAnsi="Arial" w:cs="Times New Roman"/>
          <w:b/>
          <w:color w:val="000000" w:themeColor="text1"/>
          <w:sz w:val="18"/>
          <w:szCs w:val="18"/>
          <w:lang w:val="en-GB"/>
        </w:rPr>
      </w:pPr>
      <w:r w:rsidRPr="00657FB4">
        <w:rPr>
          <w:rFonts w:ascii="Arial" w:eastAsia="Times New Roman" w:hAnsi="Arial" w:cs="Times New Roman"/>
          <w:b/>
          <w:color w:val="000000" w:themeColor="text1"/>
          <w:sz w:val="18"/>
          <w:szCs w:val="18"/>
          <w:lang w:val="en-GB"/>
        </w:rPr>
        <w:t>Table 1.1</w:t>
      </w:r>
    </w:p>
    <w:p w14:paraId="18F52967" w14:textId="058F31B7" w:rsidR="006B7C3E" w:rsidRPr="00657FB4" w:rsidRDefault="006B7C3E" w:rsidP="006B7C3E">
      <w:pPr>
        <w:spacing w:line="240" w:lineRule="auto"/>
        <w:jc w:val="center"/>
        <w:rPr>
          <w:rFonts w:ascii="Arial" w:hAnsi="Arial"/>
          <w:color w:val="000000" w:themeColor="text1"/>
        </w:rPr>
      </w:pPr>
      <w:r w:rsidRPr="00657FB4">
        <w:rPr>
          <w:rFonts w:ascii="Arial" w:eastAsia="Times New Roman" w:hAnsi="Arial" w:cs="Times New Roman"/>
          <w:b/>
          <w:color w:val="000000" w:themeColor="text1"/>
          <w:sz w:val="18"/>
          <w:szCs w:val="18"/>
          <w:lang w:val="en-GB"/>
        </w:rPr>
        <w:t xml:space="preserve">Higher OTIs means higher material hardship for low-income households, HES 2017-18 </w:t>
      </w:r>
    </w:p>
    <w:tbl>
      <w:tblPr>
        <w:tblStyle w:val="TableGrid"/>
        <w:tblW w:w="7235" w:type="dxa"/>
        <w:jc w:val="center"/>
        <w:tblCellMar>
          <w:left w:w="57" w:type="dxa"/>
          <w:right w:w="57" w:type="dxa"/>
        </w:tblCellMar>
        <w:tblLook w:val="04A0" w:firstRow="1" w:lastRow="0" w:firstColumn="1" w:lastColumn="0" w:noHBand="0" w:noVBand="1"/>
      </w:tblPr>
      <w:tblGrid>
        <w:gridCol w:w="3478"/>
        <w:gridCol w:w="1058"/>
        <w:gridCol w:w="851"/>
        <w:gridCol w:w="992"/>
        <w:gridCol w:w="856"/>
      </w:tblGrid>
      <w:tr w:rsidR="00FC3590" w:rsidRPr="00657FB4" w14:paraId="753DA9E9" w14:textId="77777777" w:rsidTr="00885D46">
        <w:trPr>
          <w:jc w:val="center"/>
        </w:trPr>
        <w:tc>
          <w:tcPr>
            <w:tcW w:w="3478" w:type="dxa"/>
            <w:vAlign w:val="center"/>
          </w:tcPr>
          <w:p w14:paraId="10421935" w14:textId="308CBEEB" w:rsidR="006B7C3E" w:rsidRPr="00657FB4" w:rsidRDefault="006B7C3E" w:rsidP="00885D46">
            <w:pPr>
              <w:spacing w:before="40" w:after="40" w:line="240" w:lineRule="auto"/>
              <w:jc w:val="center"/>
              <w:rPr>
                <w:rFonts w:ascii="Arial" w:hAnsi="Arial"/>
                <w:b/>
                <w:color w:val="000000" w:themeColor="text1"/>
                <w:sz w:val="14"/>
                <w:szCs w:val="14"/>
              </w:rPr>
            </w:pPr>
            <w:r w:rsidRPr="00657FB4">
              <w:rPr>
                <w:rFonts w:ascii="Arial" w:hAnsi="Arial"/>
                <w:b/>
                <w:color w:val="000000" w:themeColor="text1"/>
                <w:sz w:val="14"/>
                <w:szCs w:val="14"/>
              </w:rPr>
              <w:t>HES 2017-18</w:t>
            </w:r>
          </w:p>
        </w:tc>
        <w:tc>
          <w:tcPr>
            <w:tcW w:w="1909" w:type="dxa"/>
            <w:gridSpan w:val="2"/>
            <w:tcBorders>
              <w:right w:val="single" w:sz="8" w:space="0" w:color="auto"/>
            </w:tcBorders>
            <w:vAlign w:val="center"/>
          </w:tcPr>
          <w:p w14:paraId="52CDAFFD" w14:textId="77777777" w:rsidR="006B7C3E" w:rsidRPr="00657FB4" w:rsidRDefault="006B7C3E" w:rsidP="00885D46">
            <w:pPr>
              <w:spacing w:before="40" w:after="40" w:line="240" w:lineRule="auto"/>
              <w:jc w:val="center"/>
              <w:rPr>
                <w:rFonts w:ascii="Arial" w:hAnsi="Arial"/>
                <w:b/>
                <w:color w:val="000000" w:themeColor="text1"/>
                <w:sz w:val="14"/>
                <w:szCs w:val="14"/>
              </w:rPr>
            </w:pPr>
            <w:r w:rsidRPr="00657FB4">
              <w:rPr>
                <w:rFonts w:ascii="Arial" w:hAnsi="Arial"/>
                <w:b/>
                <w:color w:val="000000" w:themeColor="text1"/>
                <w:sz w:val="14"/>
                <w:szCs w:val="14"/>
              </w:rPr>
              <w:t>Q1</w:t>
            </w:r>
          </w:p>
        </w:tc>
        <w:tc>
          <w:tcPr>
            <w:tcW w:w="1848" w:type="dxa"/>
            <w:gridSpan w:val="2"/>
            <w:tcBorders>
              <w:left w:val="single" w:sz="8" w:space="0" w:color="auto"/>
            </w:tcBorders>
            <w:vAlign w:val="center"/>
          </w:tcPr>
          <w:p w14:paraId="37E55D6B" w14:textId="77777777" w:rsidR="006B7C3E" w:rsidRPr="00657FB4" w:rsidRDefault="006B7C3E" w:rsidP="00885D46">
            <w:pPr>
              <w:spacing w:before="40" w:after="40" w:line="240" w:lineRule="auto"/>
              <w:jc w:val="center"/>
              <w:rPr>
                <w:rFonts w:ascii="Arial" w:hAnsi="Arial"/>
                <w:b/>
                <w:color w:val="000000" w:themeColor="text1"/>
                <w:sz w:val="14"/>
                <w:szCs w:val="14"/>
              </w:rPr>
            </w:pPr>
            <w:r w:rsidRPr="00657FB4">
              <w:rPr>
                <w:rFonts w:ascii="Arial" w:hAnsi="Arial"/>
                <w:b/>
                <w:color w:val="000000" w:themeColor="text1"/>
                <w:sz w:val="14"/>
                <w:szCs w:val="14"/>
              </w:rPr>
              <w:t>Q2</w:t>
            </w:r>
          </w:p>
        </w:tc>
      </w:tr>
      <w:tr w:rsidR="00FC3590" w:rsidRPr="00657FB4" w14:paraId="7B3A580C" w14:textId="77777777" w:rsidTr="00885D46">
        <w:trPr>
          <w:jc w:val="center"/>
        </w:trPr>
        <w:tc>
          <w:tcPr>
            <w:tcW w:w="3478" w:type="dxa"/>
          </w:tcPr>
          <w:p w14:paraId="59AC39E4" w14:textId="77777777" w:rsidR="006B7C3E" w:rsidRPr="00657FB4" w:rsidRDefault="006B7C3E" w:rsidP="00885D46">
            <w:pPr>
              <w:spacing w:before="40" w:after="40" w:line="240" w:lineRule="auto"/>
              <w:rPr>
                <w:rFonts w:ascii="Arial" w:hAnsi="Arial"/>
                <w:b/>
                <w:color w:val="000000" w:themeColor="text1"/>
                <w:sz w:val="14"/>
                <w:szCs w:val="14"/>
              </w:rPr>
            </w:pPr>
          </w:p>
        </w:tc>
        <w:tc>
          <w:tcPr>
            <w:tcW w:w="1058" w:type="dxa"/>
            <w:vAlign w:val="center"/>
          </w:tcPr>
          <w:p w14:paraId="3F35CF8C"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OTI ≤ 38%</w:t>
            </w:r>
          </w:p>
        </w:tc>
        <w:tc>
          <w:tcPr>
            <w:tcW w:w="851" w:type="dxa"/>
            <w:tcBorders>
              <w:right w:val="single" w:sz="8" w:space="0" w:color="auto"/>
            </w:tcBorders>
            <w:vAlign w:val="center"/>
          </w:tcPr>
          <w:p w14:paraId="0E680108"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 xml:space="preserve">OTI ≥42% </w:t>
            </w:r>
          </w:p>
        </w:tc>
        <w:tc>
          <w:tcPr>
            <w:tcW w:w="992" w:type="dxa"/>
            <w:tcBorders>
              <w:left w:val="single" w:sz="8" w:space="0" w:color="auto"/>
            </w:tcBorders>
            <w:vAlign w:val="center"/>
          </w:tcPr>
          <w:p w14:paraId="46FC5B36"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OTI ≤ 38%</w:t>
            </w:r>
          </w:p>
        </w:tc>
        <w:tc>
          <w:tcPr>
            <w:tcW w:w="856" w:type="dxa"/>
            <w:vAlign w:val="center"/>
          </w:tcPr>
          <w:p w14:paraId="5A43EF26"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 xml:space="preserve">OTI ≥42% </w:t>
            </w:r>
          </w:p>
        </w:tc>
      </w:tr>
      <w:tr w:rsidR="00FC3590" w:rsidRPr="00657FB4" w14:paraId="0747D774" w14:textId="77777777" w:rsidTr="00885D46">
        <w:trPr>
          <w:jc w:val="center"/>
        </w:trPr>
        <w:tc>
          <w:tcPr>
            <w:tcW w:w="3478" w:type="dxa"/>
            <w:tcMar>
              <w:left w:w="113" w:type="dxa"/>
            </w:tcMar>
            <w:vAlign w:val="center"/>
          </w:tcPr>
          <w:p w14:paraId="0850BCFF"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Subgroup as % of Quintile</w:t>
            </w:r>
          </w:p>
        </w:tc>
        <w:tc>
          <w:tcPr>
            <w:tcW w:w="1058" w:type="dxa"/>
            <w:vAlign w:val="center"/>
          </w:tcPr>
          <w:p w14:paraId="1C6F4733"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47</w:t>
            </w:r>
          </w:p>
        </w:tc>
        <w:tc>
          <w:tcPr>
            <w:tcW w:w="851" w:type="dxa"/>
            <w:tcBorders>
              <w:right w:val="single" w:sz="8" w:space="0" w:color="auto"/>
            </w:tcBorders>
            <w:vAlign w:val="center"/>
          </w:tcPr>
          <w:p w14:paraId="740B2AB8"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53</w:t>
            </w:r>
          </w:p>
        </w:tc>
        <w:tc>
          <w:tcPr>
            <w:tcW w:w="992" w:type="dxa"/>
            <w:tcBorders>
              <w:left w:val="single" w:sz="8" w:space="0" w:color="auto"/>
            </w:tcBorders>
            <w:vAlign w:val="center"/>
          </w:tcPr>
          <w:p w14:paraId="6B72C1B6"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76</w:t>
            </w:r>
          </w:p>
        </w:tc>
        <w:tc>
          <w:tcPr>
            <w:tcW w:w="856" w:type="dxa"/>
            <w:vAlign w:val="center"/>
          </w:tcPr>
          <w:p w14:paraId="2C7E6079"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25</w:t>
            </w:r>
          </w:p>
        </w:tc>
      </w:tr>
      <w:tr w:rsidR="00FC3590" w:rsidRPr="00657FB4" w14:paraId="22B5B636" w14:textId="77777777" w:rsidTr="00885D46">
        <w:trPr>
          <w:jc w:val="center"/>
        </w:trPr>
        <w:tc>
          <w:tcPr>
            <w:tcW w:w="3478" w:type="dxa"/>
            <w:tcMar>
              <w:left w:w="113" w:type="dxa"/>
            </w:tcMar>
            <w:vAlign w:val="center"/>
          </w:tcPr>
          <w:p w14:paraId="6A213A48"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Housing costs - median</w:t>
            </w:r>
          </w:p>
        </w:tc>
        <w:tc>
          <w:tcPr>
            <w:tcW w:w="1058" w:type="dxa"/>
            <w:vAlign w:val="center"/>
          </w:tcPr>
          <w:p w14:paraId="17C5BE6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5,500</w:t>
            </w:r>
          </w:p>
        </w:tc>
        <w:tc>
          <w:tcPr>
            <w:tcW w:w="851" w:type="dxa"/>
            <w:tcBorders>
              <w:right w:val="single" w:sz="8" w:space="0" w:color="auto"/>
            </w:tcBorders>
            <w:vAlign w:val="center"/>
          </w:tcPr>
          <w:p w14:paraId="1825BAD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19,300</w:t>
            </w:r>
          </w:p>
        </w:tc>
        <w:tc>
          <w:tcPr>
            <w:tcW w:w="992" w:type="dxa"/>
            <w:tcBorders>
              <w:left w:val="single" w:sz="8" w:space="0" w:color="auto"/>
            </w:tcBorders>
            <w:vAlign w:val="center"/>
          </w:tcPr>
          <w:p w14:paraId="7A7D08D7"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12,500</w:t>
            </w:r>
          </w:p>
        </w:tc>
        <w:tc>
          <w:tcPr>
            <w:tcW w:w="856" w:type="dxa"/>
            <w:vAlign w:val="center"/>
          </w:tcPr>
          <w:p w14:paraId="29C9184B"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27,100</w:t>
            </w:r>
          </w:p>
        </w:tc>
      </w:tr>
      <w:tr w:rsidR="00FC3590" w:rsidRPr="00657FB4" w14:paraId="475DCDFD" w14:textId="77777777" w:rsidTr="00885D46">
        <w:trPr>
          <w:jc w:val="center"/>
        </w:trPr>
        <w:tc>
          <w:tcPr>
            <w:tcW w:w="3478" w:type="dxa"/>
            <w:tcMar>
              <w:left w:w="113" w:type="dxa"/>
            </w:tcMar>
            <w:vAlign w:val="center"/>
          </w:tcPr>
          <w:p w14:paraId="301BFB9A"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BHC income (equivalised) - median</w:t>
            </w:r>
          </w:p>
        </w:tc>
        <w:tc>
          <w:tcPr>
            <w:tcW w:w="1058" w:type="dxa"/>
            <w:vAlign w:val="center"/>
          </w:tcPr>
          <w:p w14:paraId="3C900F73"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19,400</w:t>
            </w:r>
          </w:p>
        </w:tc>
        <w:tc>
          <w:tcPr>
            <w:tcW w:w="851" w:type="dxa"/>
            <w:tcBorders>
              <w:right w:val="single" w:sz="8" w:space="0" w:color="auto"/>
            </w:tcBorders>
            <w:vAlign w:val="center"/>
          </w:tcPr>
          <w:p w14:paraId="7DAD73B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17,500</w:t>
            </w:r>
          </w:p>
        </w:tc>
        <w:tc>
          <w:tcPr>
            <w:tcW w:w="992" w:type="dxa"/>
            <w:tcBorders>
              <w:left w:val="single" w:sz="8" w:space="0" w:color="auto"/>
            </w:tcBorders>
            <w:vAlign w:val="center"/>
          </w:tcPr>
          <w:p w14:paraId="023CEB28"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29,300</w:t>
            </w:r>
          </w:p>
        </w:tc>
        <w:tc>
          <w:tcPr>
            <w:tcW w:w="856" w:type="dxa"/>
            <w:vAlign w:val="center"/>
          </w:tcPr>
          <w:p w14:paraId="76160F81"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28,300</w:t>
            </w:r>
          </w:p>
        </w:tc>
      </w:tr>
      <w:tr w:rsidR="00FC3590" w:rsidRPr="00657FB4" w14:paraId="69CE2D4A" w14:textId="77777777" w:rsidTr="00885D46">
        <w:trPr>
          <w:jc w:val="center"/>
        </w:trPr>
        <w:tc>
          <w:tcPr>
            <w:tcW w:w="3478" w:type="dxa"/>
            <w:shd w:val="clear" w:color="auto" w:fill="D9D9D9" w:themeFill="background1" w:themeFillShade="D9"/>
            <w:tcMar>
              <w:left w:w="113" w:type="dxa"/>
            </w:tcMar>
            <w:vAlign w:val="center"/>
          </w:tcPr>
          <w:p w14:paraId="74B432B5"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AHC income (equivalised) - median</w:t>
            </w:r>
          </w:p>
        </w:tc>
        <w:tc>
          <w:tcPr>
            <w:tcW w:w="1058" w:type="dxa"/>
            <w:shd w:val="clear" w:color="auto" w:fill="D9D9D9" w:themeFill="background1" w:themeFillShade="D9"/>
            <w:vAlign w:val="center"/>
          </w:tcPr>
          <w:p w14:paraId="400A34C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14,900</w:t>
            </w:r>
          </w:p>
        </w:tc>
        <w:tc>
          <w:tcPr>
            <w:tcW w:w="851" w:type="dxa"/>
            <w:tcBorders>
              <w:right w:val="single" w:sz="8" w:space="0" w:color="auto"/>
            </w:tcBorders>
            <w:shd w:val="clear" w:color="auto" w:fill="D9D9D9" w:themeFill="background1" w:themeFillShade="D9"/>
            <w:vAlign w:val="center"/>
          </w:tcPr>
          <w:p w14:paraId="62969246"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5,600</w:t>
            </w:r>
          </w:p>
        </w:tc>
        <w:tc>
          <w:tcPr>
            <w:tcW w:w="992" w:type="dxa"/>
            <w:tcBorders>
              <w:left w:val="single" w:sz="8" w:space="0" w:color="auto"/>
            </w:tcBorders>
            <w:shd w:val="clear" w:color="auto" w:fill="D9D9D9" w:themeFill="background1" w:themeFillShade="D9"/>
            <w:vAlign w:val="center"/>
          </w:tcPr>
          <w:p w14:paraId="4576702E"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22,900</w:t>
            </w:r>
          </w:p>
        </w:tc>
        <w:tc>
          <w:tcPr>
            <w:tcW w:w="856" w:type="dxa"/>
            <w:shd w:val="clear" w:color="auto" w:fill="D9D9D9" w:themeFill="background1" w:themeFillShade="D9"/>
            <w:vAlign w:val="center"/>
          </w:tcPr>
          <w:p w14:paraId="6BBA6C0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13,300</w:t>
            </w:r>
          </w:p>
        </w:tc>
      </w:tr>
      <w:tr w:rsidR="00FC3590" w:rsidRPr="00657FB4" w14:paraId="1BC3CA97" w14:textId="77777777" w:rsidTr="00885D46">
        <w:trPr>
          <w:jc w:val="center"/>
        </w:trPr>
        <w:tc>
          <w:tcPr>
            <w:tcW w:w="3478" w:type="dxa"/>
            <w:shd w:val="clear" w:color="auto" w:fill="D9D9D9" w:themeFill="background1" w:themeFillShade="D9"/>
            <w:tcMar>
              <w:left w:w="113" w:type="dxa"/>
            </w:tcMar>
            <w:vAlign w:val="center"/>
          </w:tcPr>
          <w:p w14:paraId="25AC624D"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Median OTIs</w:t>
            </w:r>
          </w:p>
        </w:tc>
        <w:tc>
          <w:tcPr>
            <w:tcW w:w="1058" w:type="dxa"/>
            <w:shd w:val="clear" w:color="auto" w:fill="D9D9D9" w:themeFill="background1" w:themeFillShade="D9"/>
            <w:vAlign w:val="center"/>
          </w:tcPr>
          <w:p w14:paraId="6143E57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21</w:t>
            </w:r>
          </w:p>
        </w:tc>
        <w:tc>
          <w:tcPr>
            <w:tcW w:w="851" w:type="dxa"/>
            <w:tcBorders>
              <w:right w:val="single" w:sz="8" w:space="0" w:color="auto"/>
            </w:tcBorders>
            <w:shd w:val="clear" w:color="auto" w:fill="D9D9D9" w:themeFill="background1" w:themeFillShade="D9"/>
            <w:vAlign w:val="center"/>
          </w:tcPr>
          <w:p w14:paraId="04C6B04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65</w:t>
            </w:r>
          </w:p>
        </w:tc>
        <w:tc>
          <w:tcPr>
            <w:tcW w:w="992" w:type="dxa"/>
            <w:tcBorders>
              <w:left w:val="single" w:sz="8" w:space="0" w:color="auto"/>
            </w:tcBorders>
            <w:shd w:val="clear" w:color="auto" w:fill="D9D9D9" w:themeFill="background1" w:themeFillShade="D9"/>
            <w:vAlign w:val="center"/>
          </w:tcPr>
          <w:p w14:paraId="5564F6B8"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22</w:t>
            </w:r>
          </w:p>
        </w:tc>
        <w:tc>
          <w:tcPr>
            <w:tcW w:w="856" w:type="dxa"/>
            <w:shd w:val="clear" w:color="auto" w:fill="D9D9D9" w:themeFill="background1" w:themeFillShade="D9"/>
            <w:vAlign w:val="center"/>
          </w:tcPr>
          <w:p w14:paraId="1D59DEC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52</w:t>
            </w:r>
          </w:p>
        </w:tc>
      </w:tr>
      <w:tr w:rsidR="00FC3590" w:rsidRPr="00657FB4" w14:paraId="6AC2D63A" w14:textId="77777777" w:rsidTr="00885D46">
        <w:trPr>
          <w:jc w:val="center"/>
        </w:trPr>
        <w:tc>
          <w:tcPr>
            <w:tcW w:w="3478" w:type="dxa"/>
            <w:shd w:val="clear" w:color="auto" w:fill="D9D9D9" w:themeFill="background1" w:themeFillShade="D9"/>
            <w:tcMar>
              <w:left w:w="113" w:type="dxa"/>
            </w:tcMar>
            <w:vAlign w:val="center"/>
          </w:tcPr>
          <w:p w14:paraId="413FBDF9"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Material hardship rate (%) (Dep-17 6+)</w:t>
            </w:r>
          </w:p>
        </w:tc>
        <w:tc>
          <w:tcPr>
            <w:tcW w:w="1058" w:type="dxa"/>
            <w:shd w:val="clear" w:color="auto" w:fill="D9D9D9" w:themeFill="background1" w:themeFillShade="D9"/>
            <w:vAlign w:val="center"/>
          </w:tcPr>
          <w:p w14:paraId="4567DF5C"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15</w:t>
            </w:r>
          </w:p>
        </w:tc>
        <w:tc>
          <w:tcPr>
            <w:tcW w:w="851" w:type="dxa"/>
            <w:tcBorders>
              <w:right w:val="single" w:sz="8" w:space="0" w:color="auto"/>
            </w:tcBorders>
            <w:shd w:val="clear" w:color="auto" w:fill="D9D9D9" w:themeFill="background1" w:themeFillShade="D9"/>
            <w:vAlign w:val="center"/>
          </w:tcPr>
          <w:p w14:paraId="3CF0A776"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29</w:t>
            </w:r>
          </w:p>
        </w:tc>
        <w:tc>
          <w:tcPr>
            <w:tcW w:w="992" w:type="dxa"/>
            <w:tcBorders>
              <w:left w:val="single" w:sz="8" w:space="0" w:color="auto"/>
            </w:tcBorders>
            <w:shd w:val="clear" w:color="auto" w:fill="D9D9D9" w:themeFill="background1" w:themeFillShade="D9"/>
            <w:vAlign w:val="center"/>
          </w:tcPr>
          <w:p w14:paraId="775527F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w:t>
            </w:r>
          </w:p>
        </w:tc>
        <w:tc>
          <w:tcPr>
            <w:tcW w:w="856" w:type="dxa"/>
            <w:shd w:val="clear" w:color="auto" w:fill="D9D9D9" w:themeFill="background1" w:themeFillShade="D9"/>
            <w:vAlign w:val="center"/>
          </w:tcPr>
          <w:p w14:paraId="18EA2CBC"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20</w:t>
            </w:r>
          </w:p>
        </w:tc>
      </w:tr>
      <w:tr w:rsidR="00FC3590" w:rsidRPr="00657FB4" w14:paraId="29D6A6EF" w14:textId="77777777" w:rsidTr="00885D46">
        <w:trPr>
          <w:jc w:val="center"/>
        </w:trPr>
        <w:tc>
          <w:tcPr>
            <w:tcW w:w="3478" w:type="dxa"/>
            <w:tcMar>
              <w:left w:w="113" w:type="dxa"/>
            </w:tcMar>
            <w:vAlign w:val="center"/>
          </w:tcPr>
          <w:p w14:paraId="4FA1562C"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bCs/>
                <w:color w:val="000000" w:themeColor="text1"/>
                <w:sz w:val="14"/>
                <w:szCs w:val="14"/>
              </w:rPr>
              <w:t>Self-assessed income adequacy - not enough</w:t>
            </w:r>
          </w:p>
        </w:tc>
        <w:tc>
          <w:tcPr>
            <w:tcW w:w="1058" w:type="dxa"/>
            <w:vAlign w:val="center"/>
          </w:tcPr>
          <w:p w14:paraId="7B73AD6C"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24</w:t>
            </w:r>
          </w:p>
        </w:tc>
        <w:tc>
          <w:tcPr>
            <w:tcW w:w="851" w:type="dxa"/>
            <w:tcBorders>
              <w:right w:val="single" w:sz="8" w:space="0" w:color="auto"/>
            </w:tcBorders>
            <w:vAlign w:val="center"/>
          </w:tcPr>
          <w:p w14:paraId="1FD10777"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33</w:t>
            </w:r>
          </w:p>
        </w:tc>
        <w:tc>
          <w:tcPr>
            <w:tcW w:w="992" w:type="dxa"/>
            <w:tcBorders>
              <w:left w:val="single" w:sz="8" w:space="0" w:color="auto"/>
            </w:tcBorders>
            <w:vAlign w:val="center"/>
          </w:tcPr>
          <w:p w14:paraId="31182431"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10</w:t>
            </w:r>
          </w:p>
        </w:tc>
        <w:tc>
          <w:tcPr>
            <w:tcW w:w="856" w:type="dxa"/>
            <w:vAlign w:val="center"/>
          </w:tcPr>
          <w:p w14:paraId="06313BFA"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23</w:t>
            </w:r>
          </w:p>
        </w:tc>
      </w:tr>
      <w:tr w:rsidR="00FC3590" w:rsidRPr="00657FB4" w14:paraId="53925CC7" w14:textId="77777777" w:rsidTr="00885D46">
        <w:trPr>
          <w:jc w:val="center"/>
        </w:trPr>
        <w:tc>
          <w:tcPr>
            <w:tcW w:w="3478" w:type="dxa"/>
            <w:tcMar>
              <w:left w:w="113" w:type="dxa"/>
            </w:tcMar>
            <w:vAlign w:val="center"/>
          </w:tcPr>
          <w:p w14:paraId="2ACEF2BF" w14:textId="77777777" w:rsidR="006B7C3E" w:rsidRPr="00657FB4" w:rsidRDefault="006B7C3E" w:rsidP="00885D46">
            <w:pPr>
              <w:spacing w:before="40" w:after="40" w:line="240" w:lineRule="auto"/>
              <w:rPr>
                <w:rFonts w:ascii="Arial" w:hAnsi="Arial"/>
                <w:bCs/>
                <w:color w:val="000000" w:themeColor="text1"/>
                <w:sz w:val="14"/>
                <w:szCs w:val="14"/>
              </w:rPr>
            </w:pPr>
            <w:r w:rsidRPr="00657FB4">
              <w:rPr>
                <w:rFonts w:ascii="Arial" w:hAnsi="Arial"/>
                <w:color w:val="000000" w:themeColor="text1"/>
                <w:sz w:val="14"/>
                <w:szCs w:val="14"/>
              </w:rPr>
              <w:t>Foodbank / other community help - once or more</w:t>
            </w:r>
          </w:p>
        </w:tc>
        <w:tc>
          <w:tcPr>
            <w:tcW w:w="1058" w:type="dxa"/>
            <w:vAlign w:val="center"/>
          </w:tcPr>
          <w:p w14:paraId="60434DA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w:t>
            </w:r>
          </w:p>
        </w:tc>
        <w:tc>
          <w:tcPr>
            <w:tcW w:w="851" w:type="dxa"/>
            <w:tcBorders>
              <w:right w:val="single" w:sz="8" w:space="0" w:color="auto"/>
            </w:tcBorders>
            <w:vAlign w:val="center"/>
          </w:tcPr>
          <w:p w14:paraId="11069EFE"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19</w:t>
            </w:r>
          </w:p>
        </w:tc>
        <w:tc>
          <w:tcPr>
            <w:tcW w:w="992" w:type="dxa"/>
            <w:tcBorders>
              <w:left w:val="single" w:sz="8" w:space="0" w:color="auto"/>
            </w:tcBorders>
            <w:vAlign w:val="center"/>
          </w:tcPr>
          <w:p w14:paraId="460E26E7"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5</w:t>
            </w:r>
          </w:p>
        </w:tc>
        <w:tc>
          <w:tcPr>
            <w:tcW w:w="856" w:type="dxa"/>
            <w:vAlign w:val="center"/>
          </w:tcPr>
          <w:p w14:paraId="27F74157"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9</w:t>
            </w:r>
          </w:p>
        </w:tc>
      </w:tr>
      <w:tr w:rsidR="00FC3590" w:rsidRPr="00657FB4" w14:paraId="1622F566" w14:textId="77777777" w:rsidTr="00885D46">
        <w:trPr>
          <w:jc w:val="center"/>
        </w:trPr>
        <w:tc>
          <w:tcPr>
            <w:tcW w:w="3478" w:type="dxa"/>
            <w:tcMar>
              <w:left w:w="113" w:type="dxa"/>
            </w:tcMar>
            <w:vAlign w:val="center"/>
          </w:tcPr>
          <w:p w14:paraId="30FE24A5"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Computer &amp; internet - enforced lack</w:t>
            </w:r>
          </w:p>
        </w:tc>
        <w:tc>
          <w:tcPr>
            <w:tcW w:w="1058" w:type="dxa"/>
            <w:vAlign w:val="center"/>
          </w:tcPr>
          <w:p w14:paraId="20D0AC6E"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9</w:t>
            </w:r>
          </w:p>
        </w:tc>
        <w:tc>
          <w:tcPr>
            <w:tcW w:w="851" w:type="dxa"/>
            <w:tcBorders>
              <w:right w:val="single" w:sz="8" w:space="0" w:color="auto"/>
            </w:tcBorders>
            <w:vAlign w:val="center"/>
          </w:tcPr>
          <w:p w14:paraId="0073AD5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15</w:t>
            </w:r>
          </w:p>
        </w:tc>
        <w:tc>
          <w:tcPr>
            <w:tcW w:w="992" w:type="dxa"/>
            <w:tcBorders>
              <w:left w:val="single" w:sz="8" w:space="0" w:color="auto"/>
            </w:tcBorders>
            <w:vAlign w:val="center"/>
          </w:tcPr>
          <w:p w14:paraId="70CC962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3</w:t>
            </w:r>
          </w:p>
        </w:tc>
        <w:tc>
          <w:tcPr>
            <w:tcW w:w="856" w:type="dxa"/>
            <w:vAlign w:val="center"/>
          </w:tcPr>
          <w:p w14:paraId="73A82F1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4</w:t>
            </w:r>
          </w:p>
        </w:tc>
      </w:tr>
      <w:tr w:rsidR="00FC3590" w:rsidRPr="00657FB4" w14:paraId="498C5CF1" w14:textId="77777777" w:rsidTr="00885D46">
        <w:trPr>
          <w:jc w:val="center"/>
        </w:trPr>
        <w:tc>
          <w:tcPr>
            <w:tcW w:w="3478" w:type="dxa"/>
            <w:tcMar>
              <w:left w:w="113" w:type="dxa"/>
            </w:tcMar>
            <w:vAlign w:val="center"/>
          </w:tcPr>
          <w:p w14:paraId="562D0985"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Cut back / went without fresh fruit and veg - a lot</w:t>
            </w:r>
          </w:p>
        </w:tc>
        <w:tc>
          <w:tcPr>
            <w:tcW w:w="1058" w:type="dxa"/>
            <w:vAlign w:val="center"/>
          </w:tcPr>
          <w:p w14:paraId="18D30763"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w:t>
            </w:r>
          </w:p>
        </w:tc>
        <w:tc>
          <w:tcPr>
            <w:tcW w:w="851" w:type="dxa"/>
            <w:tcBorders>
              <w:right w:val="single" w:sz="8" w:space="0" w:color="auto"/>
            </w:tcBorders>
            <w:vAlign w:val="center"/>
          </w:tcPr>
          <w:p w14:paraId="72CF3329"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14</w:t>
            </w:r>
          </w:p>
        </w:tc>
        <w:tc>
          <w:tcPr>
            <w:tcW w:w="992" w:type="dxa"/>
            <w:tcBorders>
              <w:left w:val="single" w:sz="8" w:space="0" w:color="auto"/>
            </w:tcBorders>
            <w:vAlign w:val="center"/>
          </w:tcPr>
          <w:p w14:paraId="11EA8FB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3</w:t>
            </w:r>
          </w:p>
        </w:tc>
        <w:tc>
          <w:tcPr>
            <w:tcW w:w="856" w:type="dxa"/>
            <w:vAlign w:val="center"/>
          </w:tcPr>
          <w:p w14:paraId="6E979DC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9</w:t>
            </w:r>
          </w:p>
        </w:tc>
      </w:tr>
      <w:tr w:rsidR="00FC3590" w:rsidRPr="00657FB4" w14:paraId="0ECB6896" w14:textId="77777777" w:rsidTr="00885D46">
        <w:trPr>
          <w:jc w:val="center"/>
        </w:trPr>
        <w:tc>
          <w:tcPr>
            <w:tcW w:w="3478" w:type="dxa"/>
            <w:tcMar>
              <w:left w:w="113" w:type="dxa"/>
            </w:tcMar>
            <w:vAlign w:val="center"/>
          </w:tcPr>
          <w:p w14:paraId="28D66364"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Put up with feeling cold - a lot</w:t>
            </w:r>
          </w:p>
        </w:tc>
        <w:tc>
          <w:tcPr>
            <w:tcW w:w="1058" w:type="dxa"/>
            <w:vAlign w:val="center"/>
          </w:tcPr>
          <w:p w14:paraId="43AFC50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w:t>
            </w:r>
          </w:p>
        </w:tc>
        <w:tc>
          <w:tcPr>
            <w:tcW w:w="851" w:type="dxa"/>
            <w:tcBorders>
              <w:right w:val="single" w:sz="8" w:space="0" w:color="auto"/>
            </w:tcBorders>
            <w:vAlign w:val="center"/>
          </w:tcPr>
          <w:p w14:paraId="49256A6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21</w:t>
            </w:r>
          </w:p>
        </w:tc>
        <w:tc>
          <w:tcPr>
            <w:tcW w:w="992" w:type="dxa"/>
            <w:tcBorders>
              <w:left w:val="single" w:sz="8" w:space="0" w:color="auto"/>
            </w:tcBorders>
            <w:vAlign w:val="center"/>
          </w:tcPr>
          <w:p w14:paraId="3B6F4C8E"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6</w:t>
            </w:r>
          </w:p>
        </w:tc>
        <w:tc>
          <w:tcPr>
            <w:tcW w:w="856" w:type="dxa"/>
            <w:vAlign w:val="center"/>
          </w:tcPr>
          <w:p w14:paraId="37D8AF57"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w:t>
            </w:r>
          </w:p>
        </w:tc>
      </w:tr>
      <w:tr w:rsidR="00FC3590" w:rsidRPr="00657FB4" w14:paraId="5D295CE1" w14:textId="77777777" w:rsidTr="00885D46">
        <w:trPr>
          <w:jc w:val="center"/>
        </w:trPr>
        <w:tc>
          <w:tcPr>
            <w:tcW w:w="3478" w:type="dxa"/>
            <w:tcMar>
              <w:left w:w="113" w:type="dxa"/>
            </w:tcMar>
            <w:vAlign w:val="center"/>
          </w:tcPr>
          <w:p w14:paraId="2C77FD03"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Delayed replace/repair appliances - a lot</w:t>
            </w:r>
          </w:p>
        </w:tc>
        <w:tc>
          <w:tcPr>
            <w:tcW w:w="1058" w:type="dxa"/>
            <w:vAlign w:val="center"/>
          </w:tcPr>
          <w:p w14:paraId="1232309D"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w:t>
            </w:r>
          </w:p>
        </w:tc>
        <w:tc>
          <w:tcPr>
            <w:tcW w:w="851" w:type="dxa"/>
            <w:tcBorders>
              <w:right w:val="single" w:sz="8" w:space="0" w:color="auto"/>
            </w:tcBorders>
            <w:vAlign w:val="center"/>
          </w:tcPr>
          <w:p w14:paraId="2A7FA651"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23</w:t>
            </w:r>
          </w:p>
        </w:tc>
        <w:tc>
          <w:tcPr>
            <w:tcW w:w="992" w:type="dxa"/>
            <w:tcBorders>
              <w:left w:val="single" w:sz="8" w:space="0" w:color="auto"/>
            </w:tcBorders>
            <w:vAlign w:val="center"/>
          </w:tcPr>
          <w:p w14:paraId="7E1C3C8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w:t>
            </w:r>
          </w:p>
        </w:tc>
        <w:tc>
          <w:tcPr>
            <w:tcW w:w="856" w:type="dxa"/>
            <w:vAlign w:val="center"/>
          </w:tcPr>
          <w:p w14:paraId="1C49FADB"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15</w:t>
            </w:r>
          </w:p>
        </w:tc>
      </w:tr>
      <w:tr w:rsidR="00FC3590" w:rsidRPr="00657FB4" w14:paraId="3F93642C" w14:textId="77777777" w:rsidTr="00885D46">
        <w:trPr>
          <w:jc w:val="center"/>
        </w:trPr>
        <w:tc>
          <w:tcPr>
            <w:tcW w:w="3478" w:type="dxa"/>
            <w:tcMar>
              <w:left w:w="113" w:type="dxa"/>
            </w:tcMar>
            <w:vAlign w:val="center"/>
          </w:tcPr>
          <w:p w14:paraId="16DCFBDB"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Cannot pay unexpected $500 bill without borrowing</w:t>
            </w:r>
          </w:p>
        </w:tc>
        <w:tc>
          <w:tcPr>
            <w:tcW w:w="1058" w:type="dxa"/>
            <w:vAlign w:val="center"/>
          </w:tcPr>
          <w:p w14:paraId="36B6CB6A"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35</w:t>
            </w:r>
          </w:p>
        </w:tc>
        <w:tc>
          <w:tcPr>
            <w:tcW w:w="851" w:type="dxa"/>
            <w:tcBorders>
              <w:right w:val="single" w:sz="8" w:space="0" w:color="auto"/>
            </w:tcBorders>
            <w:vAlign w:val="center"/>
          </w:tcPr>
          <w:p w14:paraId="1DA66698"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48</w:t>
            </w:r>
          </w:p>
        </w:tc>
        <w:tc>
          <w:tcPr>
            <w:tcW w:w="992" w:type="dxa"/>
            <w:tcBorders>
              <w:left w:val="single" w:sz="8" w:space="0" w:color="auto"/>
            </w:tcBorders>
            <w:vAlign w:val="center"/>
          </w:tcPr>
          <w:p w14:paraId="13BA9AD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26</w:t>
            </w:r>
          </w:p>
        </w:tc>
        <w:tc>
          <w:tcPr>
            <w:tcW w:w="856" w:type="dxa"/>
            <w:vAlign w:val="center"/>
          </w:tcPr>
          <w:p w14:paraId="78D28709"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35</w:t>
            </w:r>
          </w:p>
        </w:tc>
      </w:tr>
      <w:tr w:rsidR="00FC3590" w:rsidRPr="00657FB4" w14:paraId="1DCA6A5A" w14:textId="77777777" w:rsidTr="00885D46">
        <w:trPr>
          <w:jc w:val="center"/>
        </w:trPr>
        <w:tc>
          <w:tcPr>
            <w:tcW w:w="3478" w:type="dxa"/>
            <w:tcMar>
              <w:left w:w="113" w:type="dxa"/>
            </w:tcMar>
            <w:vAlign w:val="center"/>
          </w:tcPr>
          <w:p w14:paraId="1476C839" w14:textId="77777777" w:rsidR="006B7C3E" w:rsidRPr="00657FB4" w:rsidRDefault="006B7C3E" w:rsidP="00885D46">
            <w:pPr>
              <w:spacing w:before="40" w:after="40" w:line="240" w:lineRule="auto"/>
              <w:rPr>
                <w:rFonts w:ascii="Arial" w:hAnsi="Arial"/>
                <w:b/>
                <w:color w:val="000000" w:themeColor="text1"/>
                <w:sz w:val="14"/>
                <w:szCs w:val="14"/>
              </w:rPr>
            </w:pPr>
            <w:r w:rsidRPr="00657FB4">
              <w:rPr>
                <w:rFonts w:ascii="Arial" w:hAnsi="Arial"/>
                <w:color w:val="000000" w:themeColor="text1"/>
                <w:sz w:val="14"/>
                <w:szCs w:val="14"/>
              </w:rPr>
              <w:t>Life satisfaction - dissatisfied / very dissatisfied</w:t>
            </w:r>
          </w:p>
        </w:tc>
        <w:tc>
          <w:tcPr>
            <w:tcW w:w="1058" w:type="dxa"/>
            <w:vAlign w:val="center"/>
          </w:tcPr>
          <w:p w14:paraId="2BEBFD30"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w:t>
            </w:r>
          </w:p>
        </w:tc>
        <w:tc>
          <w:tcPr>
            <w:tcW w:w="851" w:type="dxa"/>
            <w:tcBorders>
              <w:right w:val="single" w:sz="8" w:space="0" w:color="auto"/>
            </w:tcBorders>
            <w:vAlign w:val="center"/>
          </w:tcPr>
          <w:p w14:paraId="175CE30C"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16</w:t>
            </w:r>
          </w:p>
        </w:tc>
        <w:tc>
          <w:tcPr>
            <w:tcW w:w="992" w:type="dxa"/>
            <w:tcBorders>
              <w:left w:val="single" w:sz="8" w:space="0" w:color="auto"/>
            </w:tcBorders>
            <w:vAlign w:val="center"/>
          </w:tcPr>
          <w:p w14:paraId="617EF735"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7</w:t>
            </w:r>
          </w:p>
        </w:tc>
        <w:tc>
          <w:tcPr>
            <w:tcW w:w="856" w:type="dxa"/>
            <w:vAlign w:val="center"/>
          </w:tcPr>
          <w:p w14:paraId="5EDEA0C4" w14:textId="77777777" w:rsidR="006B7C3E" w:rsidRPr="00657FB4" w:rsidRDefault="006B7C3E" w:rsidP="00885D46">
            <w:pPr>
              <w:spacing w:before="40" w:after="40" w:line="240" w:lineRule="auto"/>
              <w:jc w:val="center"/>
              <w:rPr>
                <w:rFonts w:ascii="Arial" w:hAnsi="Arial"/>
                <w:color w:val="000000" w:themeColor="text1"/>
                <w:sz w:val="14"/>
                <w:szCs w:val="14"/>
              </w:rPr>
            </w:pPr>
            <w:r w:rsidRPr="00657FB4">
              <w:rPr>
                <w:rFonts w:ascii="Arial" w:hAnsi="Arial"/>
                <w:color w:val="000000" w:themeColor="text1"/>
                <w:sz w:val="14"/>
                <w:szCs w:val="14"/>
              </w:rPr>
              <w:t>13</w:t>
            </w:r>
          </w:p>
        </w:tc>
      </w:tr>
    </w:tbl>
    <w:p w14:paraId="795ECECA" w14:textId="77777777" w:rsidR="006B7C3E" w:rsidRPr="00657FB4" w:rsidRDefault="006B7C3E" w:rsidP="006B7C3E">
      <w:pPr>
        <w:spacing w:before="60" w:after="0" w:line="240" w:lineRule="auto"/>
        <w:ind w:left="1276" w:right="662" w:hanging="426"/>
        <w:rPr>
          <w:rFonts w:ascii="Arial" w:hAnsi="Arial"/>
          <w:color w:val="000000" w:themeColor="text1"/>
          <w:sz w:val="16"/>
          <w:szCs w:val="16"/>
        </w:rPr>
      </w:pPr>
      <w:r w:rsidRPr="00657FB4">
        <w:rPr>
          <w:rFonts w:ascii="Arial" w:hAnsi="Arial"/>
          <w:color w:val="000000" w:themeColor="text1"/>
          <w:sz w:val="16"/>
          <w:szCs w:val="16"/>
        </w:rPr>
        <w:t>Notes for table:</w:t>
      </w:r>
    </w:p>
    <w:p w14:paraId="45302241" w14:textId="77777777" w:rsidR="006B7C3E" w:rsidRPr="00704B95" w:rsidRDefault="006B7C3E" w:rsidP="00822927">
      <w:pPr>
        <w:pStyle w:val="ListParagraph"/>
        <w:numPr>
          <w:ilvl w:val="0"/>
          <w:numId w:val="27"/>
        </w:numPr>
        <w:spacing w:before="40" w:after="0" w:line="240" w:lineRule="auto"/>
        <w:ind w:left="1417" w:right="663" w:hanging="215"/>
        <w:contextualSpacing w:val="0"/>
        <w:rPr>
          <w:rFonts w:ascii="Arial" w:hAnsi="Arial"/>
          <w:sz w:val="16"/>
          <w:szCs w:val="16"/>
        </w:rPr>
      </w:pPr>
      <w:r w:rsidRPr="00704B95">
        <w:rPr>
          <w:rFonts w:ascii="Arial" w:hAnsi="Arial"/>
          <w:sz w:val="16"/>
          <w:szCs w:val="16"/>
        </w:rPr>
        <w:t>Q1 = households in the lower 20% (quintile) of the (equivalised) BHC income distribution.</w:t>
      </w:r>
    </w:p>
    <w:p w14:paraId="629EEFA7" w14:textId="3DB1FE7B" w:rsidR="006B7C3E" w:rsidRPr="00704B95" w:rsidRDefault="006B7C3E" w:rsidP="00822927">
      <w:pPr>
        <w:pStyle w:val="ListParagraph"/>
        <w:numPr>
          <w:ilvl w:val="0"/>
          <w:numId w:val="27"/>
        </w:numPr>
        <w:spacing w:before="40" w:after="0" w:line="240" w:lineRule="auto"/>
        <w:ind w:left="1417" w:right="663" w:hanging="215"/>
        <w:contextualSpacing w:val="0"/>
        <w:rPr>
          <w:rFonts w:ascii="Arial" w:hAnsi="Arial"/>
          <w:sz w:val="16"/>
          <w:szCs w:val="16"/>
        </w:rPr>
      </w:pPr>
      <w:r w:rsidRPr="00704B95">
        <w:rPr>
          <w:rFonts w:ascii="Arial" w:hAnsi="Arial"/>
          <w:sz w:val="16"/>
          <w:szCs w:val="16"/>
        </w:rPr>
        <w:t>OTI = ratio of housing outgoings to income</w:t>
      </w:r>
      <w:r w:rsidR="00F50885">
        <w:rPr>
          <w:rFonts w:ascii="Arial" w:hAnsi="Arial"/>
          <w:sz w:val="16"/>
          <w:szCs w:val="16"/>
        </w:rPr>
        <w:t>.</w:t>
      </w:r>
    </w:p>
    <w:p w14:paraId="065CC3EC" w14:textId="747787BB" w:rsidR="006B7C3E" w:rsidRPr="00704B95" w:rsidRDefault="00B51AE7" w:rsidP="00822927">
      <w:pPr>
        <w:pStyle w:val="ListParagraph"/>
        <w:numPr>
          <w:ilvl w:val="0"/>
          <w:numId w:val="27"/>
        </w:numPr>
        <w:spacing w:before="40" w:after="0" w:line="240" w:lineRule="auto"/>
        <w:ind w:left="1417" w:right="663" w:hanging="215"/>
        <w:contextualSpacing w:val="0"/>
        <w:rPr>
          <w:rFonts w:ascii="Arial" w:hAnsi="Arial"/>
          <w:sz w:val="16"/>
          <w:szCs w:val="16"/>
        </w:rPr>
      </w:pPr>
      <w:r w:rsidRPr="00704B95">
        <w:rPr>
          <w:rFonts w:ascii="Arial" w:hAnsi="Arial"/>
          <w:sz w:val="16"/>
          <w:szCs w:val="16"/>
        </w:rPr>
        <w:t>S</w:t>
      </w:r>
      <w:r w:rsidR="006B7C3E" w:rsidRPr="00704B95">
        <w:rPr>
          <w:rFonts w:ascii="Arial" w:hAnsi="Arial"/>
          <w:sz w:val="16"/>
          <w:szCs w:val="16"/>
        </w:rPr>
        <w:t>ocial rentals are excluded – these all have low OTIs but eligibility requirements mean that most have high material deprivation</w:t>
      </w:r>
      <w:r w:rsidR="00F50885">
        <w:rPr>
          <w:rFonts w:ascii="Arial" w:hAnsi="Arial"/>
          <w:sz w:val="16"/>
          <w:szCs w:val="16"/>
        </w:rPr>
        <w:t>.</w:t>
      </w:r>
    </w:p>
    <w:p w14:paraId="2FD4D794" w14:textId="707C87ED" w:rsidR="006B7C3E" w:rsidRPr="00704B95" w:rsidRDefault="00B51AE7" w:rsidP="00822927">
      <w:pPr>
        <w:pStyle w:val="ListParagraph"/>
        <w:numPr>
          <w:ilvl w:val="0"/>
          <w:numId w:val="27"/>
        </w:numPr>
        <w:spacing w:before="40" w:after="0" w:line="240" w:lineRule="auto"/>
        <w:ind w:left="1417" w:right="663" w:hanging="215"/>
        <w:contextualSpacing w:val="0"/>
        <w:rPr>
          <w:rFonts w:ascii="Arial" w:hAnsi="Arial"/>
          <w:sz w:val="16"/>
          <w:szCs w:val="16"/>
        </w:rPr>
      </w:pPr>
      <w:r w:rsidRPr="00704B95">
        <w:rPr>
          <w:rFonts w:ascii="Arial" w:hAnsi="Arial"/>
          <w:sz w:val="16"/>
          <w:szCs w:val="16"/>
        </w:rPr>
        <w:t>H</w:t>
      </w:r>
      <w:r w:rsidR="006B7C3E" w:rsidRPr="00704B95">
        <w:rPr>
          <w:rFonts w:ascii="Arial" w:hAnsi="Arial"/>
          <w:sz w:val="16"/>
          <w:szCs w:val="16"/>
        </w:rPr>
        <w:t>ousing costs include rates, rent, mortgage and dwelling insurance</w:t>
      </w:r>
      <w:r w:rsidR="00F50885">
        <w:rPr>
          <w:rFonts w:ascii="Arial" w:hAnsi="Arial"/>
          <w:sz w:val="16"/>
          <w:szCs w:val="16"/>
        </w:rPr>
        <w:t>.</w:t>
      </w:r>
    </w:p>
    <w:p w14:paraId="7B42688E" w14:textId="289EFBDC" w:rsidR="00F50885" w:rsidRDefault="00B51AE7" w:rsidP="00822927">
      <w:pPr>
        <w:pStyle w:val="ListParagraph"/>
        <w:numPr>
          <w:ilvl w:val="0"/>
          <w:numId w:val="27"/>
        </w:numPr>
        <w:spacing w:before="40" w:after="0" w:line="240" w:lineRule="auto"/>
        <w:ind w:left="1417" w:right="663" w:hanging="215"/>
        <w:contextualSpacing w:val="0"/>
        <w:rPr>
          <w:rFonts w:ascii="Arial" w:hAnsi="Arial"/>
          <w:sz w:val="16"/>
          <w:szCs w:val="16"/>
        </w:rPr>
      </w:pPr>
      <w:r w:rsidRPr="00704B95">
        <w:rPr>
          <w:rFonts w:ascii="Arial" w:hAnsi="Arial"/>
          <w:sz w:val="16"/>
          <w:szCs w:val="16"/>
        </w:rPr>
        <w:t>A</w:t>
      </w:r>
      <w:r w:rsidR="006B7C3E" w:rsidRPr="00704B95">
        <w:rPr>
          <w:rFonts w:ascii="Arial" w:hAnsi="Arial"/>
          <w:sz w:val="16"/>
          <w:szCs w:val="16"/>
        </w:rPr>
        <w:t xml:space="preserve"> gap (OTIs 38-42%) is created between the higher and lower OTIs to reduce the ‘noise’ introduced by households that are just above or just below the OTI 40% boundary</w:t>
      </w:r>
      <w:r w:rsidR="00F50885">
        <w:rPr>
          <w:rFonts w:ascii="Arial" w:hAnsi="Arial"/>
          <w:sz w:val="16"/>
          <w:szCs w:val="16"/>
        </w:rPr>
        <w:t>..</w:t>
      </w:r>
    </w:p>
    <w:p w14:paraId="28D0038B" w14:textId="43B8E678" w:rsidR="00822927" w:rsidRPr="00822927" w:rsidRDefault="00822927" w:rsidP="00822927">
      <w:pPr>
        <w:pStyle w:val="ListParagraph"/>
        <w:numPr>
          <w:ilvl w:val="0"/>
          <w:numId w:val="27"/>
        </w:numPr>
        <w:spacing w:before="40" w:after="0" w:line="240" w:lineRule="auto"/>
        <w:ind w:left="1417" w:right="663" w:hanging="215"/>
        <w:contextualSpacing w:val="0"/>
        <w:rPr>
          <w:rFonts w:ascii="Arial" w:hAnsi="Arial"/>
          <w:color w:val="000000" w:themeColor="text1"/>
          <w:sz w:val="16"/>
          <w:szCs w:val="16"/>
        </w:rPr>
      </w:pPr>
      <w:r w:rsidRPr="00822927">
        <w:rPr>
          <w:rFonts w:ascii="Arial" w:hAnsi="Arial"/>
          <w:sz w:val="16"/>
          <w:szCs w:val="16"/>
        </w:rPr>
        <w:t xml:space="preserve">Households with BHC incomes under $6000 </w:t>
      </w:r>
      <w:r>
        <w:rPr>
          <w:rFonts w:ascii="Arial" w:hAnsi="Arial"/>
          <w:sz w:val="16"/>
          <w:szCs w:val="16"/>
        </w:rPr>
        <w:t xml:space="preserve">pa </w:t>
      </w:r>
      <w:r w:rsidRPr="00822927">
        <w:rPr>
          <w:rFonts w:ascii="Arial" w:hAnsi="Arial"/>
          <w:sz w:val="16"/>
          <w:szCs w:val="16"/>
        </w:rPr>
        <w:t xml:space="preserve">who self-assess their income as ‘enough’ or ‘more than enough’ and who have a DEP-17 score of zero … are removed from the data to reduce the chances of these households contaminating the profile of high OTI households and diluting the seriousness of the reported hardship of this group. </w:t>
      </w:r>
      <w:r w:rsidRPr="00822927">
        <w:rPr>
          <w:rFonts w:ascii="Arial" w:hAnsi="Arial"/>
          <w:color w:val="000000" w:themeColor="text1"/>
          <w:sz w:val="16"/>
          <w:szCs w:val="16"/>
        </w:rPr>
        <w:t xml:space="preserve">This treatment removes 53 households, representing around 20,000 </w:t>
      </w:r>
      <w:r w:rsidR="00E85AA1">
        <w:rPr>
          <w:rFonts w:ascii="Arial" w:hAnsi="Arial"/>
          <w:color w:val="000000" w:themeColor="text1"/>
          <w:sz w:val="16"/>
          <w:szCs w:val="16"/>
        </w:rPr>
        <w:t>households</w:t>
      </w:r>
      <w:r w:rsidRPr="00822927">
        <w:rPr>
          <w:rFonts w:ascii="Arial" w:hAnsi="Arial"/>
          <w:color w:val="000000" w:themeColor="text1"/>
          <w:sz w:val="16"/>
          <w:szCs w:val="16"/>
        </w:rPr>
        <w:t xml:space="preserve"> in the weighted data. This is around 6% of Q1</w:t>
      </w:r>
      <w:r>
        <w:rPr>
          <w:rFonts w:ascii="Arial" w:hAnsi="Arial"/>
          <w:color w:val="000000" w:themeColor="text1"/>
          <w:sz w:val="16"/>
          <w:szCs w:val="16"/>
        </w:rPr>
        <w:t xml:space="preserve"> </w:t>
      </w:r>
      <w:r w:rsidRPr="00822927">
        <w:rPr>
          <w:rFonts w:ascii="Arial" w:hAnsi="Arial"/>
          <w:color w:val="000000" w:themeColor="text1"/>
          <w:sz w:val="16"/>
          <w:szCs w:val="16"/>
        </w:rPr>
        <w:t>households. See Section O in Perry (2021) for more detail on this.</w:t>
      </w:r>
    </w:p>
    <w:p w14:paraId="23D5E004" w14:textId="77777777" w:rsidR="001D082A" w:rsidRPr="00704B95" w:rsidRDefault="001D082A" w:rsidP="00704B95">
      <w:pPr>
        <w:pStyle w:val="ListParagraph"/>
        <w:numPr>
          <w:ilvl w:val="0"/>
          <w:numId w:val="27"/>
        </w:numPr>
        <w:spacing w:after="0" w:line="240" w:lineRule="auto"/>
        <w:rPr>
          <w:rFonts w:ascii="Arial" w:hAnsi="Arial"/>
          <w:b/>
          <w:sz w:val="28"/>
        </w:rPr>
      </w:pPr>
      <w:r w:rsidRPr="00704B95">
        <w:rPr>
          <w:rFonts w:ascii="Arial" w:hAnsi="Arial"/>
          <w:b/>
          <w:sz w:val="28"/>
        </w:rPr>
        <w:br w:type="page"/>
      </w:r>
    </w:p>
    <w:p w14:paraId="7A054919" w14:textId="77777777" w:rsidR="000B02F7" w:rsidRPr="00FD23FD" w:rsidRDefault="000B02F7" w:rsidP="000B02F7">
      <w:pPr>
        <w:spacing w:after="0" w:line="240" w:lineRule="auto"/>
        <w:rPr>
          <w:rFonts w:ascii="Arial" w:hAnsi="Arial"/>
          <w:b/>
          <w:sz w:val="28"/>
        </w:rPr>
      </w:pPr>
      <w:r w:rsidRPr="00FD23FD">
        <w:rPr>
          <w:rFonts w:ascii="Arial" w:hAnsi="Arial"/>
          <w:b/>
          <w:sz w:val="28"/>
        </w:rPr>
        <w:lastRenderedPageBreak/>
        <w:t>Appendix</w:t>
      </w:r>
      <w:r>
        <w:rPr>
          <w:rFonts w:ascii="Arial" w:hAnsi="Arial"/>
          <w:b/>
          <w:sz w:val="28"/>
        </w:rPr>
        <w:t xml:space="preserve"> 2</w:t>
      </w:r>
    </w:p>
    <w:p w14:paraId="37D23A2B" w14:textId="77777777" w:rsidR="000B02F7" w:rsidRDefault="000B02F7" w:rsidP="000B02F7">
      <w:pPr>
        <w:spacing w:after="0" w:line="240" w:lineRule="auto"/>
        <w:rPr>
          <w:rFonts w:ascii="Arial" w:hAnsi="Arial"/>
        </w:rPr>
      </w:pPr>
    </w:p>
    <w:p w14:paraId="170E67A7" w14:textId="132F4955" w:rsidR="000B02F7" w:rsidRDefault="0057662B" w:rsidP="000B02F7">
      <w:pPr>
        <w:spacing w:after="0" w:line="240" w:lineRule="auto"/>
        <w:rPr>
          <w:rFonts w:ascii="Arial" w:hAnsi="Arial"/>
          <w:b/>
          <w:color w:val="FF0000"/>
          <w:sz w:val="22"/>
        </w:rPr>
      </w:pPr>
      <w:bookmarkStart w:id="17" w:name="_Hlk82527998"/>
      <w:r>
        <w:rPr>
          <w:rFonts w:ascii="Arial" w:hAnsi="Arial"/>
          <w:b/>
          <w:sz w:val="22"/>
        </w:rPr>
        <w:t xml:space="preserve">Comparison of information sent to </w:t>
      </w:r>
      <w:r w:rsidR="00A96100">
        <w:rPr>
          <w:rFonts w:ascii="Arial" w:hAnsi="Arial"/>
          <w:b/>
          <w:sz w:val="22"/>
        </w:rPr>
        <w:t xml:space="preserve">the </w:t>
      </w:r>
      <w:r>
        <w:rPr>
          <w:rFonts w:ascii="Arial" w:hAnsi="Arial"/>
          <w:b/>
          <w:sz w:val="22"/>
        </w:rPr>
        <w:t xml:space="preserve">OECD by Stats NZ in 2018 and the information </w:t>
      </w:r>
      <w:r w:rsidR="00A96100">
        <w:rPr>
          <w:rFonts w:ascii="Arial" w:hAnsi="Arial"/>
          <w:b/>
          <w:sz w:val="22"/>
        </w:rPr>
        <w:t xml:space="preserve">provided </w:t>
      </w:r>
      <w:r>
        <w:rPr>
          <w:rFonts w:ascii="Arial" w:hAnsi="Arial"/>
          <w:b/>
          <w:sz w:val="22"/>
        </w:rPr>
        <w:t>in this report, reflecting differences in methodology and a wider range of reporting by MSD</w:t>
      </w:r>
    </w:p>
    <w:bookmarkEnd w:id="17"/>
    <w:p w14:paraId="1EAB37F4" w14:textId="77777777" w:rsidR="000B02F7" w:rsidRPr="00EA4E72" w:rsidRDefault="000B02F7" w:rsidP="000B02F7">
      <w:pPr>
        <w:spacing w:after="0" w:line="240" w:lineRule="auto"/>
        <w:rPr>
          <w:rFonts w:ascii="Arial" w:hAnsi="Arial"/>
          <w:b/>
          <w:color w:val="FF0000"/>
          <w:sz w:val="22"/>
        </w:rPr>
      </w:pPr>
    </w:p>
    <w:p w14:paraId="61BDBD32" w14:textId="77777777" w:rsidR="00A96100" w:rsidRDefault="008125CB" w:rsidP="008125CB">
      <w:pPr>
        <w:pStyle w:val="FootnoteText"/>
        <w:rPr>
          <w:rFonts w:ascii="Arial" w:eastAsia="Times New Roman" w:hAnsi="Arial" w:cs="Times New Roman"/>
          <w:color w:val="000000" w:themeColor="text1"/>
          <w:sz w:val="20"/>
          <w:szCs w:val="22"/>
          <w:lang w:val="en-GB"/>
        </w:rPr>
      </w:pPr>
      <w:r w:rsidRPr="008125CB">
        <w:rPr>
          <w:rFonts w:ascii="Arial" w:eastAsia="Times New Roman" w:hAnsi="Arial" w:cs="Times New Roman"/>
          <w:color w:val="000000" w:themeColor="text1"/>
          <w:sz w:val="20"/>
          <w:szCs w:val="22"/>
          <w:lang w:val="en-GB"/>
        </w:rPr>
        <w:t>Stats NZ provided 2016-17 HES-based information to the OECD</w:t>
      </w:r>
      <w:r>
        <w:rPr>
          <w:rFonts w:ascii="Arial" w:eastAsia="Times New Roman" w:hAnsi="Arial" w:cs="Times New Roman"/>
          <w:color w:val="000000" w:themeColor="text1"/>
          <w:sz w:val="20"/>
          <w:szCs w:val="22"/>
          <w:lang w:val="en-GB"/>
        </w:rPr>
        <w:t xml:space="preserve"> for the 2018 OECD report. </w:t>
      </w:r>
      <w:r w:rsidR="00327F85">
        <w:rPr>
          <w:rFonts w:ascii="Arial" w:eastAsia="Times New Roman" w:hAnsi="Arial" w:cs="Times New Roman"/>
          <w:color w:val="000000" w:themeColor="text1"/>
          <w:sz w:val="20"/>
          <w:szCs w:val="22"/>
          <w:lang w:val="en-GB"/>
        </w:rPr>
        <w:t xml:space="preserve">This MSD report updates the data to 2017-18 </w:t>
      </w:r>
      <w:r w:rsidR="00013DE9">
        <w:rPr>
          <w:rFonts w:ascii="Arial" w:eastAsia="Times New Roman" w:hAnsi="Arial" w:cs="Times New Roman"/>
          <w:color w:val="000000" w:themeColor="text1"/>
          <w:sz w:val="20"/>
          <w:szCs w:val="22"/>
          <w:lang w:val="en-GB"/>
        </w:rPr>
        <w:t>using</w:t>
      </w:r>
      <w:r w:rsidR="00327F85">
        <w:rPr>
          <w:rFonts w:ascii="Arial" w:eastAsia="Times New Roman" w:hAnsi="Arial" w:cs="Times New Roman"/>
          <w:color w:val="000000" w:themeColor="text1"/>
          <w:sz w:val="20"/>
          <w:szCs w:val="22"/>
          <w:lang w:val="en-GB"/>
        </w:rPr>
        <w:t xml:space="preserve"> a methodology in line with that of the bulk</w:t>
      </w:r>
      <w:r w:rsidR="00013DE9">
        <w:rPr>
          <w:rFonts w:ascii="Arial" w:eastAsia="Times New Roman" w:hAnsi="Arial" w:cs="Times New Roman"/>
          <w:color w:val="000000" w:themeColor="text1"/>
          <w:sz w:val="20"/>
          <w:szCs w:val="22"/>
          <w:lang w:val="en-GB"/>
        </w:rPr>
        <w:t xml:space="preserve"> of other OECD countries and with the OECD’s standard approach. It also fills out some missing information.</w:t>
      </w:r>
      <w:r w:rsidR="00E97B99">
        <w:rPr>
          <w:rFonts w:ascii="Arial" w:eastAsia="Times New Roman" w:hAnsi="Arial" w:cs="Times New Roman"/>
          <w:color w:val="000000" w:themeColor="text1"/>
          <w:sz w:val="20"/>
          <w:szCs w:val="22"/>
          <w:lang w:val="en-GB"/>
        </w:rPr>
        <w:t xml:space="preserve"> </w:t>
      </w:r>
    </w:p>
    <w:p w14:paraId="2BB26213" w14:textId="47101B14" w:rsidR="00A96100" w:rsidRDefault="00A96100" w:rsidP="008125CB">
      <w:pPr>
        <w:pStyle w:val="FootnoteText"/>
        <w:rPr>
          <w:rFonts w:ascii="Arial" w:eastAsia="Times New Roman" w:hAnsi="Arial" w:cs="Times New Roman"/>
          <w:b/>
          <w:bCs/>
          <w:color w:val="000000" w:themeColor="text1"/>
          <w:sz w:val="20"/>
          <w:szCs w:val="22"/>
          <w:lang w:val="en-GB"/>
        </w:rPr>
      </w:pPr>
    </w:p>
    <w:p w14:paraId="4E5477E4" w14:textId="4FEBA807" w:rsidR="008125CB" w:rsidRDefault="00A96100" w:rsidP="008125CB">
      <w:pPr>
        <w:pStyle w:val="FootnoteText"/>
        <w:rPr>
          <w:rFonts w:ascii="Arial" w:eastAsia="Times New Roman" w:hAnsi="Arial" w:cs="Times New Roman"/>
          <w:color w:val="000000" w:themeColor="text1"/>
          <w:sz w:val="20"/>
          <w:szCs w:val="22"/>
          <w:lang w:val="en-GB"/>
        </w:rPr>
      </w:pPr>
      <w:r>
        <w:rPr>
          <w:rFonts w:ascii="Arial" w:eastAsia="Times New Roman" w:hAnsi="Arial" w:cs="Times New Roman"/>
          <w:b/>
          <w:bCs/>
          <w:color w:val="000000" w:themeColor="text1"/>
          <w:sz w:val="20"/>
          <w:szCs w:val="22"/>
          <w:lang w:val="en-GB"/>
        </w:rPr>
        <w:t>T</w:t>
      </w:r>
      <w:r w:rsidR="008125CB" w:rsidRPr="008125CB">
        <w:rPr>
          <w:rFonts w:ascii="Arial" w:eastAsia="Times New Roman" w:hAnsi="Arial" w:cs="Times New Roman"/>
          <w:b/>
          <w:bCs/>
          <w:color w:val="000000" w:themeColor="text1"/>
          <w:sz w:val="20"/>
          <w:szCs w:val="22"/>
          <w:lang w:val="en-GB"/>
        </w:rPr>
        <w:t>able 2.1</w:t>
      </w:r>
      <w:r w:rsidR="008125CB">
        <w:rPr>
          <w:rFonts w:ascii="Arial" w:eastAsia="Times New Roman" w:hAnsi="Arial" w:cs="Times New Roman"/>
          <w:color w:val="000000" w:themeColor="text1"/>
          <w:sz w:val="20"/>
          <w:szCs w:val="22"/>
          <w:lang w:val="en-GB"/>
        </w:rPr>
        <w:t xml:space="preserve"> below compares the methodology used by Stats NZ with that used by MSD</w:t>
      </w:r>
      <w:r w:rsidR="00327F85">
        <w:rPr>
          <w:rFonts w:ascii="Arial" w:eastAsia="Times New Roman" w:hAnsi="Arial" w:cs="Times New Roman"/>
          <w:color w:val="000000" w:themeColor="text1"/>
          <w:sz w:val="20"/>
          <w:szCs w:val="22"/>
          <w:lang w:val="en-GB"/>
        </w:rPr>
        <w:t xml:space="preserve"> in this report</w:t>
      </w:r>
      <w:r w:rsidR="008125CB">
        <w:rPr>
          <w:rFonts w:ascii="Arial" w:eastAsia="Times New Roman" w:hAnsi="Arial" w:cs="Times New Roman"/>
          <w:color w:val="000000" w:themeColor="text1"/>
          <w:sz w:val="20"/>
          <w:szCs w:val="22"/>
          <w:lang w:val="en-GB"/>
        </w:rPr>
        <w:t>.</w:t>
      </w:r>
    </w:p>
    <w:p w14:paraId="7A2E79D9" w14:textId="64056594" w:rsidR="008125CB" w:rsidRDefault="008125CB" w:rsidP="008125CB">
      <w:pPr>
        <w:pStyle w:val="FootnoteText"/>
        <w:rPr>
          <w:rFonts w:ascii="Arial" w:eastAsia="Times New Roman" w:hAnsi="Arial" w:cs="Times New Roman"/>
          <w:color w:val="000000" w:themeColor="text1"/>
          <w:sz w:val="20"/>
          <w:szCs w:val="22"/>
          <w:lang w:val="en-GB"/>
        </w:rPr>
      </w:pPr>
    </w:p>
    <w:p w14:paraId="28B9BCAA" w14:textId="73ABD877" w:rsidR="008125CB" w:rsidRPr="00A40198" w:rsidRDefault="008125CB" w:rsidP="008125CB">
      <w:pPr>
        <w:spacing w:after="0" w:line="240" w:lineRule="auto"/>
        <w:jc w:val="center"/>
        <w:rPr>
          <w:rFonts w:ascii="Arial" w:hAnsi="Arial"/>
          <w:b/>
          <w:bCs/>
          <w:sz w:val="18"/>
          <w:szCs w:val="18"/>
        </w:rPr>
      </w:pPr>
      <w:r w:rsidRPr="00A40198">
        <w:rPr>
          <w:rFonts w:ascii="Arial" w:hAnsi="Arial"/>
          <w:b/>
          <w:bCs/>
          <w:sz w:val="18"/>
          <w:szCs w:val="18"/>
        </w:rPr>
        <w:t>Table 2.</w:t>
      </w:r>
      <w:r>
        <w:rPr>
          <w:rFonts w:ascii="Arial" w:hAnsi="Arial"/>
          <w:b/>
          <w:bCs/>
          <w:sz w:val="18"/>
          <w:szCs w:val="18"/>
        </w:rPr>
        <w:t>1</w:t>
      </w:r>
    </w:p>
    <w:p w14:paraId="68A074AE" w14:textId="77777777" w:rsidR="00327F85" w:rsidRDefault="00327F85" w:rsidP="00327F85">
      <w:pPr>
        <w:spacing w:after="0" w:line="240" w:lineRule="auto"/>
        <w:jc w:val="center"/>
        <w:rPr>
          <w:rFonts w:ascii="Arial" w:hAnsi="Arial"/>
          <w:b/>
          <w:bCs/>
          <w:sz w:val="18"/>
          <w:szCs w:val="18"/>
        </w:rPr>
      </w:pPr>
      <w:r>
        <w:rPr>
          <w:rFonts w:ascii="Arial" w:hAnsi="Arial"/>
          <w:b/>
          <w:bCs/>
          <w:sz w:val="18"/>
          <w:szCs w:val="18"/>
        </w:rPr>
        <w:t>The</w:t>
      </w:r>
      <w:r w:rsidR="008125CB">
        <w:rPr>
          <w:rFonts w:ascii="Arial" w:hAnsi="Arial"/>
          <w:b/>
          <w:bCs/>
          <w:sz w:val="18"/>
          <w:szCs w:val="18"/>
        </w:rPr>
        <w:t xml:space="preserve"> difference </w:t>
      </w:r>
      <w:r>
        <w:rPr>
          <w:rFonts w:ascii="Arial" w:hAnsi="Arial"/>
          <w:b/>
          <w:bCs/>
          <w:sz w:val="18"/>
          <w:szCs w:val="18"/>
        </w:rPr>
        <w:t xml:space="preserve">between Stats NZ’s methodology for OECD comparisons </w:t>
      </w:r>
    </w:p>
    <w:p w14:paraId="041138A2" w14:textId="78085995" w:rsidR="008125CB" w:rsidRPr="00C572C9" w:rsidRDefault="00327F85" w:rsidP="008125CB">
      <w:pPr>
        <w:spacing w:line="240" w:lineRule="auto"/>
        <w:jc w:val="center"/>
        <w:rPr>
          <w:rFonts w:ascii="Arial" w:hAnsi="Arial"/>
          <w:b/>
          <w:bCs/>
          <w:sz w:val="18"/>
          <w:szCs w:val="18"/>
        </w:rPr>
      </w:pPr>
      <w:r>
        <w:rPr>
          <w:rFonts w:ascii="Arial" w:hAnsi="Arial"/>
          <w:b/>
          <w:bCs/>
          <w:sz w:val="18"/>
          <w:szCs w:val="18"/>
        </w:rPr>
        <w:t>and that used by MSD for the comparisons in this report</w:t>
      </w:r>
    </w:p>
    <w:tbl>
      <w:tblPr>
        <w:tblStyle w:val="TableGrid"/>
        <w:tblW w:w="0" w:type="auto"/>
        <w:jc w:val="center"/>
        <w:tblLook w:val="04A0" w:firstRow="1" w:lastRow="0" w:firstColumn="1" w:lastColumn="0" w:noHBand="0" w:noVBand="1"/>
      </w:tblPr>
      <w:tblGrid>
        <w:gridCol w:w="1980"/>
        <w:gridCol w:w="1417"/>
        <w:gridCol w:w="2127"/>
        <w:gridCol w:w="3118"/>
      </w:tblGrid>
      <w:tr w:rsidR="008125CB" w14:paraId="3D7394D3" w14:textId="27600701" w:rsidTr="00327F85">
        <w:trPr>
          <w:jc w:val="center"/>
        </w:trPr>
        <w:tc>
          <w:tcPr>
            <w:tcW w:w="1980" w:type="dxa"/>
          </w:tcPr>
          <w:p w14:paraId="59171F6B" w14:textId="77777777" w:rsidR="008125CB" w:rsidRPr="00327F85" w:rsidRDefault="008125CB" w:rsidP="00327F85">
            <w:pPr>
              <w:spacing w:before="60" w:after="60" w:line="240" w:lineRule="auto"/>
              <w:rPr>
                <w:rFonts w:ascii="Arial" w:hAnsi="Arial"/>
                <w:sz w:val="16"/>
                <w:szCs w:val="16"/>
              </w:rPr>
            </w:pPr>
          </w:p>
        </w:tc>
        <w:tc>
          <w:tcPr>
            <w:tcW w:w="1417" w:type="dxa"/>
            <w:tcMar>
              <w:left w:w="28" w:type="dxa"/>
              <w:right w:w="28" w:type="dxa"/>
            </w:tcMar>
            <w:vAlign w:val="center"/>
          </w:tcPr>
          <w:p w14:paraId="671D42DB" w14:textId="77777777" w:rsidR="008125CB" w:rsidRPr="00327F85" w:rsidRDefault="008125CB" w:rsidP="00327F85">
            <w:pPr>
              <w:spacing w:before="60" w:after="60" w:line="240" w:lineRule="auto"/>
              <w:jc w:val="center"/>
              <w:rPr>
                <w:rFonts w:ascii="Arial" w:hAnsi="Arial"/>
                <w:b/>
                <w:sz w:val="16"/>
                <w:szCs w:val="16"/>
              </w:rPr>
            </w:pPr>
            <w:r w:rsidRPr="00327F85">
              <w:rPr>
                <w:rFonts w:ascii="Arial" w:hAnsi="Arial"/>
                <w:b/>
                <w:sz w:val="16"/>
                <w:szCs w:val="16"/>
              </w:rPr>
              <w:t>Stats NZ to OECD</w:t>
            </w:r>
          </w:p>
        </w:tc>
        <w:tc>
          <w:tcPr>
            <w:tcW w:w="2127" w:type="dxa"/>
            <w:tcMar>
              <w:left w:w="28" w:type="dxa"/>
              <w:right w:w="28" w:type="dxa"/>
            </w:tcMar>
            <w:vAlign w:val="center"/>
          </w:tcPr>
          <w:p w14:paraId="689AB67B" w14:textId="677A423B" w:rsidR="008125CB" w:rsidRPr="00327F85" w:rsidRDefault="008125CB" w:rsidP="00327F85">
            <w:pPr>
              <w:spacing w:before="60" w:after="60" w:line="240" w:lineRule="auto"/>
              <w:jc w:val="center"/>
              <w:rPr>
                <w:rFonts w:ascii="Arial" w:hAnsi="Arial"/>
                <w:b/>
                <w:sz w:val="16"/>
                <w:szCs w:val="16"/>
              </w:rPr>
            </w:pPr>
            <w:r w:rsidRPr="00327F85">
              <w:rPr>
                <w:rFonts w:ascii="Arial" w:hAnsi="Arial"/>
                <w:b/>
                <w:sz w:val="16"/>
                <w:szCs w:val="16"/>
              </w:rPr>
              <w:t xml:space="preserve">MSD </w:t>
            </w:r>
            <w:r w:rsidR="00942827" w:rsidRPr="00327F85">
              <w:rPr>
                <w:rFonts w:ascii="Arial" w:hAnsi="Arial"/>
                <w:b/>
                <w:sz w:val="16"/>
                <w:szCs w:val="16"/>
              </w:rPr>
              <w:t>(this report)</w:t>
            </w:r>
          </w:p>
        </w:tc>
        <w:tc>
          <w:tcPr>
            <w:tcW w:w="3118" w:type="dxa"/>
          </w:tcPr>
          <w:p w14:paraId="29F97F97" w14:textId="5F2CFDF1" w:rsidR="008125CB" w:rsidRPr="00327F85" w:rsidRDefault="008125CB" w:rsidP="00327F85">
            <w:pPr>
              <w:spacing w:before="60" w:after="60" w:line="240" w:lineRule="auto"/>
              <w:jc w:val="center"/>
              <w:rPr>
                <w:rFonts w:ascii="Arial" w:hAnsi="Arial"/>
                <w:b/>
                <w:sz w:val="16"/>
                <w:szCs w:val="16"/>
              </w:rPr>
            </w:pPr>
            <w:r w:rsidRPr="00327F85">
              <w:rPr>
                <w:rFonts w:ascii="Arial" w:hAnsi="Arial"/>
                <w:b/>
                <w:sz w:val="16"/>
                <w:szCs w:val="16"/>
              </w:rPr>
              <w:t>Comments</w:t>
            </w:r>
          </w:p>
        </w:tc>
      </w:tr>
      <w:tr w:rsidR="008125CB" w14:paraId="400D837A" w14:textId="63A08F9B" w:rsidTr="00327F85">
        <w:trPr>
          <w:jc w:val="center"/>
        </w:trPr>
        <w:tc>
          <w:tcPr>
            <w:tcW w:w="1980" w:type="dxa"/>
            <w:vAlign w:val="center"/>
          </w:tcPr>
          <w:p w14:paraId="1621311B" w14:textId="2BCF69E5" w:rsidR="008125CB" w:rsidRPr="008125CB" w:rsidRDefault="008125CB" w:rsidP="00327F85">
            <w:pPr>
              <w:spacing w:before="60" w:after="60" w:line="240" w:lineRule="auto"/>
              <w:ind w:left="34"/>
              <w:rPr>
                <w:rFonts w:ascii="Arial" w:hAnsi="Arial"/>
                <w:sz w:val="14"/>
                <w:szCs w:val="14"/>
              </w:rPr>
            </w:pPr>
            <w:r w:rsidRPr="008125CB">
              <w:rPr>
                <w:rFonts w:ascii="Arial" w:hAnsi="Arial"/>
                <w:sz w:val="14"/>
                <w:szCs w:val="14"/>
              </w:rPr>
              <w:t>Household income</w:t>
            </w:r>
            <w:r w:rsidR="00327F85">
              <w:rPr>
                <w:rFonts w:ascii="Arial" w:hAnsi="Arial"/>
                <w:sz w:val="14"/>
                <w:szCs w:val="14"/>
              </w:rPr>
              <w:t xml:space="preserve"> for construction of OTIs</w:t>
            </w:r>
          </w:p>
        </w:tc>
        <w:tc>
          <w:tcPr>
            <w:tcW w:w="1417" w:type="dxa"/>
            <w:vAlign w:val="center"/>
          </w:tcPr>
          <w:p w14:paraId="1265931B" w14:textId="50B94AA0" w:rsidR="008125CB" w:rsidRPr="00423DDB" w:rsidRDefault="008125CB" w:rsidP="00327F85">
            <w:pPr>
              <w:spacing w:before="60" w:after="60" w:line="240" w:lineRule="auto"/>
              <w:rPr>
                <w:rFonts w:ascii="Arial" w:hAnsi="Arial"/>
                <w:sz w:val="14"/>
                <w:szCs w:val="14"/>
              </w:rPr>
            </w:pPr>
            <w:r>
              <w:rPr>
                <w:rFonts w:ascii="Arial" w:hAnsi="Arial"/>
                <w:sz w:val="14"/>
                <w:szCs w:val="14"/>
              </w:rPr>
              <w:t xml:space="preserve">Gross </w:t>
            </w:r>
          </w:p>
        </w:tc>
        <w:tc>
          <w:tcPr>
            <w:tcW w:w="2127" w:type="dxa"/>
            <w:vAlign w:val="center"/>
          </w:tcPr>
          <w:p w14:paraId="5DC9326C" w14:textId="57CA46D6" w:rsidR="008125CB" w:rsidRPr="00423DDB" w:rsidRDefault="00942827" w:rsidP="00327F85">
            <w:pPr>
              <w:spacing w:before="60" w:after="60" w:line="240" w:lineRule="auto"/>
              <w:rPr>
                <w:rFonts w:ascii="Arial" w:hAnsi="Arial"/>
                <w:sz w:val="14"/>
                <w:szCs w:val="14"/>
              </w:rPr>
            </w:pPr>
            <w:r>
              <w:rPr>
                <w:rFonts w:ascii="Arial" w:hAnsi="Arial"/>
                <w:sz w:val="14"/>
                <w:szCs w:val="14"/>
              </w:rPr>
              <w:t>Disposable (</w:t>
            </w:r>
            <w:proofErr w:type="spellStart"/>
            <w:r>
              <w:rPr>
                <w:rFonts w:ascii="Arial" w:hAnsi="Arial"/>
                <w:sz w:val="14"/>
                <w:szCs w:val="14"/>
              </w:rPr>
              <w:t>ie</w:t>
            </w:r>
            <w:proofErr w:type="spellEnd"/>
            <w:r>
              <w:rPr>
                <w:rFonts w:ascii="Arial" w:hAnsi="Arial"/>
                <w:sz w:val="14"/>
                <w:szCs w:val="14"/>
              </w:rPr>
              <w:t xml:space="preserve"> after tax and transfers)</w:t>
            </w:r>
          </w:p>
        </w:tc>
        <w:tc>
          <w:tcPr>
            <w:tcW w:w="3118" w:type="dxa"/>
            <w:vAlign w:val="center"/>
          </w:tcPr>
          <w:p w14:paraId="21B21FA7" w14:textId="4F1E37C1" w:rsidR="008125CB" w:rsidRPr="00423DDB" w:rsidRDefault="00942827" w:rsidP="00327F85">
            <w:pPr>
              <w:spacing w:before="60" w:after="60" w:line="240" w:lineRule="auto"/>
              <w:rPr>
                <w:rFonts w:ascii="Arial" w:hAnsi="Arial"/>
                <w:sz w:val="14"/>
                <w:szCs w:val="14"/>
              </w:rPr>
            </w:pPr>
            <w:r>
              <w:rPr>
                <w:rFonts w:ascii="Arial" w:hAnsi="Arial"/>
                <w:sz w:val="14"/>
                <w:szCs w:val="14"/>
              </w:rPr>
              <w:t>Stats advised that disposable was not available</w:t>
            </w:r>
            <w:r w:rsidR="00C7349C">
              <w:rPr>
                <w:rFonts w:ascii="Arial" w:hAnsi="Arial"/>
                <w:sz w:val="14"/>
                <w:szCs w:val="14"/>
              </w:rPr>
              <w:t xml:space="preserve"> ‘due to data limitations’</w:t>
            </w:r>
            <w:r>
              <w:rPr>
                <w:rFonts w:ascii="Arial" w:hAnsi="Arial"/>
                <w:sz w:val="14"/>
                <w:szCs w:val="14"/>
              </w:rPr>
              <w:t>. Mexico, Chile, So</w:t>
            </w:r>
            <w:r w:rsidR="00C7349C">
              <w:rPr>
                <w:rFonts w:ascii="Arial" w:hAnsi="Arial"/>
                <w:sz w:val="14"/>
                <w:szCs w:val="14"/>
              </w:rPr>
              <w:t>u</w:t>
            </w:r>
            <w:r>
              <w:rPr>
                <w:rFonts w:ascii="Arial" w:hAnsi="Arial"/>
                <w:sz w:val="14"/>
                <w:szCs w:val="14"/>
              </w:rPr>
              <w:t>th Korea and the USA did the same</w:t>
            </w:r>
            <w:r w:rsidR="00327F85">
              <w:rPr>
                <w:rFonts w:ascii="Arial" w:hAnsi="Arial"/>
                <w:sz w:val="14"/>
                <w:szCs w:val="14"/>
              </w:rPr>
              <w:t>.</w:t>
            </w:r>
          </w:p>
        </w:tc>
      </w:tr>
      <w:tr w:rsidR="008125CB" w14:paraId="73AC45EF" w14:textId="49750430" w:rsidTr="00327F85">
        <w:trPr>
          <w:jc w:val="center"/>
        </w:trPr>
        <w:tc>
          <w:tcPr>
            <w:tcW w:w="1980" w:type="dxa"/>
            <w:vAlign w:val="center"/>
          </w:tcPr>
          <w:p w14:paraId="6179C3DF" w14:textId="0BF1B514" w:rsidR="008125CB" w:rsidRPr="008125CB" w:rsidRDefault="008125CB" w:rsidP="00327F85">
            <w:pPr>
              <w:spacing w:before="60" w:after="60" w:line="240" w:lineRule="auto"/>
              <w:ind w:left="34"/>
              <w:rPr>
                <w:rFonts w:ascii="Arial" w:hAnsi="Arial"/>
                <w:sz w:val="14"/>
                <w:szCs w:val="14"/>
              </w:rPr>
            </w:pPr>
            <w:r w:rsidRPr="008125CB">
              <w:rPr>
                <w:rFonts w:ascii="Arial" w:hAnsi="Arial"/>
                <w:sz w:val="14"/>
                <w:szCs w:val="14"/>
              </w:rPr>
              <w:t>Equivalisation</w:t>
            </w:r>
            <w:r>
              <w:rPr>
                <w:rFonts w:ascii="Arial" w:hAnsi="Arial"/>
                <w:sz w:val="14"/>
                <w:szCs w:val="14"/>
              </w:rPr>
              <w:t xml:space="preserve"> of HH income</w:t>
            </w:r>
            <w:r w:rsidR="00490CD3">
              <w:rPr>
                <w:rFonts w:ascii="Arial" w:hAnsi="Arial"/>
                <w:sz w:val="14"/>
                <w:szCs w:val="14"/>
              </w:rPr>
              <w:t xml:space="preserve"> in the construction of income quintiles</w:t>
            </w:r>
          </w:p>
        </w:tc>
        <w:tc>
          <w:tcPr>
            <w:tcW w:w="1417" w:type="dxa"/>
            <w:vAlign w:val="center"/>
          </w:tcPr>
          <w:p w14:paraId="175C3913" w14:textId="347548BA" w:rsidR="008125CB" w:rsidRPr="00423DDB" w:rsidRDefault="008125CB" w:rsidP="00327F85">
            <w:pPr>
              <w:spacing w:before="60" w:after="60" w:line="240" w:lineRule="auto"/>
              <w:rPr>
                <w:rFonts w:ascii="Arial" w:hAnsi="Arial"/>
                <w:sz w:val="14"/>
                <w:szCs w:val="14"/>
              </w:rPr>
            </w:pPr>
            <w:r>
              <w:rPr>
                <w:rFonts w:ascii="Arial" w:hAnsi="Arial"/>
                <w:sz w:val="14"/>
                <w:szCs w:val="14"/>
              </w:rPr>
              <w:t>No equivalisation</w:t>
            </w:r>
          </w:p>
        </w:tc>
        <w:tc>
          <w:tcPr>
            <w:tcW w:w="2127" w:type="dxa"/>
            <w:vAlign w:val="center"/>
          </w:tcPr>
          <w:p w14:paraId="4806596E" w14:textId="1FF92601" w:rsidR="008125CB" w:rsidRPr="00423DDB" w:rsidRDefault="00942827" w:rsidP="00327F85">
            <w:pPr>
              <w:spacing w:before="60" w:after="60" w:line="240" w:lineRule="auto"/>
              <w:rPr>
                <w:rFonts w:ascii="Arial" w:hAnsi="Arial"/>
                <w:sz w:val="14"/>
                <w:szCs w:val="14"/>
              </w:rPr>
            </w:pPr>
            <w:r>
              <w:rPr>
                <w:rFonts w:ascii="Arial" w:hAnsi="Arial"/>
                <w:sz w:val="14"/>
                <w:szCs w:val="14"/>
              </w:rPr>
              <w:t>Equivalisation applied using the standard OECD approach (square root scale)</w:t>
            </w:r>
          </w:p>
        </w:tc>
        <w:tc>
          <w:tcPr>
            <w:tcW w:w="3118" w:type="dxa"/>
            <w:vAlign w:val="center"/>
          </w:tcPr>
          <w:p w14:paraId="292E79F5" w14:textId="5F93A621" w:rsidR="008125CB" w:rsidRPr="00423DDB" w:rsidRDefault="00942827" w:rsidP="00327F85">
            <w:pPr>
              <w:spacing w:before="60" w:after="60" w:line="240" w:lineRule="auto"/>
              <w:rPr>
                <w:rFonts w:ascii="Arial" w:hAnsi="Arial"/>
                <w:sz w:val="14"/>
                <w:szCs w:val="14"/>
              </w:rPr>
            </w:pPr>
            <w:r>
              <w:rPr>
                <w:rFonts w:ascii="Arial" w:hAnsi="Arial"/>
                <w:sz w:val="14"/>
                <w:szCs w:val="14"/>
              </w:rPr>
              <w:t xml:space="preserve">Applying equivalisation </w:t>
            </w:r>
            <w:r w:rsidR="0079352E">
              <w:rPr>
                <w:rFonts w:ascii="Arial" w:hAnsi="Arial"/>
                <w:sz w:val="14"/>
                <w:szCs w:val="14"/>
              </w:rPr>
              <w:t xml:space="preserve">to HH incomes </w:t>
            </w:r>
            <w:r>
              <w:rPr>
                <w:rFonts w:ascii="Arial" w:hAnsi="Arial"/>
                <w:sz w:val="14"/>
                <w:szCs w:val="14"/>
              </w:rPr>
              <w:t xml:space="preserve">changes </w:t>
            </w:r>
            <w:r w:rsidR="0079352E">
              <w:rPr>
                <w:rFonts w:ascii="Arial" w:hAnsi="Arial"/>
                <w:sz w:val="14"/>
                <w:szCs w:val="14"/>
              </w:rPr>
              <w:t xml:space="preserve">the profile of </w:t>
            </w:r>
            <w:r>
              <w:rPr>
                <w:rFonts w:ascii="Arial" w:hAnsi="Arial"/>
                <w:sz w:val="14"/>
                <w:szCs w:val="14"/>
              </w:rPr>
              <w:t>which HHs are in the key low-income bands (Q1 and Q2)</w:t>
            </w:r>
            <w:r w:rsidR="00327F85">
              <w:rPr>
                <w:rFonts w:ascii="Arial" w:hAnsi="Arial"/>
                <w:sz w:val="14"/>
                <w:szCs w:val="14"/>
              </w:rPr>
              <w:t xml:space="preserve"> – more larger HHs drop down and crowd out smaller ones. Other countries </w:t>
            </w:r>
            <w:r w:rsidR="0079352E">
              <w:rPr>
                <w:rFonts w:ascii="Arial" w:hAnsi="Arial"/>
                <w:sz w:val="14"/>
                <w:szCs w:val="14"/>
              </w:rPr>
              <w:t xml:space="preserve">used </w:t>
            </w:r>
            <w:r w:rsidR="00327F85">
              <w:rPr>
                <w:rFonts w:ascii="Arial" w:hAnsi="Arial"/>
                <w:sz w:val="14"/>
                <w:szCs w:val="14"/>
              </w:rPr>
              <w:t>equivalised</w:t>
            </w:r>
            <w:r w:rsidR="0079352E">
              <w:rPr>
                <w:rFonts w:ascii="Arial" w:hAnsi="Arial"/>
                <w:sz w:val="14"/>
                <w:szCs w:val="14"/>
              </w:rPr>
              <w:t xml:space="preserve"> HH income</w:t>
            </w:r>
            <w:r w:rsidR="00327F85">
              <w:rPr>
                <w:rFonts w:ascii="Arial" w:hAnsi="Arial"/>
                <w:sz w:val="14"/>
                <w:szCs w:val="14"/>
              </w:rPr>
              <w:t>.</w:t>
            </w:r>
          </w:p>
        </w:tc>
      </w:tr>
      <w:tr w:rsidR="008125CB" w14:paraId="0C149DF6" w14:textId="770981A5" w:rsidTr="00327F85">
        <w:trPr>
          <w:jc w:val="center"/>
        </w:trPr>
        <w:tc>
          <w:tcPr>
            <w:tcW w:w="1980" w:type="dxa"/>
            <w:vAlign w:val="center"/>
          </w:tcPr>
          <w:p w14:paraId="3303DB95" w14:textId="1EC68F9B" w:rsidR="008125CB" w:rsidRPr="008125CB" w:rsidRDefault="00942827" w:rsidP="00327F85">
            <w:pPr>
              <w:spacing w:before="60" w:after="60" w:line="240" w:lineRule="auto"/>
              <w:ind w:left="34"/>
              <w:rPr>
                <w:rFonts w:ascii="Arial" w:hAnsi="Arial"/>
                <w:sz w:val="14"/>
                <w:szCs w:val="14"/>
              </w:rPr>
            </w:pPr>
            <w:r>
              <w:rPr>
                <w:rFonts w:ascii="Arial" w:hAnsi="Arial"/>
                <w:sz w:val="14"/>
                <w:szCs w:val="14"/>
              </w:rPr>
              <w:t>Distinction between p</w:t>
            </w:r>
            <w:r w:rsidR="008125CB" w:rsidRPr="008125CB">
              <w:rPr>
                <w:rFonts w:ascii="Arial" w:hAnsi="Arial"/>
                <w:sz w:val="14"/>
                <w:szCs w:val="14"/>
              </w:rPr>
              <w:t>rivate and social renters</w:t>
            </w:r>
          </w:p>
        </w:tc>
        <w:tc>
          <w:tcPr>
            <w:tcW w:w="1417" w:type="dxa"/>
            <w:vAlign w:val="center"/>
          </w:tcPr>
          <w:p w14:paraId="360BC36A" w14:textId="4F4C97CD" w:rsidR="008125CB" w:rsidRPr="00423DDB" w:rsidRDefault="00942827" w:rsidP="00327F85">
            <w:pPr>
              <w:spacing w:before="60" w:after="60" w:line="240" w:lineRule="auto"/>
              <w:rPr>
                <w:rFonts w:ascii="Arial" w:hAnsi="Arial"/>
                <w:sz w:val="14"/>
                <w:szCs w:val="14"/>
              </w:rPr>
            </w:pPr>
            <w:r>
              <w:rPr>
                <w:rFonts w:ascii="Arial" w:hAnsi="Arial"/>
                <w:sz w:val="14"/>
                <w:szCs w:val="14"/>
              </w:rPr>
              <w:t>Not done</w:t>
            </w:r>
          </w:p>
        </w:tc>
        <w:tc>
          <w:tcPr>
            <w:tcW w:w="2127" w:type="dxa"/>
            <w:vAlign w:val="center"/>
          </w:tcPr>
          <w:p w14:paraId="7C547CA4" w14:textId="5B0A29BE" w:rsidR="008125CB" w:rsidRPr="00423DDB" w:rsidRDefault="00942827" w:rsidP="00327F85">
            <w:pPr>
              <w:spacing w:before="60" w:after="60" w:line="240" w:lineRule="auto"/>
              <w:rPr>
                <w:rFonts w:ascii="Arial" w:hAnsi="Arial"/>
                <w:sz w:val="14"/>
                <w:szCs w:val="14"/>
              </w:rPr>
            </w:pPr>
            <w:r>
              <w:rPr>
                <w:rFonts w:ascii="Arial" w:hAnsi="Arial"/>
                <w:sz w:val="14"/>
                <w:szCs w:val="14"/>
              </w:rPr>
              <w:t>Done</w:t>
            </w:r>
          </w:p>
        </w:tc>
        <w:tc>
          <w:tcPr>
            <w:tcW w:w="3118" w:type="dxa"/>
            <w:vAlign w:val="center"/>
          </w:tcPr>
          <w:p w14:paraId="42BF8862" w14:textId="0352FFAB" w:rsidR="008125CB" w:rsidRPr="00423DDB" w:rsidRDefault="00C7349C" w:rsidP="00327F85">
            <w:pPr>
              <w:spacing w:before="60" w:after="60" w:line="240" w:lineRule="auto"/>
              <w:rPr>
                <w:rFonts w:ascii="Arial" w:hAnsi="Arial"/>
                <w:sz w:val="14"/>
                <w:szCs w:val="14"/>
              </w:rPr>
            </w:pPr>
            <w:r>
              <w:rPr>
                <w:rFonts w:ascii="Arial" w:hAnsi="Arial"/>
                <w:sz w:val="14"/>
                <w:szCs w:val="14"/>
              </w:rPr>
              <w:t xml:space="preserve">Stats advised that ‘no distinction is available between private and subsidised </w:t>
            </w:r>
            <w:proofErr w:type="spellStart"/>
            <w:r w:rsidR="00327F85">
              <w:rPr>
                <w:rFonts w:ascii="Arial" w:hAnsi="Arial"/>
                <w:sz w:val="14"/>
                <w:szCs w:val="14"/>
              </w:rPr>
              <w:t>renters’.This</w:t>
            </w:r>
            <w:proofErr w:type="spellEnd"/>
            <w:r w:rsidR="00327F85">
              <w:rPr>
                <w:rFonts w:ascii="Arial" w:hAnsi="Arial"/>
                <w:sz w:val="14"/>
                <w:szCs w:val="14"/>
              </w:rPr>
              <w:t xml:space="preserve"> means that in the Stats </w:t>
            </w:r>
            <w:r w:rsidR="0079352E">
              <w:rPr>
                <w:rFonts w:ascii="Arial" w:hAnsi="Arial"/>
                <w:sz w:val="14"/>
                <w:szCs w:val="14"/>
              </w:rPr>
              <w:t xml:space="preserve">NZ </w:t>
            </w:r>
            <w:r w:rsidR="00327F85">
              <w:rPr>
                <w:rFonts w:ascii="Arial" w:hAnsi="Arial"/>
                <w:sz w:val="14"/>
                <w:szCs w:val="14"/>
              </w:rPr>
              <w:t>numbers the ’’</w:t>
            </w:r>
            <w:r w:rsidR="00942827">
              <w:rPr>
                <w:rFonts w:ascii="Arial" w:hAnsi="Arial"/>
                <w:sz w:val="14"/>
                <w:szCs w:val="14"/>
              </w:rPr>
              <w:t>p</w:t>
            </w:r>
            <w:r w:rsidR="00327F85">
              <w:rPr>
                <w:rFonts w:ascii="Arial" w:hAnsi="Arial"/>
                <w:sz w:val="14"/>
                <w:szCs w:val="14"/>
              </w:rPr>
              <w:t>ri</w:t>
            </w:r>
            <w:r w:rsidR="00942827">
              <w:rPr>
                <w:rFonts w:ascii="Arial" w:hAnsi="Arial"/>
                <w:sz w:val="14"/>
                <w:szCs w:val="14"/>
              </w:rPr>
              <w:t>v</w:t>
            </w:r>
            <w:r w:rsidR="00327F85">
              <w:rPr>
                <w:rFonts w:ascii="Arial" w:hAnsi="Arial"/>
                <w:sz w:val="14"/>
                <w:szCs w:val="14"/>
              </w:rPr>
              <w:t>a</w:t>
            </w:r>
            <w:r w:rsidR="00942827">
              <w:rPr>
                <w:rFonts w:ascii="Arial" w:hAnsi="Arial"/>
                <w:sz w:val="14"/>
                <w:szCs w:val="14"/>
              </w:rPr>
              <w:t>t</w:t>
            </w:r>
            <w:r w:rsidR="00327F85">
              <w:rPr>
                <w:rFonts w:ascii="Arial" w:hAnsi="Arial"/>
                <w:sz w:val="14"/>
                <w:szCs w:val="14"/>
              </w:rPr>
              <w:t>e</w:t>
            </w:r>
            <w:r w:rsidR="00942827">
              <w:rPr>
                <w:rFonts w:ascii="Arial" w:hAnsi="Arial"/>
                <w:sz w:val="14"/>
                <w:szCs w:val="14"/>
              </w:rPr>
              <w:t xml:space="preserve"> rent’ </w:t>
            </w:r>
            <w:r w:rsidR="00327F85">
              <w:rPr>
                <w:rFonts w:ascii="Arial" w:hAnsi="Arial"/>
                <w:sz w:val="14"/>
                <w:szCs w:val="14"/>
              </w:rPr>
              <w:t xml:space="preserve">category </w:t>
            </w:r>
            <w:r w:rsidR="00942827">
              <w:rPr>
                <w:rFonts w:ascii="Arial" w:hAnsi="Arial"/>
                <w:sz w:val="14"/>
                <w:szCs w:val="14"/>
              </w:rPr>
              <w:t xml:space="preserve">is actually </w:t>
            </w:r>
            <w:r w:rsidR="00327F85">
              <w:rPr>
                <w:rFonts w:ascii="Arial" w:hAnsi="Arial"/>
                <w:sz w:val="14"/>
                <w:szCs w:val="14"/>
              </w:rPr>
              <w:t>‘</w:t>
            </w:r>
            <w:r w:rsidR="00942827">
              <w:rPr>
                <w:rFonts w:ascii="Arial" w:hAnsi="Arial"/>
                <w:sz w:val="14"/>
                <w:szCs w:val="14"/>
              </w:rPr>
              <w:t>all renters</w:t>
            </w:r>
            <w:r w:rsidR="00327F85">
              <w:rPr>
                <w:rFonts w:ascii="Arial" w:hAnsi="Arial"/>
                <w:sz w:val="14"/>
                <w:szCs w:val="14"/>
              </w:rPr>
              <w:t>’.. Almost all other countries could make the distinction</w:t>
            </w:r>
          </w:p>
        </w:tc>
      </w:tr>
      <w:tr w:rsidR="008125CB" w14:paraId="04B151EB" w14:textId="48DFF1BD" w:rsidTr="00327F85">
        <w:trPr>
          <w:jc w:val="center"/>
        </w:trPr>
        <w:tc>
          <w:tcPr>
            <w:tcW w:w="1980" w:type="dxa"/>
            <w:vAlign w:val="center"/>
          </w:tcPr>
          <w:p w14:paraId="0DFC96C6" w14:textId="53B6DAD7" w:rsidR="008125CB" w:rsidRPr="008125CB" w:rsidRDefault="008125CB" w:rsidP="00327F85">
            <w:pPr>
              <w:spacing w:before="60" w:after="60" w:line="240" w:lineRule="auto"/>
              <w:ind w:left="34"/>
              <w:rPr>
                <w:rFonts w:ascii="Arial" w:hAnsi="Arial"/>
                <w:sz w:val="14"/>
                <w:szCs w:val="14"/>
              </w:rPr>
            </w:pPr>
            <w:r w:rsidRPr="008125CB">
              <w:rPr>
                <w:rFonts w:ascii="Arial" w:hAnsi="Arial"/>
                <w:sz w:val="14"/>
                <w:szCs w:val="14"/>
              </w:rPr>
              <w:t>Information gaps</w:t>
            </w:r>
          </w:p>
        </w:tc>
        <w:tc>
          <w:tcPr>
            <w:tcW w:w="1417" w:type="dxa"/>
            <w:vAlign w:val="center"/>
          </w:tcPr>
          <w:p w14:paraId="2E30EA72" w14:textId="094CF1C8" w:rsidR="008125CB" w:rsidRPr="00423DDB" w:rsidRDefault="00942827" w:rsidP="00327F85">
            <w:pPr>
              <w:spacing w:before="60" w:after="60" w:line="240" w:lineRule="auto"/>
              <w:rPr>
                <w:rFonts w:ascii="Arial" w:hAnsi="Arial"/>
                <w:sz w:val="14"/>
                <w:szCs w:val="14"/>
              </w:rPr>
            </w:pPr>
            <w:r>
              <w:rPr>
                <w:rFonts w:ascii="Arial" w:hAnsi="Arial"/>
                <w:sz w:val="14"/>
                <w:szCs w:val="14"/>
              </w:rPr>
              <w:t>-</w:t>
            </w:r>
          </w:p>
        </w:tc>
        <w:tc>
          <w:tcPr>
            <w:tcW w:w="2127" w:type="dxa"/>
            <w:vAlign w:val="center"/>
          </w:tcPr>
          <w:p w14:paraId="259ED9F4" w14:textId="48B74E28" w:rsidR="008125CB" w:rsidRPr="00423DDB" w:rsidRDefault="00942827" w:rsidP="00327F85">
            <w:pPr>
              <w:spacing w:before="60" w:after="60" w:line="240" w:lineRule="auto"/>
              <w:rPr>
                <w:rFonts w:ascii="Arial" w:hAnsi="Arial"/>
                <w:sz w:val="14"/>
                <w:szCs w:val="14"/>
              </w:rPr>
            </w:pPr>
            <w:r>
              <w:rPr>
                <w:rFonts w:ascii="Arial" w:hAnsi="Arial"/>
                <w:sz w:val="14"/>
                <w:szCs w:val="14"/>
              </w:rPr>
              <w:t>Gaps filled</w:t>
            </w:r>
          </w:p>
        </w:tc>
        <w:tc>
          <w:tcPr>
            <w:tcW w:w="3118" w:type="dxa"/>
            <w:vAlign w:val="center"/>
          </w:tcPr>
          <w:p w14:paraId="5249CD34" w14:textId="4C1CB9C4" w:rsidR="008125CB" w:rsidRPr="00423DDB" w:rsidRDefault="00942827" w:rsidP="00327F85">
            <w:pPr>
              <w:spacing w:before="60" w:after="60" w:line="240" w:lineRule="auto"/>
              <w:rPr>
                <w:rFonts w:ascii="Arial" w:hAnsi="Arial"/>
                <w:sz w:val="14"/>
                <w:szCs w:val="14"/>
              </w:rPr>
            </w:pPr>
            <w:r>
              <w:rPr>
                <w:rFonts w:ascii="Arial" w:hAnsi="Arial"/>
                <w:sz w:val="14"/>
                <w:szCs w:val="14"/>
              </w:rPr>
              <w:t>See Table 2.</w:t>
            </w:r>
            <w:r w:rsidR="0079352E">
              <w:rPr>
                <w:rFonts w:ascii="Arial" w:hAnsi="Arial"/>
                <w:sz w:val="14"/>
                <w:szCs w:val="14"/>
              </w:rPr>
              <w:t>2</w:t>
            </w:r>
            <w:r>
              <w:rPr>
                <w:rFonts w:ascii="Arial" w:hAnsi="Arial"/>
                <w:sz w:val="14"/>
                <w:szCs w:val="14"/>
              </w:rPr>
              <w:t xml:space="preserve"> for missing NZ data</w:t>
            </w:r>
            <w:r w:rsidR="00327F85">
              <w:rPr>
                <w:rFonts w:ascii="Arial" w:hAnsi="Arial"/>
                <w:sz w:val="14"/>
                <w:szCs w:val="14"/>
              </w:rPr>
              <w:t>.</w:t>
            </w:r>
          </w:p>
        </w:tc>
      </w:tr>
    </w:tbl>
    <w:p w14:paraId="3E16C066" w14:textId="09DFD689" w:rsidR="008125CB" w:rsidRDefault="008125CB" w:rsidP="008125CB">
      <w:pPr>
        <w:pStyle w:val="FootnoteText"/>
        <w:rPr>
          <w:rFonts w:ascii="Arial" w:eastAsia="Times New Roman" w:hAnsi="Arial" w:cs="Times New Roman"/>
          <w:color w:val="000000" w:themeColor="text1"/>
          <w:sz w:val="20"/>
          <w:szCs w:val="22"/>
          <w:lang w:val="en-GB"/>
        </w:rPr>
      </w:pPr>
    </w:p>
    <w:p w14:paraId="15D60F2F" w14:textId="77777777" w:rsidR="00A96100" w:rsidRDefault="00A96100" w:rsidP="000B02F7">
      <w:pPr>
        <w:spacing w:after="0" w:line="240" w:lineRule="auto"/>
        <w:rPr>
          <w:rFonts w:ascii="Arial" w:hAnsi="Arial"/>
          <w:b/>
          <w:bCs/>
        </w:rPr>
      </w:pPr>
    </w:p>
    <w:p w14:paraId="7D674BED" w14:textId="77777777" w:rsidR="00A96100" w:rsidRDefault="00A96100" w:rsidP="000B02F7">
      <w:pPr>
        <w:spacing w:after="0" w:line="240" w:lineRule="auto"/>
        <w:rPr>
          <w:rFonts w:ascii="Arial" w:hAnsi="Arial"/>
          <w:b/>
          <w:bCs/>
        </w:rPr>
      </w:pPr>
    </w:p>
    <w:p w14:paraId="59879839" w14:textId="6E7D4F9C" w:rsidR="00A96100" w:rsidRPr="00003848" w:rsidRDefault="00013DE9" w:rsidP="00003848">
      <w:pPr>
        <w:spacing w:line="240" w:lineRule="auto"/>
        <w:rPr>
          <w:rFonts w:ascii="Arial" w:hAnsi="Arial"/>
        </w:rPr>
      </w:pPr>
      <w:r w:rsidRPr="00003848">
        <w:rPr>
          <w:rFonts w:ascii="Arial" w:hAnsi="Arial"/>
          <w:b/>
          <w:bCs/>
        </w:rPr>
        <w:t>Table 2.2</w:t>
      </w:r>
      <w:r w:rsidRPr="00003848">
        <w:rPr>
          <w:rFonts w:ascii="Arial" w:hAnsi="Arial"/>
        </w:rPr>
        <w:t xml:space="preserve"> </w:t>
      </w:r>
      <w:r w:rsidR="00A96100" w:rsidRPr="00003848">
        <w:rPr>
          <w:rFonts w:ascii="Arial" w:hAnsi="Arial"/>
        </w:rPr>
        <w:t xml:space="preserve">(next page) </w:t>
      </w:r>
      <w:r w:rsidRPr="00003848">
        <w:rPr>
          <w:rFonts w:ascii="Arial" w:hAnsi="Arial"/>
        </w:rPr>
        <w:t>shows the similarities and differences in the actual numbers that follow from the methodological differences</w:t>
      </w:r>
      <w:r w:rsidR="00A96100" w:rsidRPr="00003848">
        <w:rPr>
          <w:rFonts w:ascii="Arial" w:hAnsi="Arial"/>
        </w:rPr>
        <w:t>:</w:t>
      </w:r>
      <w:r w:rsidR="00E97B99" w:rsidRPr="00003848">
        <w:rPr>
          <w:rFonts w:ascii="Arial" w:hAnsi="Arial"/>
        </w:rPr>
        <w:t xml:space="preserve"> </w:t>
      </w:r>
    </w:p>
    <w:p w14:paraId="1E88CE4C" w14:textId="3C99F0FF" w:rsidR="00003848" w:rsidRPr="00003848" w:rsidRDefault="00003848" w:rsidP="00003848">
      <w:pPr>
        <w:pStyle w:val="ListParagraph"/>
        <w:numPr>
          <w:ilvl w:val="0"/>
          <w:numId w:val="32"/>
        </w:numPr>
        <w:spacing w:line="240" w:lineRule="auto"/>
        <w:contextualSpacing w:val="0"/>
        <w:rPr>
          <w:rFonts w:ascii="Arial" w:eastAsia="Times New Roman" w:hAnsi="Arial"/>
          <w:color w:val="000000" w:themeColor="text1"/>
        </w:rPr>
      </w:pPr>
      <w:r w:rsidRPr="00003848">
        <w:rPr>
          <w:rFonts w:ascii="Arial" w:hAnsi="Arial"/>
          <w:color w:val="000000" w:themeColor="text1"/>
        </w:rPr>
        <w:t xml:space="preserve">The main difference is for Q1 households with a mortgage for which the Stats NZ approach produces a </w:t>
      </w:r>
      <w:r>
        <w:rPr>
          <w:rFonts w:ascii="Arial" w:hAnsi="Arial"/>
          <w:color w:val="000000" w:themeColor="text1"/>
        </w:rPr>
        <w:t xml:space="preserve">noticeably </w:t>
      </w:r>
      <w:r w:rsidRPr="00003848">
        <w:rPr>
          <w:rFonts w:ascii="Arial" w:hAnsi="Arial"/>
          <w:color w:val="000000" w:themeColor="text1"/>
        </w:rPr>
        <w:t xml:space="preserve">higher number than MSD’s approach. </w:t>
      </w:r>
      <w:r w:rsidRPr="00003848">
        <w:rPr>
          <w:rFonts w:ascii="Arial" w:eastAsia="Times New Roman" w:hAnsi="Arial"/>
          <w:color w:val="000000" w:themeColor="text1"/>
        </w:rPr>
        <w:t>T</w:t>
      </w:r>
      <w:r w:rsidRPr="00003848">
        <w:rPr>
          <w:rFonts w:ascii="Arial" w:eastAsia="Times New Roman" w:hAnsi="Arial"/>
          <w:color w:val="000000" w:themeColor="text1"/>
          <w:szCs w:val="20"/>
        </w:rPr>
        <w:t>he households-with-mortgage group in Q1 is relatively small (only 1</w:t>
      </w:r>
      <w:r w:rsidR="0077468A">
        <w:rPr>
          <w:rFonts w:ascii="Arial" w:eastAsia="Times New Roman" w:hAnsi="Arial"/>
          <w:color w:val="000000" w:themeColor="text1"/>
          <w:szCs w:val="20"/>
        </w:rPr>
        <w:t>4</w:t>
      </w:r>
      <w:r w:rsidRPr="00003848">
        <w:rPr>
          <w:rFonts w:ascii="Arial" w:eastAsia="Times New Roman" w:hAnsi="Arial"/>
          <w:color w:val="000000" w:themeColor="text1"/>
          <w:szCs w:val="20"/>
        </w:rPr>
        <w:t>% of all Q1 households – see Table 1</w:t>
      </w:r>
      <w:r w:rsidR="00C813A9">
        <w:rPr>
          <w:rFonts w:ascii="Arial" w:eastAsia="Times New Roman" w:hAnsi="Arial"/>
          <w:color w:val="000000" w:themeColor="text1"/>
          <w:szCs w:val="20"/>
        </w:rPr>
        <w:t>a</w:t>
      </w:r>
      <w:r>
        <w:rPr>
          <w:rFonts w:ascii="Arial" w:eastAsia="Times New Roman" w:hAnsi="Arial"/>
          <w:color w:val="000000" w:themeColor="text1"/>
          <w:szCs w:val="20"/>
        </w:rPr>
        <w:t xml:space="preserve"> in the body of the report</w:t>
      </w:r>
      <w:r w:rsidRPr="00003848">
        <w:rPr>
          <w:rFonts w:ascii="Arial" w:eastAsia="Times New Roman" w:hAnsi="Arial"/>
          <w:color w:val="000000" w:themeColor="text1"/>
          <w:szCs w:val="20"/>
        </w:rPr>
        <w:t>), in part because of the relatively high proportion of 65+ households with no mortgage but low income. This means there is a sizeable sampling error / degree of uncertainty about the figures and precise rankings</w:t>
      </w:r>
      <w:r w:rsidR="00C813A9">
        <w:rPr>
          <w:rFonts w:ascii="Arial" w:eastAsia="Times New Roman" w:hAnsi="Arial"/>
          <w:color w:val="000000" w:themeColor="text1"/>
          <w:szCs w:val="20"/>
        </w:rPr>
        <w:t xml:space="preserve"> for this group</w:t>
      </w:r>
      <w:r w:rsidRPr="00003848">
        <w:rPr>
          <w:rFonts w:ascii="Arial" w:eastAsia="Times New Roman" w:hAnsi="Arial"/>
          <w:color w:val="000000" w:themeColor="text1"/>
          <w:szCs w:val="20"/>
        </w:rPr>
        <w:t xml:space="preserve">. In that context, the differences in methodology for the figures supplied by Stats to the OECD and those used by MSD may well have shifted a few households across the Q1 boundary (in or out) and with such a small group involved to start with, a few more added or a few removed or both could easily have a surprisingly large impact on the rate and the ranking. </w:t>
      </w:r>
    </w:p>
    <w:p w14:paraId="1F95EB13" w14:textId="1D5E7CA6" w:rsidR="000B02F7" w:rsidRPr="00A96100" w:rsidRDefault="00E97B99" w:rsidP="00003848">
      <w:pPr>
        <w:pStyle w:val="ListParagraph"/>
        <w:numPr>
          <w:ilvl w:val="0"/>
          <w:numId w:val="32"/>
        </w:numPr>
        <w:spacing w:line="240" w:lineRule="auto"/>
        <w:contextualSpacing w:val="0"/>
        <w:rPr>
          <w:rFonts w:ascii="Arial" w:hAnsi="Arial"/>
        </w:rPr>
      </w:pPr>
      <w:r w:rsidRPr="00003848">
        <w:rPr>
          <w:rFonts w:ascii="Arial" w:hAnsi="Arial"/>
        </w:rPr>
        <w:t>Otherwise, the numbers are fairly similar. This is likely to be in part because the various differences can make the numbers move</w:t>
      </w:r>
      <w:r w:rsidRPr="00A96100">
        <w:rPr>
          <w:rFonts w:ascii="Arial" w:hAnsi="Arial"/>
        </w:rPr>
        <w:t xml:space="preserve"> in opposite directions, with some cancelling out.</w:t>
      </w:r>
    </w:p>
    <w:p w14:paraId="15C937FE" w14:textId="6375C617" w:rsidR="00013DE9" w:rsidRDefault="00013DE9" w:rsidP="00A96100">
      <w:pPr>
        <w:spacing w:before="120" w:line="240" w:lineRule="auto"/>
        <w:rPr>
          <w:rFonts w:ascii="Arial" w:hAnsi="Arial"/>
          <w:highlight w:val="yellow"/>
        </w:rPr>
      </w:pPr>
    </w:p>
    <w:p w14:paraId="51060ECD" w14:textId="77777777" w:rsidR="00A96100" w:rsidRDefault="00A96100">
      <w:pPr>
        <w:spacing w:after="0" w:line="240" w:lineRule="auto"/>
        <w:rPr>
          <w:rFonts w:ascii="Arial" w:hAnsi="Arial"/>
          <w:b/>
          <w:bCs/>
          <w:sz w:val="18"/>
          <w:szCs w:val="18"/>
        </w:rPr>
      </w:pPr>
      <w:r>
        <w:rPr>
          <w:rFonts w:ascii="Arial" w:hAnsi="Arial"/>
          <w:b/>
          <w:bCs/>
          <w:sz w:val="18"/>
          <w:szCs w:val="18"/>
        </w:rPr>
        <w:br w:type="page"/>
      </w:r>
    </w:p>
    <w:p w14:paraId="628B6C3C" w14:textId="0884282D" w:rsidR="000B02F7" w:rsidRPr="00A40198" w:rsidRDefault="000B02F7" w:rsidP="000B02F7">
      <w:pPr>
        <w:spacing w:after="0" w:line="240" w:lineRule="auto"/>
        <w:jc w:val="center"/>
        <w:rPr>
          <w:rFonts w:ascii="Arial" w:hAnsi="Arial"/>
          <w:b/>
          <w:bCs/>
          <w:sz w:val="18"/>
          <w:szCs w:val="18"/>
        </w:rPr>
      </w:pPr>
      <w:r w:rsidRPr="00A40198">
        <w:rPr>
          <w:rFonts w:ascii="Arial" w:hAnsi="Arial"/>
          <w:b/>
          <w:bCs/>
          <w:sz w:val="18"/>
          <w:szCs w:val="18"/>
        </w:rPr>
        <w:lastRenderedPageBreak/>
        <w:t>Table 2.</w:t>
      </w:r>
      <w:r w:rsidR="008125CB">
        <w:rPr>
          <w:rFonts w:ascii="Arial" w:hAnsi="Arial"/>
          <w:b/>
          <w:bCs/>
          <w:sz w:val="18"/>
          <w:szCs w:val="18"/>
        </w:rPr>
        <w:t>2</w:t>
      </w:r>
    </w:p>
    <w:p w14:paraId="19C42A44" w14:textId="3A31825C" w:rsidR="000B02F7" w:rsidRDefault="000B02F7" w:rsidP="000B02F7">
      <w:pPr>
        <w:spacing w:after="0" w:line="240" w:lineRule="auto"/>
        <w:jc w:val="center"/>
        <w:rPr>
          <w:rFonts w:ascii="Arial" w:hAnsi="Arial"/>
          <w:b/>
          <w:bCs/>
          <w:sz w:val="18"/>
          <w:szCs w:val="18"/>
        </w:rPr>
      </w:pPr>
      <w:r w:rsidRPr="00C572C9">
        <w:rPr>
          <w:rFonts w:ascii="Arial" w:hAnsi="Arial"/>
          <w:b/>
          <w:bCs/>
          <w:sz w:val="18"/>
          <w:szCs w:val="18"/>
        </w:rPr>
        <w:t>MSD analysis for this report compared with Stats NZ’s for the OECD in 201</w:t>
      </w:r>
      <w:r w:rsidR="0079352E">
        <w:rPr>
          <w:rFonts w:ascii="Arial" w:hAnsi="Arial"/>
          <w:b/>
          <w:bCs/>
          <w:sz w:val="18"/>
          <w:szCs w:val="18"/>
        </w:rPr>
        <w:t>8</w:t>
      </w:r>
      <w:r>
        <w:rPr>
          <w:rFonts w:ascii="Arial" w:hAnsi="Arial"/>
          <w:b/>
          <w:bCs/>
          <w:sz w:val="18"/>
          <w:szCs w:val="18"/>
        </w:rPr>
        <w:t>:</w:t>
      </w:r>
    </w:p>
    <w:p w14:paraId="15963ED5" w14:textId="77777777" w:rsidR="000B02F7" w:rsidRPr="00C572C9" w:rsidRDefault="000B02F7" w:rsidP="000B02F7">
      <w:pPr>
        <w:spacing w:line="240" w:lineRule="auto"/>
        <w:jc w:val="center"/>
        <w:rPr>
          <w:rFonts w:ascii="Arial" w:hAnsi="Arial"/>
          <w:b/>
          <w:bCs/>
          <w:sz w:val="18"/>
          <w:szCs w:val="18"/>
        </w:rPr>
      </w:pPr>
      <w:r>
        <w:rPr>
          <w:rFonts w:ascii="Arial" w:hAnsi="Arial"/>
          <w:b/>
          <w:bCs/>
          <w:sz w:val="18"/>
          <w:szCs w:val="18"/>
        </w:rPr>
        <w:t>Record of the difference the different methodologies make, and of the gaps filled</w:t>
      </w:r>
    </w:p>
    <w:tbl>
      <w:tblPr>
        <w:tblStyle w:val="TableGrid"/>
        <w:tblW w:w="0" w:type="auto"/>
        <w:jc w:val="center"/>
        <w:tblLook w:val="04A0" w:firstRow="1" w:lastRow="0" w:firstColumn="1" w:lastColumn="0" w:noHBand="0" w:noVBand="1"/>
      </w:tblPr>
      <w:tblGrid>
        <w:gridCol w:w="3114"/>
        <w:gridCol w:w="1276"/>
        <w:gridCol w:w="992"/>
        <w:gridCol w:w="1417"/>
      </w:tblGrid>
      <w:tr w:rsidR="000B02F7" w14:paraId="5ABAC4A7" w14:textId="77777777" w:rsidTr="007A4D93">
        <w:trPr>
          <w:jc w:val="center"/>
        </w:trPr>
        <w:tc>
          <w:tcPr>
            <w:tcW w:w="3114" w:type="dxa"/>
          </w:tcPr>
          <w:p w14:paraId="3FF539D6" w14:textId="77777777" w:rsidR="000B02F7" w:rsidRPr="00423DDB" w:rsidRDefault="000B02F7" w:rsidP="00454620">
            <w:pPr>
              <w:spacing w:before="40" w:after="40" w:line="240" w:lineRule="auto"/>
              <w:rPr>
                <w:rFonts w:ascii="Arial" w:hAnsi="Arial"/>
                <w:sz w:val="14"/>
                <w:szCs w:val="14"/>
              </w:rPr>
            </w:pPr>
          </w:p>
        </w:tc>
        <w:tc>
          <w:tcPr>
            <w:tcW w:w="1276" w:type="dxa"/>
            <w:tcMar>
              <w:left w:w="28" w:type="dxa"/>
              <w:right w:w="28" w:type="dxa"/>
            </w:tcMar>
            <w:vAlign w:val="center"/>
          </w:tcPr>
          <w:p w14:paraId="3DB89305" w14:textId="77777777" w:rsidR="000B02F7" w:rsidRPr="00423DDB" w:rsidRDefault="000B02F7" w:rsidP="00454620">
            <w:pPr>
              <w:spacing w:before="40" w:after="40" w:line="240" w:lineRule="auto"/>
              <w:jc w:val="center"/>
              <w:rPr>
                <w:rFonts w:ascii="Arial" w:hAnsi="Arial"/>
                <w:b/>
                <w:sz w:val="14"/>
                <w:szCs w:val="14"/>
              </w:rPr>
            </w:pPr>
            <w:r>
              <w:rPr>
                <w:rFonts w:ascii="Arial" w:hAnsi="Arial"/>
                <w:b/>
                <w:sz w:val="14"/>
                <w:szCs w:val="14"/>
              </w:rPr>
              <w:t>See text for methodology</w:t>
            </w:r>
          </w:p>
        </w:tc>
        <w:tc>
          <w:tcPr>
            <w:tcW w:w="2409" w:type="dxa"/>
            <w:gridSpan w:val="2"/>
            <w:tcMar>
              <w:left w:w="28" w:type="dxa"/>
              <w:right w:w="28" w:type="dxa"/>
            </w:tcMar>
            <w:vAlign w:val="center"/>
          </w:tcPr>
          <w:p w14:paraId="6CECFD35" w14:textId="77777777" w:rsidR="000B02F7" w:rsidRPr="00423DDB" w:rsidRDefault="000B02F7" w:rsidP="00454620">
            <w:pPr>
              <w:spacing w:before="40" w:after="0" w:line="240" w:lineRule="auto"/>
              <w:jc w:val="center"/>
              <w:rPr>
                <w:rFonts w:ascii="Arial" w:hAnsi="Arial"/>
                <w:b/>
                <w:sz w:val="14"/>
                <w:szCs w:val="14"/>
              </w:rPr>
            </w:pPr>
            <w:r>
              <w:rPr>
                <w:rFonts w:ascii="Arial" w:hAnsi="Arial"/>
                <w:b/>
                <w:sz w:val="14"/>
                <w:szCs w:val="14"/>
              </w:rPr>
              <w:t>OECD methodology</w:t>
            </w:r>
          </w:p>
        </w:tc>
      </w:tr>
      <w:tr w:rsidR="000B02F7" w14:paraId="7910F16A" w14:textId="77777777" w:rsidTr="007A4D93">
        <w:trPr>
          <w:jc w:val="center"/>
        </w:trPr>
        <w:tc>
          <w:tcPr>
            <w:tcW w:w="3114" w:type="dxa"/>
          </w:tcPr>
          <w:p w14:paraId="4A1711CF" w14:textId="77777777" w:rsidR="000B02F7" w:rsidRPr="00423DDB" w:rsidRDefault="000B02F7" w:rsidP="00454620">
            <w:pPr>
              <w:spacing w:before="40" w:after="40" w:line="240" w:lineRule="auto"/>
              <w:rPr>
                <w:rFonts w:ascii="Arial" w:hAnsi="Arial"/>
                <w:sz w:val="14"/>
                <w:szCs w:val="14"/>
              </w:rPr>
            </w:pPr>
          </w:p>
        </w:tc>
        <w:tc>
          <w:tcPr>
            <w:tcW w:w="1276" w:type="dxa"/>
            <w:tcMar>
              <w:left w:w="28" w:type="dxa"/>
              <w:right w:w="28" w:type="dxa"/>
            </w:tcMar>
            <w:vAlign w:val="center"/>
          </w:tcPr>
          <w:p w14:paraId="7213158D" w14:textId="77777777" w:rsidR="000B02F7" w:rsidRPr="00423DDB" w:rsidRDefault="000B02F7" w:rsidP="00454620">
            <w:pPr>
              <w:spacing w:after="0" w:line="240" w:lineRule="auto"/>
              <w:jc w:val="center"/>
              <w:rPr>
                <w:rFonts w:ascii="Arial" w:hAnsi="Arial"/>
                <w:b/>
                <w:sz w:val="14"/>
                <w:szCs w:val="14"/>
              </w:rPr>
            </w:pPr>
            <w:r>
              <w:rPr>
                <w:rFonts w:ascii="Arial" w:hAnsi="Arial"/>
                <w:b/>
                <w:sz w:val="14"/>
                <w:szCs w:val="14"/>
              </w:rPr>
              <w:t>HES 2016-17</w:t>
            </w:r>
          </w:p>
        </w:tc>
        <w:tc>
          <w:tcPr>
            <w:tcW w:w="992" w:type="dxa"/>
            <w:tcMar>
              <w:left w:w="28" w:type="dxa"/>
              <w:right w:w="28" w:type="dxa"/>
            </w:tcMar>
            <w:vAlign w:val="center"/>
          </w:tcPr>
          <w:p w14:paraId="612EBCE1" w14:textId="77777777" w:rsidR="000B02F7" w:rsidRPr="00423DDB" w:rsidRDefault="000B02F7" w:rsidP="00454620">
            <w:pPr>
              <w:spacing w:after="0" w:line="240" w:lineRule="auto"/>
              <w:jc w:val="center"/>
              <w:rPr>
                <w:rFonts w:ascii="Arial" w:hAnsi="Arial"/>
                <w:b/>
                <w:sz w:val="14"/>
                <w:szCs w:val="14"/>
              </w:rPr>
            </w:pPr>
            <w:r>
              <w:rPr>
                <w:rFonts w:ascii="Arial" w:hAnsi="Arial"/>
                <w:b/>
                <w:sz w:val="14"/>
                <w:szCs w:val="14"/>
              </w:rPr>
              <w:t>HES 2016-17</w:t>
            </w:r>
          </w:p>
        </w:tc>
        <w:tc>
          <w:tcPr>
            <w:tcW w:w="1417" w:type="dxa"/>
            <w:vAlign w:val="center"/>
          </w:tcPr>
          <w:p w14:paraId="5910EAEA" w14:textId="77777777" w:rsidR="000B02F7" w:rsidRPr="00423DDB" w:rsidRDefault="000B02F7" w:rsidP="00454620">
            <w:pPr>
              <w:spacing w:after="0" w:line="240" w:lineRule="auto"/>
              <w:jc w:val="center"/>
              <w:rPr>
                <w:rFonts w:ascii="Arial" w:hAnsi="Arial"/>
                <w:b/>
                <w:sz w:val="14"/>
                <w:szCs w:val="14"/>
              </w:rPr>
            </w:pPr>
            <w:r>
              <w:rPr>
                <w:rFonts w:ascii="Arial" w:hAnsi="Arial"/>
                <w:b/>
                <w:sz w:val="14"/>
                <w:szCs w:val="14"/>
              </w:rPr>
              <w:t>HES 2017-18</w:t>
            </w:r>
          </w:p>
        </w:tc>
      </w:tr>
      <w:tr w:rsidR="000B02F7" w14:paraId="123A1A3B" w14:textId="77777777" w:rsidTr="007A4D93">
        <w:trPr>
          <w:jc w:val="center"/>
        </w:trPr>
        <w:tc>
          <w:tcPr>
            <w:tcW w:w="3114" w:type="dxa"/>
          </w:tcPr>
          <w:p w14:paraId="1A0A6A9E" w14:textId="77777777" w:rsidR="000B02F7" w:rsidRPr="00423DDB" w:rsidRDefault="000B02F7" w:rsidP="00454620">
            <w:pPr>
              <w:spacing w:before="40" w:after="40" w:line="240" w:lineRule="auto"/>
              <w:rPr>
                <w:rFonts w:ascii="Arial" w:hAnsi="Arial"/>
                <w:sz w:val="14"/>
                <w:szCs w:val="14"/>
              </w:rPr>
            </w:pPr>
          </w:p>
        </w:tc>
        <w:tc>
          <w:tcPr>
            <w:tcW w:w="1276" w:type="dxa"/>
            <w:tcMar>
              <w:left w:w="28" w:type="dxa"/>
              <w:right w:w="28" w:type="dxa"/>
            </w:tcMar>
            <w:vAlign w:val="center"/>
          </w:tcPr>
          <w:p w14:paraId="1CA8F3A9" w14:textId="77777777" w:rsidR="000B02F7" w:rsidRPr="00423DDB" w:rsidRDefault="000B02F7" w:rsidP="00454620">
            <w:pPr>
              <w:spacing w:before="40" w:after="40" w:line="240" w:lineRule="auto"/>
              <w:jc w:val="center"/>
              <w:rPr>
                <w:rFonts w:ascii="Arial" w:hAnsi="Arial"/>
                <w:b/>
                <w:sz w:val="14"/>
                <w:szCs w:val="14"/>
              </w:rPr>
            </w:pPr>
            <w:r w:rsidRPr="00423DDB">
              <w:rPr>
                <w:rFonts w:ascii="Arial" w:hAnsi="Arial"/>
                <w:b/>
                <w:sz w:val="14"/>
                <w:szCs w:val="14"/>
              </w:rPr>
              <w:t>Stats NZ to OECD</w:t>
            </w:r>
          </w:p>
        </w:tc>
        <w:tc>
          <w:tcPr>
            <w:tcW w:w="992" w:type="dxa"/>
            <w:tcMar>
              <w:left w:w="28" w:type="dxa"/>
              <w:right w:w="28" w:type="dxa"/>
            </w:tcMar>
            <w:vAlign w:val="center"/>
          </w:tcPr>
          <w:p w14:paraId="18986015" w14:textId="77777777" w:rsidR="000B02F7" w:rsidRPr="00423DDB" w:rsidRDefault="000B02F7" w:rsidP="00454620">
            <w:pPr>
              <w:spacing w:before="40" w:after="40" w:line="240" w:lineRule="auto"/>
              <w:jc w:val="center"/>
              <w:rPr>
                <w:rFonts w:ascii="Arial" w:hAnsi="Arial"/>
                <w:b/>
                <w:sz w:val="14"/>
                <w:szCs w:val="14"/>
              </w:rPr>
            </w:pPr>
            <w:r w:rsidRPr="00423DDB">
              <w:rPr>
                <w:rFonts w:ascii="Arial" w:hAnsi="Arial"/>
                <w:b/>
                <w:sz w:val="14"/>
                <w:szCs w:val="14"/>
              </w:rPr>
              <w:t xml:space="preserve">MSD </w:t>
            </w:r>
          </w:p>
        </w:tc>
        <w:tc>
          <w:tcPr>
            <w:tcW w:w="1417" w:type="dxa"/>
            <w:vAlign w:val="center"/>
          </w:tcPr>
          <w:p w14:paraId="6A7BF175" w14:textId="77777777" w:rsidR="007A4D93" w:rsidRDefault="000B02F7" w:rsidP="00E97B99">
            <w:pPr>
              <w:spacing w:before="40" w:after="0" w:line="240" w:lineRule="auto"/>
              <w:jc w:val="center"/>
              <w:rPr>
                <w:rFonts w:ascii="Arial" w:hAnsi="Arial"/>
                <w:b/>
                <w:sz w:val="14"/>
                <w:szCs w:val="14"/>
              </w:rPr>
            </w:pPr>
            <w:r w:rsidRPr="00423DDB">
              <w:rPr>
                <w:rFonts w:ascii="Arial" w:hAnsi="Arial"/>
                <w:b/>
                <w:sz w:val="14"/>
                <w:szCs w:val="14"/>
              </w:rPr>
              <w:t>MSD</w:t>
            </w:r>
            <w:r>
              <w:rPr>
                <w:rFonts w:ascii="Arial" w:hAnsi="Arial"/>
                <w:b/>
                <w:sz w:val="14"/>
                <w:szCs w:val="14"/>
              </w:rPr>
              <w:t xml:space="preserve">  </w:t>
            </w:r>
          </w:p>
          <w:p w14:paraId="381ED765" w14:textId="3B028382" w:rsidR="000B02F7" w:rsidRPr="00423DDB" w:rsidRDefault="000B02F7" w:rsidP="007A4D93">
            <w:pPr>
              <w:spacing w:after="40" w:line="240" w:lineRule="auto"/>
              <w:jc w:val="center"/>
              <w:rPr>
                <w:rFonts w:ascii="Arial" w:hAnsi="Arial"/>
                <w:b/>
                <w:sz w:val="14"/>
                <w:szCs w:val="14"/>
              </w:rPr>
            </w:pPr>
            <w:r>
              <w:rPr>
                <w:rFonts w:ascii="Arial" w:hAnsi="Arial"/>
                <w:b/>
                <w:sz w:val="14"/>
                <w:szCs w:val="14"/>
              </w:rPr>
              <w:t>(this report)</w:t>
            </w:r>
          </w:p>
        </w:tc>
      </w:tr>
      <w:tr w:rsidR="000B02F7" w14:paraId="1B3D068C" w14:textId="77777777" w:rsidTr="007A4D93">
        <w:trPr>
          <w:jc w:val="center"/>
        </w:trPr>
        <w:tc>
          <w:tcPr>
            <w:tcW w:w="3114" w:type="dxa"/>
          </w:tcPr>
          <w:p w14:paraId="5A0D096C" w14:textId="77777777" w:rsidR="000B02F7" w:rsidRPr="00423DDB" w:rsidRDefault="000B02F7" w:rsidP="00454620">
            <w:pPr>
              <w:spacing w:before="60" w:after="20" w:line="240" w:lineRule="auto"/>
              <w:ind w:left="34"/>
              <w:rPr>
                <w:rFonts w:ascii="Arial" w:hAnsi="Arial"/>
                <w:b/>
                <w:bCs/>
                <w:sz w:val="14"/>
                <w:szCs w:val="14"/>
              </w:rPr>
            </w:pPr>
            <w:r w:rsidRPr="00423DDB">
              <w:rPr>
                <w:rFonts w:ascii="Arial" w:hAnsi="Arial"/>
                <w:b/>
                <w:bCs/>
                <w:sz w:val="14"/>
                <w:szCs w:val="14"/>
              </w:rPr>
              <w:t>Median HC as % of HH income</w:t>
            </w:r>
          </w:p>
        </w:tc>
        <w:tc>
          <w:tcPr>
            <w:tcW w:w="1276" w:type="dxa"/>
            <w:vAlign w:val="center"/>
          </w:tcPr>
          <w:p w14:paraId="412F52B8" w14:textId="77777777" w:rsidR="000B02F7" w:rsidRPr="00423DDB" w:rsidRDefault="000B02F7" w:rsidP="00454620">
            <w:pPr>
              <w:spacing w:before="20" w:after="20" w:line="240" w:lineRule="auto"/>
              <w:jc w:val="center"/>
              <w:rPr>
                <w:rFonts w:ascii="Arial" w:hAnsi="Arial"/>
                <w:sz w:val="14"/>
                <w:szCs w:val="14"/>
              </w:rPr>
            </w:pPr>
          </w:p>
        </w:tc>
        <w:tc>
          <w:tcPr>
            <w:tcW w:w="992" w:type="dxa"/>
            <w:vAlign w:val="center"/>
          </w:tcPr>
          <w:p w14:paraId="4F85388E" w14:textId="77777777" w:rsidR="000B02F7" w:rsidRPr="00423DDB" w:rsidRDefault="000B02F7" w:rsidP="00454620">
            <w:pPr>
              <w:spacing w:before="20" w:after="20" w:line="240" w:lineRule="auto"/>
              <w:jc w:val="center"/>
              <w:rPr>
                <w:rFonts w:ascii="Arial" w:hAnsi="Arial"/>
                <w:sz w:val="14"/>
                <w:szCs w:val="14"/>
              </w:rPr>
            </w:pPr>
          </w:p>
        </w:tc>
        <w:tc>
          <w:tcPr>
            <w:tcW w:w="1417" w:type="dxa"/>
          </w:tcPr>
          <w:p w14:paraId="44D78603" w14:textId="77777777" w:rsidR="000B02F7" w:rsidRPr="00423DDB" w:rsidRDefault="000B02F7" w:rsidP="00454620">
            <w:pPr>
              <w:spacing w:before="20" w:after="20" w:line="240" w:lineRule="auto"/>
              <w:jc w:val="center"/>
              <w:rPr>
                <w:rFonts w:ascii="Arial" w:hAnsi="Arial"/>
                <w:sz w:val="14"/>
                <w:szCs w:val="14"/>
              </w:rPr>
            </w:pPr>
          </w:p>
        </w:tc>
      </w:tr>
      <w:tr w:rsidR="000B02F7" w14:paraId="2EC58DFD" w14:textId="77777777" w:rsidTr="007A4D93">
        <w:trPr>
          <w:jc w:val="center"/>
        </w:trPr>
        <w:tc>
          <w:tcPr>
            <w:tcW w:w="3114" w:type="dxa"/>
          </w:tcPr>
          <w:p w14:paraId="0F30DA17"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All renters</w:t>
            </w:r>
          </w:p>
        </w:tc>
        <w:tc>
          <w:tcPr>
            <w:tcW w:w="1276" w:type="dxa"/>
            <w:vAlign w:val="center"/>
          </w:tcPr>
          <w:p w14:paraId="602B64CB"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25.9</w:t>
            </w:r>
          </w:p>
        </w:tc>
        <w:tc>
          <w:tcPr>
            <w:tcW w:w="992" w:type="dxa"/>
            <w:vAlign w:val="center"/>
          </w:tcPr>
          <w:p w14:paraId="7BC6A1AD"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27.8</w:t>
            </w:r>
          </w:p>
        </w:tc>
        <w:tc>
          <w:tcPr>
            <w:tcW w:w="1417" w:type="dxa"/>
          </w:tcPr>
          <w:p w14:paraId="0E355333"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27.4</w:t>
            </w:r>
          </w:p>
        </w:tc>
      </w:tr>
      <w:tr w:rsidR="000B02F7" w14:paraId="454FF41C" w14:textId="77777777" w:rsidTr="007A4D93">
        <w:trPr>
          <w:jc w:val="center"/>
        </w:trPr>
        <w:tc>
          <w:tcPr>
            <w:tcW w:w="3114" w:type="dxa"/>
          </w:tcPr>
          <w:p w14:paraId="6BE5012B"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Q1 renters</w:t>
            </w:r>
          </w:p>
        </w:tc>
        <w:tc>
          <w:tcPr>
            <w:tcW w:w="1276" w:type="dxa"/>
            <w:vAlign w:val="center"/>
          </w:tcPr>
          <w:p w14:paraId="4B6ABBCB"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43.9</w:t>
            </w:r>
          </w:p>
        </w:tc>
        <w:tc>
          <w:tcPr>
            <w:tcW w:w="992" w:type="dxa"/>
            <w:vAlign w:val="center"/>
          </w:tcPr>
          <w:p w14:paraId="58B3273F"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41.8</w:t>
            </w:r>
          </w:p>
        </w:tc>
        <w:tc>
          <w:tcPr>
            <w:tcW w:w="1417" w:type="dxa"/>
          </w:tcPr>
          <w:p w14:paraId="6BF5872F"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41.2</w:t>
            </w:r>
          </w:p>
        </w:tc>
      </w:tr>
      <w:tr w:rsidR="000B02F7" w14:paraId="149B42A4" w14:textId="77777777" w:rsidTr="007A4D93">
        <w:trPr>
          <w:jc w:val="center"/>
        </w:trPr>
        <w:tc>
          <w:tcPr>
            <w:tcW w:w="3114" w:type="dxa"/>
          </w:tcPr>
          <w:p w14:paraId="2754AE84"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Q2 renters</w:t>
            </w:r>
          </w:p>
        </w:tc>
        <w:tc>
          <w:tcPr>
            <w:tcW w:w="1276" w:type="dxa"/>
            <w:vAlign w:val="center"/>
          </w:tcPr>
          <w:p w14:paraId="76B7B758"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31.3</w:t>
            </w:r>
          </w:p>
        </w:tc>
        <w:tc>
          <w:tcPr>
            <w:tcW w:w="992" w:type="dxa"/>
            <w:vAlign w:val="center"/>
          </w:tcPr>
          <w:p w14:paraId="0101B06C"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32.8</w:t>
            </w:r>
          </w:p>
        </w:tc>
        <w:tc>
          <w:tcPr>
            <w:tcW w:w="1417" w:type="dxa"/>
          </w:tcPr>
          <w:p w14:paraId="38D9BFAE"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31.6</w:t>
            </w:r>
          </w:p>
        </w:tc>
      </w:tr>
      <w:tr w:rsidR="000B02F7" w14:paraId="0C648C3F" w14:textId="77777777" w:rsidTr="007A4D93">
        <w:trPr>
          <w:jc w:val="center"/>
        </w:trPr>
        <w:tc>
          <w:tcPr>
            <w:tcW w:w="3114" w:type="dxa"/>
          </w:tcPr>
          <w:p w14:paraId="23585703"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Q3 renters</w:t>
            </w:r>
          </w:p>
        </w:tc>
        <w:tc>
          <w:tcPr>
            <w:tcW w:w="1276" w:type="dxa"/>
            <w:vAlign w:val="center"/>
          </w:tcPr>
          <w:p w14:paraId="0F0EC1DE"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22.9</w:t>
            </w:r>
          </w:p>
        </w:tc>
        <w:tc>
          <w:tcPr>
            <w:tcW w:w="992" w:type="dxa"/>
            <w:vAlign w:val="center"/>
          </w:tcPr>
          <w:p w14:paraId="443028D5"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27.3</w:t>
            </w:r>
          </w:p>
        </w:tc>
        <w:tc>
          <w:tcPr>
            <w:tcW w:w="1417" w:type="dxa"/>
          </w:tcPr>
          <w:p w14:paraId="069B3C4A"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26.6</w:t>
            </w:r>
          </w:p>
        </w:tc>
      </w:tr>
      <w:tr w:rsidR="000B02F7" w14:paraId="15816FCF" w14:textId="77777777" w:rsidTr="007A4D93">
        <w:trPr>
          <w:jc w:val="center"/>
        </w:trPr>
        <w:tc>
          <w:tcPr>
            <w:tcW w:w="3114" w:type="dxa"/>
          </w:tcPr>
          <w:p w14:paraId="08650A8E" w14:textId="77777777" w:rsidR="000B02F7" w:rsidRPr="00423DDB" w:rsidRDefault="000B02F7" w:rsidP="00454620">
            <w:pPr>
              <w:spacing w:before="20" w:after="20" w:line="240" w:lineRule="auto"/>
              <w:ind w:left="174" w:hanging="142"/>
              <w:rPr>
                <w:rFonts w:ascii="Arial" w:hAnsi="Arial"/>
                <w:sz w:val="14"/>
                <w:szCs w:val="14"/>
              </w:rPr>
            </w:pPr>
          </w:p>
        </w:tc>
        <w:tc>
          <w:tcPr>
            <w:tcW w:w="1276" w:type="dxa"/>
            <w:vAlign w:val="center"/>
          </w:tcPr>
          <w:p w14:paraId="2752AFDF" w14:textId="77777777" w:rsidR="000B02F7" w:rsidRPr="00423DDB" w:rsidRDefault="000B02F7" w:rsidP="00454620">
            <w:pPr>
              <w:spacing w:before="20" w:after="20" w:line="240" w:lineRule="auto"/>
              <w:jc w:val="center"/>
              <w:rPr>
                <w:rFonts w:ascii="Arial" w:hAnsi="Arial"/>
                <w:sz w:val="14"/>
                <w:szCs w:val="14"/>
              </w:rPr>
            </w:pPr>
          </w:p>
        </w:tc>
        <w:tc>
          <w:tcPr>
            <w:tcW w:w="992" w:type="dxa"/>
            <w:vAlign w:val="center"/>
          </w:tcPr>
          <w:p w14:paraId="2A31C006" w14:textId="77777777" w:rsidR="000B02F7" w:rsidRPr="00423DDB" w:rsidRDefault="000B02F7" w:rsidP="00454620">
            <w:pPr>
              <w:spacing w:before="20" w:after="20" w:line="240" w:lineRule="auto"/>
              <w:jc w:val="center"/>
              <w:rPr>
                <w:rFonts w:ascii="Arial" w:hAnsi="Arial"/>
                <w:sz w:val="14"/>
                <w:szCs w:val="14"/>
              </w:rPr>
            </w:pPr>
          </w:p>
        </w:tc>
        <w:tc>
          <w:tcPr>
            <w:tcW w:w="1417" w:type="dxa"/>
          </w:tcPr>
          <w:p w14:paraId="51A080FE" w14:textId="77777777" w:rsidR="000B02F7" w:rsidRPr="00423DDB" w:rsidRDefault="000B02F7" w:rsidP="00454620">
            <w:pPr>
              <w:spacing w:before="20" w:after="20" w:line="240" w:lineRule="auto"/>
              <w:jc w:val="center"/>
              <w:rPr>
                <w:rFonts w:ascii="Arial" w:hAnsi="Arial"/>
                <w:sz w:val="14"/>
                <w:szCs w:val="14"/>
              </w:rPr>
            </w:pPr>
          </w:p>
        </w:tc>
      </w:tr>
      <w:tr w:rsidR="000B02F7" w14:paraId="4B2A5ABE" w14:textId="77777777" w:rsidTr="007A4D93">
        <w:trPr>
          <w:jc w:val="center"/>
        </w:trPr>
        <w:tc>
          <w:tcPr>
            <w:tcW w:w="3114" w:type="dxa"/>
          </w:tcPr>
          <w:p w14:paraId="21AB2261"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 xml:space="preserve">All </w:t>
            </w:r>
            <w:r>
              <w:rPr>
                <w:rFonts w:ascii="Arial" w:hAnsi="Arial"/>
                <w:sz w:val="14"/>
                <w:szCs w:val="14"/>
              </w:rPr>
              <w:t>HHs</w:t>
            </w:r>
            <w:r w:rsidRPr="00423DDB">
              <w:rPr>
                <w:rFonts w:ascii="Arial" w:hAnsi="Arial"/>
                <w:sz w:val="14"/>
                <w:szCs w:val="14"/>
              </w:rPr>
              <w:t xml:space="preserve"> with mortgage</w:t>
            </w:r>
          </w:p>
        </w:tc>
        <w:tc>
          <w:tcPr>
            <w:tcW w:w="1276" w:type="dxa"/>
            <w:vAlign w:val="center"/>
          </w:tcPr>
          <w:p w14:paraId="3D52B656"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15.7</w:t>
            </w:r>
          </w:p>
        </w:tc>
        <w:tc>
          <w:tcPr>
            <w:tcW w:w="992" w:type="dxa"/>
            <w:vAlign w:val="center"/>
          </w:tcPr>
          <w:p w14:paraId="2929C594"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19.4</w:t>
            </w:r>
          </w:p>
        </w:tc>
        <w:tc>
          <w:tcPr>
            <w:tcW w:w="1417" w:type="dxa"/>
          </w:tcPr>
          <w:p w14:paraId="428D8B6B"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19.8</w:t>
            </w:r>
          </w:p>
        </w:tc>
      </w:tr>
      <w:tr w:rsidR="000B02F7" w14:paraId="65E7C432" w14:textId="77777777" w:rsidTr="007A4D93">
        <w:trPr>
          <w:jc w:val="center"/>
        </w:trPr>
        <w:tc>
          <w:tcPr>
            <w:tcW w:w="3114" w:type="dxa"/>
          </w:tcPr>
          <w:p w14:paraId="32E800D1"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 xml:space="preserve">Q1 </w:t>
            </w:r>
            <w:r>
              <w:rPr>
                <w:rFonts w:ascii="Arial" w:hAnsi="Arial"/>
                <w:sz w:val="14"/>
                <w:szCs w:val="14"/>
              </w:rPr>
              <w:t>HHs</w:t>
            </w:r>
            <w:r w:rsidRPr="00423DDB">
              <w:rPr>
                <w:rFonts w:ascii="Arial" w:hAnsi="Arial"/>
                <w:sz w:val="14"/>
                <w:szCs w:val="14"/>
              </w:rPr>
              <w:t xml:space="preserve"> with mortgage</w:t>
            </w:r>
          </w:p>
        </w:tc>
        <w:tc>
          <w:tcPr>
            <w:tcW w:w="1276" w:type="dxa"/>
            <w:vAlign w:val="center"/>
          </w:tcPr>
          <w:p w14:paraId="09742AF2"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24.3</w:t>
            </w:r>
          </w:p>
        </w:tc>
        <w:tc>
          <w:tcPr>
            <w:tcW w:w="992" w:type="dxa"/>
            <w:vAlign w:val="center"/>
          </w:tcPr>
          <w:p w14:paraId="48A0314C"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23.5</w:t>
            </w:r>
          </w:p>
        </w:tc>
        <w:tc>
          <w:tcPr>
            <w:tcW w:w="1417" w:type="dxa"/>
          </w:tcPr>
          <w:p w14:paraId="449010F8"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26.7</w:t>
            </w:r>
          </w:p>
        </w:tc>
      </w:tr>
      <w:tr w:rsidR="000B02F7" w14:paraId="4C2DCAEA" w14:textId="77777777" w:rsidTr="007A4D93">
        <w:trPr>
          <w:jc w:val="center"/>
        </w:trPr>
        <w:tc>
          <w:tcPr>
            <w:tcW w:w="3114" w:type="dxa"/>
          </w:tcPr>
          <w:p w14:paraId="075EA4A9" w14:textId="77777777" w:rsidR="000B02F7" w:rsidRPr="00423DDB" w:rsidRDefault="000B02F7" w:rsidP="00454620">
            <w:pPr>
              <w:spacing w:before="20" w:after="20" w:line="240" w:lineRule="auto"/>
              <w:ind w:left="174" w:hanging="142"/>
              <w:rPr>
                <w:rFonts w:ascii="Arial" w:hAnsi="Arial"/>
                <w:sz w:val="14"/>
                <w:szCs w:val="14"/>
              </w:rPr>
            </w:pPr>
            <w:r w:rsidRPr="00423DDB">
              <w:rPr>
                <w:rFonts w:ascii="Arial" w:hAnsi="Arial"/>
                <w:sz w:val="14"/>
                <w:szCs w:val="14"/>
              </w:rPr>
              <w:tab/>
              <w:t xml:space="preserve">Q2 </w:t>
            </w:r>
            <w:r>
              <w:rPr>
                <w:rFonts w:ascii="Arial" w:hAnsi="Arial"/>
                <w:sz w:val="14"/>
                <w:szCs w:val="14"/>
              </w:rPr>
              <w:t>HHs</w:t>
            </w:r>
            <w:r w:rsidRPr="00423DDB">
              <w:rPr>
                <w:rFonts w:ascii="Arial" w:hAnsi="Arial"/>
                <w:sz w:val="14"/>
                <w:szCs w:val="14"/>
              </w:rPr>
              <w:t xml:space="preserve"> with mortgage</w:t>
            </w:r>
          </w:p>
        </w:tc>
        <w:tc>
          <w:tcPr>
            <w:tcW w:w="1276" w:type="dxa"/>
            <w:vAlign w:val="center"/>
          </w:tcPr>
          <w:p w14:paraId="54DF897C"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22.8</w:t>
            </w:r>
          </w:p>
        </w:tc>
        <w:tc>
          <w:tcPr>
            <w:tcW w:w="992" w:type="dxa"/>
            <w:vAlign w:val="center"/>
          </w:tcPr>
          <w:p w14:paraId="1EAA4CB1"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22.7</w:t>
            </w:r>
          </w:p>
        </w:tc>
        <w:tc>
          <w:tcPr>
            <w:tcW w:w="1417" w:type="dxa"/>
          </w:tcPr>
          <w:p w14:paraId="064CD255"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24.8</w:t>
            </w:r>
          </w:p>
        </w:tc>
      </w:tr>
      <w:tr w:rsidR="000B02F7" w14:paraId="3DB0F172" w14:textId="77777777" w:rsidTr="007A4D93">
        <w:trPr>
          <w:jc w:val="center"/>
        </w:trPr>
        <w:tc>
          <w:tcPr>
            <w:tcW w:w="3114" w:type="dxa"/>
          </w:tcPr>
          <w:p w14:paraId="13CE4A27" w14:textId="77777777" w:rsidR="000B02F7" w:rsidRPr="00423DDB" w:rsidRDefault="000B02F7" w:rsidP="00454620">
            <w:pPr>
              <w:spacing w:before="20" w:after="20" w:line="240" w:lineRule="auto"/>
              <w:ind w:left="174"/>
              <w:rPr>
                <w:rFonts w:ascii="Arial" w:hAnsi="Arial"/>
                <w:sz w:val="14"/>
                <w:szCs w:val="14"/>
              </w:rPr>
            </w:pPr>
            <w:r w:rsidRPr="00423DDB">
              <w:rPr>
                <w:rFonts w:ascii="Arial" w:hAnsi="Arial"/>
                <w:sz w:val="14"/>
                <w:szCs w:val="14"/>
              </w:rPr>
              <w:t xml:space="preserve">Q3 </w:t>
            </w:r>
            <w:r>
              <w:rPr>
                <w:rFonts w:ascii="Arial" w:hAnsi="Arial"/>
                <w:sz w:val="14"/>
                <w:szCs w:val="14"/>
              </w:rPr>
              <w:t>HHs</w:t>
            </w:r>
            <w:r w:rsidRPr="00423DDB">
              <w:rPr>
                <w:rFonts w:ascii="Arial" w:hAnsi="Arial"/>
                <w:sz w:val="14"/>
                <w:szCs w:val="14"/>
              </w:rPr>
              <w:t xml:space="preserve"> with mortgage</w:t>
            </w:r>
          </w:p>
        </w:tc>
        <w:tc>
          <w:tcPr>
            <w:tcW w:w="1276" w:type="dxa"/>
            <w:vAlign w:val="center"/>
          </w:tcPr>
          <w:p w14:paraId="6BFF7728"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18.2</w:t>
            </w:r>
          </w:p>
        </w:tc>
        <w:tc>
          <w:tcPr>
            <w:tcW w:w="992" w:type="dxa"/>
            <w:vAlign w:val="center"/>
          </w:tcPr>
          <w:p w14:paraId="428B3430"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21.0</w:t>
            </w:r>
          </w:p>
        </w:tc>
        <w:tc>
          <w:tcPr>
            <w:tcW w:w="1417" w:type="dxa"/>
          </w:tcPr>
          <w:p w14:paraId="715DFC9C" w14:textId="77777777" w:rsidR="000B02F7" w:rsidRPr="00423DDB" w:rsidRDefault="000B02F7" w:rsidP="00454620">
            <w:pPr>
              <w:spacing w:before="20" w:after="20" w:line="240" w:lineRule="auto"/>
              <w:jc w:val="center"/>
              <w:rPr>
                <w:rFonts w:ascii="Arial" w:hAnsi="Arial"/>
                <w:sz w:val="14"/>
                <w:szCs w:val="14"/>
              </w:rPr>
            </w:pPr>
            <w:r>
              <w:rPr>
                <w:rFonts w:ascii="Arial" w:hAnsi="Arial"/>
                <w:sz w:val="14"/>
                <w:szCs w:val="14"/>
              </w:rPr>
              <w:t>21.7</w:t>
            </w:r>
          </w:p>
        </w:tc>
      </w:tr>
      <w:tr w:rsidR="000B02F7" w14:paraId="08B9B1AD" w14:textId="77777777" w:rsidTr="007A4D93">
        <w:trPr>
          <w:jc w:val="center"/>
        </w:trPr>
        <w:tc>
          <w:tcPr>
            <w:tcW w:w="3114" w:type="dxa"/>
          </w:tcPr>
          <w:p w14:paraId="482B7728" w14:textId="77777777" w:rsidR="000B02F7" w:rsidRPr="00423DDB" w:rsidRDefault="000B02F7" w:rsidP="00454620">
            <w:pPr>
              <w:spacing w:before="20" w:after="20" w:line="240" w:lineRule="auto"/>
              <w:ind w:left="174"/>
              <w:rPr>
                <w:rFonts w:ascii="Arial" w:hAnsi="Arial"/>
                <w:sz w:val="14"/>
                <w:szCs w:val="14"/>
              </w:rPr>
            </w:pPr>
          </w:p>
        </w:tc>
        <w:tc>
          <w:tcPr>
            <w:tcW w:w="1276" w:type="dxa"/>
            <w:vAlign w:val="center"/>
          </w:tcPr>
          <w:p w14:paraId="46872414" w14:textId="77777777" w:rsidR="000B02F7" w:rsidRPr="00423DDB" w:rsidRDefault="000B02F7" w:rsidP="00454620">
            <w:pPr>
              <w:spacing w:before="20" w:after="20" w:line="240" w:lineRule="auto"/>
              <w:jc w:val="center"/>
              <w:rPr>
                <w:rFonts w:ascii="Arial" w:hAnsi="Arial"/>
                <w:sz w:val="14"/>
                <w:szCs w:val="14"/>
              </w:rPr>
            </w:pPr>
          </w:p>
        </w:tc>
        <w:tc>
          <w:tcPr>
            <w:tcW w:w="992" w:type="dxa"/>
            <w:vAlign w:val="center"/>
          </w:tcPr>
          <w:p w14:paraId="497FF858" w14:textId="77777777" w:rsidR="000B02F7" w:rsidRPr="00423DDB" w:rsidRDefault="000B02F7" w:rsidP="00454620">
            <w:pPr>
              <w:spacing w:before="20" w:after="20" w:line="240" w:lineRule="auto"/>
              <w:jc w:val="center"/>
              <w:rPr>
                <w:rFonts w:ascii="Arial" w:hAnsi="Arial"/>
                <w:sz w:val="14"/>
                <w:szCs w:val="14"/>
              </w:rPr>
            </w:pPr>
          </w:p>
        </w:tc>
        <w:tc>
          <w:tcPr>
            <w:tcW w:w="1417" w:type="dxa"/>
          </w:tcPr>
          <w:p w14:paraId="4D672315" w14:textId="77777777" w:rsidR="000B02F7" w:rsidRPr="00423DDB" w:rsidRDefault="000B02F7" w:rsidP="00454620">
            <w:pPr>
              <w:spacing w:before="20" w:after="20" w:line="240" w:lineRule="auto"/>
              <w:jc w:val="center"/>
              <w:rPr>
                <w:rFonts w:ascii="Arial" w:hAnsi="Arial"/>
                <w:sz w:val="14"/>
                <w:szCs w:val="14"/>
              </w:rPr>
            </w:pPr>
          </w:p>
        </w:tc>
      </w:tr>
      <w:tr w:rsidR="004C3A0D" w14:paraId="37494816" w14:textId="77777777" w:rsidTr="007A4D93">
        <w:trPr>
          <w:jc w:val="center"/>
        </w:trPr>
        <w:tc>
          <w:tcPr>
            <w:tcW w:w="3114" w:type="dxa"/>
          </w:tcPr>
          <w:p w14:paraId="56E1F38B" w14:textId="77777777" w:rsidR="004C3A0D" w:rsidRPr="00423DDB" w:rsidRDefault="004C3A0D" w:rsidP="004C3A0D">
            <w:pPr>
              <w:spacing w:before="20" w:after="20" w:line="240" w:lineRule="auto"/>
              <w:ind w:left="174"/>
              <w:rPr>
                <w:rFonts w:ascii="Arial" w:hAnsi="Arial"/>
                <w:sz w:val="14"/>
                <w:szCs w:val="14"/>
              </w:rPr>
            </w:pPr>
            <w:r>
              <w:rPr>
                <w:rFonts w:ascii="Arial" w:hAnsi="Arial"/>
                <w:sz w:val="14"/>
                <w:szCs w:val="14"/>
              </w:rPr>
              <w:t>All HHs with rent or mortgage</w:t>
            </w:r>
          </w:p>
        </w:tc>
        <w:tc>
          <w:tcPr>
            <w:tcW w:w="1276" w:type="dxa"/>
            <w:shd w:val="clear" w:color="auto" w:fill="auto"/>
            <w:vAlign w:val="center"/>
          </w:tcPr>
          <w:p w14:paraId="3548F017"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nil</w:t>
            </w:r>
          </w:p>
        </w:tc>
        <w:tc>
          <w:tcPr>
            <w:tcW w:w="992" w:type="dxa"/>
            <w:shd w:val="clear" w:color="auto" w:fill="auto"/>
            <w:vAlign w:val="center"/>
          </w:tcPr>
          <w:p w14:paraId="4A2F7EF7" w14:textId="780EA614" w:rsidR="004C3A0D" w:rsidRPr="004C3A0D" w:rsidRDefault="004C3A0D" w:rsidP="004C3A0D">
            <w:pPr>
              <w:spacing w:before="20" w:after="20" w:line="240" w:lineRule="auto"/>
              <w:jc w:val="center"/>
              <w:rPr>
                <w:rFonts w:ascii="Arial" w:hAnsi="Arial"/>
                <w:sz w:val="14"/>
                <w:szCs w:val="14"/>
              </w:rPr>
            </w:pPr>
            <w:r w:rsidRPr="004C3A0D">
              <w:rPr>
                <w:rFonts w:ascii="Arial" w:hAnsi="Arial"/>
                <w:sz w:val="14"/>
                <w:szCs w:val="14"/>
              </w:rPr>
              <w:t>23.5</w:t>
            </w:r>
          </w:p>
        </w:tc>
        <w:tc>
          <w:tcPr>
            <w:tcW w:w="1417" w:type="dxa"/>
          </w:tcPr>
          <w:p w14:paraId="1B26B70E" w14:textId="77777777" w:rsidR="004C3A0D" w:rsidRPr="004C3A0D" w:rsidRDefault="004C3A0D" w:rsidP="004C3A0D">
            <w:pPr>
              <w:spacing w:before="20" w:after="20" w:line="240" w:lineRule="auto"/>
              <w:jc w:val="center"/>
              <w:rPr>
                <w:rFonts w:ascii="Arial" w:hAnsi="Arial"/>
                <w:sz w:val="14"/>
                <w:szCs w:val="14"/>
              </w:rPr>
            </w:pPr>
            <w:r w:rsidRPr="004C3A0D">
              <w:rPr>
                <w:rFonts w:ascii="Arial" w:hAnsi="Arial"/>
                <w:sz w:val="14"/>
                <w:szCs w:val="14"/>
              </w:rPr>
              <w:t>22.9</w:t>
            </w:r>
          </w:p>
        </w:tc>
      </w:tr>
      <w:tr w:rsidR="004C3A0D" w14:paraId="0B6CC9D1" w14:textId="77777777" w:rsidTr="007A4D93">
        <w:trPr>
          <w:jc w:val="center"/>
        </w:trPr>
        <w:tc>
          <w:tcPr>
            <w:tcW w:w="3114" w:type="dxa"/>
          </w:tcPr>
          <w:p w14:paraId="115F5015" w14:textId="77777777" w:rsidR="004C3A0D" w:rsidRPr="00423DDB" w:rsidRDefault="004C3A0D" w:rsidP="004C3A0D">
            <w:pPr>
              <w:spacing w:before="20" w:after="20" w:line="240" w:lineRule="auto"/>
              <w:ind w:left="174"/>
              <w:rPr>
                <w:rFonts w:ascii="Arial" w:hAnsi="Arial"/>
                <w:sz w:val="14"/>
                <w:szCs w:val="14"/>
              </w:rPr>
            </w:pPr>
            <w:r>
              <w:rPr>
                <w:rFonts w:ascii="Arial" w:hAnsi="Arial"/>
                <w:sz w:val="14"/>
                <w:szCs w:val="14"/>
              </w:rPr>
              <w:t>All HHs</w:t>
            </w:r>
          </w:p>
        </w:tc>
        <w:tc>
          <w:tcPr>
            <w:tcW w:w="1276" w:type="dxa"/>
            <w:vAlign w:val="center"/>
          </w:tcPr>
          <w:p w14:paraId="108FF22D"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n/a</w:t>
            </w:r>
          </w:p>
        </w:tc>
        <w:tc>
          <w:tcPr>
            <w:tcW w:w="992" w:type="dxa"/>
            <w:vAlign w:val="center"/>
          </w:tcPr>
          <w:p w14:paraId="7D4A52D4" w14:textId="3E636A75" w:rsidR="004C3A0D" w:rsidRPr="004C3A0D" w:rsidRDefault="004C3A0D" w:rsidP="004C3A0D">
            <w:pPr>
              <w:spacing w:before="20" w:after="20" w:line="240" w:lineRule="auto"/>
              <w:jc w:val="center"/>
              <w:rPr>
                <w:rFonts w:ascii="Arial" w:hAnsi="Arial"/>
                <w:sz w:val="14"/>
                <w:szCs w:val="14"/>
              </w:rPr>
            </w:pPr>
            <w:r w:rsidRPr="004C3A0D">
              <w:rPr>
                <w:rFonts w:ascii="Arial" w:hAnsi="Arial"/>
                <w:sz w:val="14"/>
                <w:szCs w:val="14"/>
              </w:rPr>
              <w:t>14.9</w:t>
            </w:r>
          </w:p>
        </w:tc>
        <w:tc>
          <w:tcPr>
            <w:tcW w:w="1417" w:type="dxa"/>
          </w:tcPr>
          <w:p w14:paraId="27588ED8" w14:textId="77777777" w:rsidR="004C3A0D" w:rsidRPr="004C3A0D" w:rsidRDefault="004C3A0D" w:rsidP="004C3A0D">
            <w:pPr>
              <w:spacing w:before="20" w:after="20" w:line="240" w:lineRule="auto"/>
              <w:jc w:val="center"/>
              <w:rPr>
                <w:rFonts w:ascii="Arial" w:hAnsi="Arial"/>
                <w:sz w:val="14"/>
                <w:szCs w:val="14"/>
              </w:rPr>
            </w:pPr>
            <w:r w:rsidRPr="004C3A0D">
              <w:rPr>
                <w:rFonts w:ascii="Arial" w:hAnsi="Arial"/>
                <w:sz w:val="14"/>
                <w:szCs w:val="14"/>
              </w:rPr>
              <w:t>15.3</w:t>
            </w:r>
          </w:p>
        </w:tc>
      </w:tr>
      <w:tr w:rsidR="004C3A0D" w14:paraId="295349C2" w14:textId="77777777" w:rsidTr="007A4D93">
        <w:trPr>
          <w:jc w:val="center"/>
        </w:trPr>
        <w:tc>
          <w:tcPr>
            <w:tcW w:w="3114" w:type="dxa"/>
          </w:tcPr>
          <w:p w14:paraId="67870621" w14:textId="77777777" w:rsidR="004C3A0D" w:rsidRDefault="004C3A0D" w:rsidP="004C3A0D">
            <w:pPr>
              <w:spacing w:before="20" w:after="20" w:line="240" w:lineRule="auto"/>
              <w:ind w:left="174"/>
              <w:rPr>
                <w:rFonts w:ascii="Arial" w:hAnsi="Arial"/>
                <w:sz w:val="14"/>
                <w:szCs w:val="14"/>
              </w:rPr>
            </w:pPr>
          </w:p>
        </w:tc>
        <w:tc>
          <w:tcPr>
            <w:tcW w:w="1276" w:type="dxa"/>
            <w:vAlign w:val="center"/>
          </w:tcPr>
          <w:p w14:paraId="42030A76" w14:textId="77777777" w:rsidR="004C3A0D" w:rsidRDefault="004C3A0D" w:rsidP="004C3A0D">
            <w:pPr>
              <w:spacing w:before="20" w:after="20" w:line="240" w:lineRule="auto"/>
              <w:jc w:val="center"/>
              <w:rPr>
                <w:rFonts w:ascii="Arial" w:hAnsi="Arial"/>
                <w:sz w:val="14"/>
                <w:szCs w:val="14"/>
              </w:rPr>
            </w:pPr>
          </w:p>
        </w:tc>
        <w:tc>
          <w:tcPr>
            <w:tcW w:w="992" w:type="dxa"/>
            <w:vAlign w:val="center"/>
          </w:tcPr>
          <w:p w14:paraId="09B52EFB" w14:textId="77777777" w:rsidR="004C3A0D" w:rsidRDefault="004C3A0D" w:rsidP="004C3A0D">
            <w:pPr>
              <w:spacing w:before="20" w:after="20" w:line="240" w:lineRule="auto"/>
              <w:jc w:val="center"/>
              <w:rPr>
                <w:rFonts w:ascii="Arial" w:hAnsi="Arial"/>
                <w:sz w:val="14"/>
                <w:szCs w:val="14"/>
              </w:rPr>
            </w:pPr>
          </w:p>
        </w:tc>
        <w:tc>
          <w:tcPr>
            <w:tcW w:w="1417" w:type="dxa"/>
          </w:tcPr>
          <w:p w14:paraId="06D80C0F" w14:textId="77777777" w:rsidR="004C3A0D" w:rsidRPr="00423DDB" w:rsidRDefault="004C3A0D" w:rsidP="004C3A0D">
            <w:pPr>
              <w:spacing w:before="20" w:after="20" w:line="240" w:lineRule="auto"/>
              <w:jc w:val="center"/>
              <w:rPr>
                <w:rFonts w:ascii="Arial" w:hAnsi="Arial"/>
                <w:sz w:val="14"/>
                <w:szCs w:val="14"/>
              </w:rPr>
            </w:pPr>
          </w:p>
        </w:tc>
      </w:tr>
      <w:tr w:rsidR="004C3A0D" w14:paraId="1BF809E0" w14:textId="77777777" w:rsidTr="007A4D93">
        <w:trPr>
          <w:jc w:val="center"/>
        </w:trPr>
        <w:tc>
          <w:tcPr>
            <w:tcW w:w="3114" w:type="dxa"/>
          </w:tcPr>
          <w:p w14:paraId="7B4154B1" w14:textId="77777777" w:rsidR="004C3A0D" w:rsidRPr="00423DDB" w:rsidRDefault="004C3A0D" w:rsidP="004C3A0D">
            <w:pPr>
              <w:spacing w:before="60" w:after="20" w:line="240" w:lineRule="auto"/>
              <w:rPr>
                <w:rFonts w:ascii="Arial" w:hAnsi="Arial"/>
                <w:b/>
                <w:bCs/>
                <w:sz w:val="14"/>
                <w:szCs w:val="14"/>
              </w:rPr>
            </w:pPr>
            <w:r w:rsidRPr="00423DDB">
              <w:rPr>
                <w:rFonts w:ascii="Arial" w:hAnsi="Arial"/>
                <w:b/>
                <w:bCs/>
                <w:sz w:val="14"/>
                <w:szCs w:val="14"/>
              </w:rPr>
              <w:t>Housing affordability, OTIs &gt; 40%</w:t>
            </w:r>
          </w:p>
        </w:tc>
        <w:tc>
          <w:tcPr>
            <w:tcW w:w="1276" w:type="dxa"/>
            <w:vAlign w:val="center"/>
          </w:tcPr>
          <w:p w14:paraId="145AF381" w14:textId="77777777" w:rsidR="004C3A0D" w:rsidRPr="00423DDB" w:rsidRDefault="004C3A0D" w:rsidP="004C3A0D">
            <w:pPr>
              <w:spacing w:before="20" w:after="20" w:line="240" w:lineRule="auto"/>
              <w:jc w:val="center"/>
              <w:rPr>
                <w:rFonts w:ascii="Arial" w:hAnsi="Arial"/>
                <w:sz w:val="14"/>
                <w:szCs w:val="14"/>
              </w:rPr>
            </w:pPr>
          </w:p>
        </w:tc>
        <w:tc>
          <w:tcPr>
            <w:tcW w:w="992" w:type="dxa"/>
            <w:vAlign w:val="center"/>
          </w:tcPr>
          <w:p w14:paraId="003C503E" w14:textId="77777777" w:rsidR="004C3A0D" w:rsidRPr="00423DDB" w:rsidRDefault="004C3A0D" w:rsidP="004C3A0D">
            <w:pPr>
              <w:spacing w:before="20" w:after="20" w:line="240" w:lineRule="auto"/>
              <w:jc w:val="center"/>
              <w:rPr>
                <w:rFonts w:ascii="Arial" w:hAnsi="Arial"/>
                <w:sz w:val="14"/>
                <w:szCs w:val="14"/>
              </w:rPr>
            </w:pPr>
          </w:p>
        </w:tc>
        <w:tc>
          <w:tcPr>
            <w:tcW w:w="1417" w:type="dxa"/>
          </w:tcPr>
          <w:p w14:paraId="24DF0CBA" w14:textId="77777777" w:rsidR="004C3A0D" w:rsidRPr="00423DDB" w:rsidRDefault="004C3A0D" w:rsidP="004C3A0D">
            <w:pPr>
              <w:spacing w:before="20" w:after="20" w:line="240" w:lineRule="auto"/>
              <w:jc w:val="center"/>
              <w:rPr>
                <w:rFonts w:ascii="Arial" w:hAnsi="Arial"/>
                <w:sz w:val="14"/>
                <w:szCs w:val="14"/>
              </w:rPr>
            </w:pPr>
          </w:p>
        </w:tc>
      </w:tr>
      <w:tr w:rsidR="004C3A0D" w14:paraId="133C2A8C" w14:textId="77777777" w:rsidTr="0079352E">
        <w:trPr>
          <w:jc w:val="center"/>
        </w:trPr>
        <w:tc>
          <w:tcPr>
            <w:tcW w:w="3114" w:type="dxa"/>
            <w:shd w:val="clear" w:color="auto" w:fill="C6D9F1" w:themeFill="text2" w:themeFillTint="33"/>
          </w:tcPr>
          <w:p w14:paraId="159F911F"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 xml:space="preserve">Q1 </w:t>
            </w:r>
            <w:r>
              <w:rPr>
                <w:rFonts w:ascii="Arial" w:hAnsi="Arial"/>
                <w:sz w:val="14"/>
                <w:szCs w:val="14"/>
              </w:rPr>
              <w:t>o</w:t>
            </w:r>
            <w:r w:rsidRPr="00423DDB">
              <w:rPr>
                <w:rFonts w:ascii="Arial" w:hAnsi="Arial"/>
                <w:sz w:val="14"/>
                <w:szCs w:val="14"/>
              </w:rPr>
              <w:t>wn with mortgage</w:t>
            </w:r>
          </w:p>
        </w:tc>
        <w:tc>
          <w:tcPr>
            <w:tcW w:w="1276" w:type="dxa"/>
            <w:shd w:val="clear" w:color="auto" w:fill="C6D9F1" w:themeFill="text2" w:themeFillTint="33"/>
            <w:vAlign w:val="center"/>
          </w:tcPr>
          <w:p w14:paraId="258F1553" w14:textId="77777777" w:rsidR="004C3A0D" w:rsidRPr="00423DDB" w:rsidRDefault="004C3A0D" w:rsidP="004C3A0D">
            <w:pPr>
              <w:spacing w:before="20" w:after="20" w:line="240" w:lineRule="auto"/>
              <w:jc w:val="center"/>
              <w:rPr>
                <w:rFonts w:ascii="Arial" w:hAnsi="Arial"/>
                <w:sz w:val="14"/>
                <w:szCs w:val="14"/>
              </w:rPr>
            </w:pPr>
            <w:r>
              <w:rPr>
                <w:rFonts w:ascii="Arial" w:hAnsi="Arial"/>
                <w:sz w:val="14"/>
                <w:szCs w:val="14"/>
              </w:rPr>
              <w:t>42.5</w:t>
            </w:r>
          </w:p>
        </w:tc>
        <w:tc>
          <w:tcPr>
            <w:tcW w:w="992" w:type="dxa"/>
            <w:shd w:val="clear" w:color="auto" w:fill="C6D9F1" w:themeFill="text2" w:themeFillTint="33"/>
            <w:vAlign w:val="center"/>
          </w:tcPr>
          <w:p w14:paraId="7D31DA6E" w14:textId="77777777" w:rsidR="004C3A0D" w:rsidRPr="00423DDB" w:rsidRDefault="004C3A0D" w:rsidP="004C3A0D">
            <w:pPr>
              <w:spacing w:before="20" w:after="20" w:line="240" w:lineRule="auto"/>
              <w:jc w:val="center"/>
              <w:rPr>
                <w:rFonts w:ascii="Arial" w:hAnsi="Arial"/>
                <w:sz w:val="14"/>
                <w:szCs w:val="14"/>
              </w:rPr>
            </w:pPr>
            <w:r>
              <w:rPr>
                <w:rFonts w:ascii="Arial" w:hAnsi="Arial"/>
                <w:sz w:val="14"/>
                <w:szCs w:val="14"/>
              </w:rPr>
              <w:t>32.4</w:t>
            </w:r>
          </w:p>
        </w:tc>
        <w:tc>
          <w:tcPr>
            <w:tcW w:w="1417" w:type="dxa"/>
            <w:shd w:val="clear" w:color="auto" w:fill="C6D9F1" w:themeFill="text2" w:themeFillTint="33"/>
          </w:tcPr>
          <w:p w14:paraId="7C95A086" w14:textId="77777777" w:rsidR="004C3A0D" w:rsidRPr="00423DDB" w:rsidRDefault="004C3A0D" w:rsidP="004C3A0D">
            <w:pPr>
              <w:spacing w:before="20" w:after="20" w:line="240" w:lineRule="auto"/>
              <w:jc w:val="center"/>
              <w:rPr>
                <w:rFonts w:ascii="Arial" w:hAnsi="Arial"/>
                <w:sz w:val="14"/>
                <w:szCs w:val="14"/>
              </w:rPr>
            </w:pPr>
            <w:r>
              <w:rPr>
                <w:rFonts w:ascii="Arial" w:hAnsi="Arial"/>
                <w:sz w:val="14"/>
                <w:szCs w:val="14"/>
              </w:rPr>
              <w:t>30.4</w:t>
            </w:r>
          </w:p>
        </w:tc>
      </w:tr>
      <w:tr w:rsidR="004C3A0D" w14:paraId="360BA883" w14:textId="77777777" w:rsidTr="007A4D93">
        <w:trPr>
          <w:jc w:val="center"/>
        </w:trPr>
        <w:tc>
          <w:tcPr>
            <w:tcW w:w="3114" w:type="dxa"/>
          </w:tcPr>
          <w:p w14:paraId="0638E5B3"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 xml:space="preserve">Q1 </w:t>
            </w:r>
            <w:r>
              <w:rPr>
                <w:rFonts w:ascii="Arial" w:hAnsi="Arial"/>
                <w:sz w:val="14"/>
                <w:szCs w:val="14"/>
              </w:rPr>
              <w:t>p</w:t>
            </w:r>
            <w:r w:rsidRPr="00423DDB">
              <w:rPr>
                <w:rFonts w:ascii="Arial" w:hAnsi="Arial"/>
                <w:sz w:val="14"/>
                <w:szCs w:val="14"/>
              </w:rPr>
              <w:t>rivate rent</w:t>
            </w:r>
            <w:r>
              <w:rPr>
                <w:rFonts w:ascii="Arial" w:hAnsi="Arial"/>
                <w:sz w:val="14"/>
                <w:szCs w:val="14"/>
              </w:rPr>
              <w:t xml:space="preserve"> (Stats include ‘social’ here)</w:t>
            </w:r>
          </w:p>
        </w:tc>
        <w:tc>
          <w:tcPr>
            <w:tcW w:w="1276" w:type="dxa"/>
            <w:vAlign w:val="center"/>
          </w:tcPr>
          <w:p w14:paraId="4FD0B747" w14:textId="77777777" w:rsidR="004C3A0D" w:rsidRPr="006251EA" w:rsidRDefault="004C3A0D" w:rsidP="004C3A0D">
            <w:pPr>
              <w:spacing w:before="20" w:after="20" w:line="240" w:lineRule="auto"/>
              <w:jc w:val="center"/>
              <w:rPr>
                <w:rFonts w:ascii="Arial" w:hAnsi="Arial"/>
                <w:sz w:val="14"/>
                <w:szCs w:val="14"/>
              </w:rPr>
            </w:pPr>
            <w:r w:rsidRPr="006251EA">
              <w:rPr>
                <w:rFonts w:ascii="Arial" w:hAnsi="Arial"/>
                <w:sz w:val="14"/>
                <w:szCs w:val="14"/>
              </w:rPr>
              <w:t>56.0</w:t>
            </w:r>
          </w:p>
        </w:tc>
        <w:tc>
          <w:tcPr>
            <w:tcW w:w="992" w:type="dxa"/>
            <w:vAlign w:val="center"/>
          </w:tcPr>
          <w:p w14:paraId="151401ED" w14:textId="77777777" w:rsidR="004C3A0D" w:rsidRPr="00AE021B" w:rsidRDefault="004C3A0D" w:rsidP="004C3A0D">
            <w:pPr>
              <w:spacing w:before="20" w:after="20" w:line="240" w:lineRule="auto"/>
              <w:jc w:val="center"/>
              <w:rPr>
                <w:rFonts w:ascii="Arial" w:hAnsi="Arial"/>
                <w:sz w:val="14"/>
                <w:szCs w:val="14"/>
              </w:rPr>
            </w:pPr>
            <w:r w:rsidRPr="00AE021B">
              <w:rPr>
                <w:rFonts w:ascii="Arial" w:hAnsi="Arial"/>
                <w:sz w:val="14"/>
                <w:szCs w:val="14"/>
              </w:rPr>
              <w:t>59.9</w:t>
            </w:r>
          </w:p>
        </w:tc>
        <w:tc>
          <w:tcPr>
            <w:tcW w:w="1417" w:type="dxa"/>
          </w:tcPr>
          <w:p w14:paraId="3B9AA07D" w14:textId="77777777" w:rsidR="004C3A0D" w:rsidRPr="00AE021B" w:rsidRDefault="004C3A0D" w:rsidP="004C3A0D">
            <w:pPr>
              <w:spacing w:before="20" w:after="20" w:line="240" w:lineRule="auto"/>
              <w:jc w:val="center"/>
              <w:rPr>
                <w:rFonts w:ascii="Arial" w:hAnsi="Arial"/>
                <w:sz w:val="14"/>
                <w:szCs w:val="14"/>
              </w:rPr>
            </w:pPr>
            <w:r w:rsidRPr="00AE021B">
              <w:rPr>
                <w:rFonts w:ascii="Arial" w:hAnsi="Arial"/>
                <w:sz w:val="14"/>
                <w:szCs w:val="14"/>
              </w:rPr>
              <w:t>60.8</w:t>
            </w:r>
          </w:p>
        </w:tc>
      </w:tr>
      <w:tr w:rsidR="004C3A0D" w14:paraId="4B2BBD0D" w14:textId="77777777" w:rsidTr="007A4D93">
        <w:trPr>
          <w:jc w:val="center"/>
        </w:trPr>
        <w:tc>
          <w:tcPr>
            <w:tcW w:w="3114" w:type="dxa"/>
          </w:tcPr>
          <w:p w14:paraId="784C7FE7"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 xml:space="preserve">Q1 </w:t>
            </w:r>
            <w:r>
              <w:rPr>
                <w:rFonts w:ascii="Arial" w:hAnsi="Arial"/>
                <w:sz w:val="14"/>
                <w:szCs w:val="14"/>
              </w:rPr>
              <w:t>a</w:t>
            </w:r>
            <w:r w:rsidRPr="00423DDB">
              <w:rPr>
                <w:rFonts w:ascii="Arial" w:hAnsi="Arial"/>
                <w:sz w:val="14"/>
                <w:szCs w:val="14"/>
              </w:rPr>
              <w:t>ll (</w:t>
            </w:r>
            <w:proofErr w:type="spellStart"/>
            <w:r w:rsidRPr="00423DDB">
              <w:rPr>
                <w:rFonts w:ascii="Arial" w:hAnsi="Arial"/>
                <w:sz w:val="14"/>
                <w:szCs w:val="14"/>
              </w:rPr>
              <w:t>excl</w:t>
            </w:r>
            <w:proofErr w:type="spellEnd"/>
            <w:r w:rsidRPr="00423DDB">
              <w:rPr>
                <w:rFonts w:ascii="Arial" w:hAnsi="Arial"/>
                <w:sz w:val="14"/>
                <w:szCs w:val="14"/>
              </w:rPr>
              <w:t xml:space="preserve"> those without a mortgage)</w:t>
            </w:r>
          </w:p>
        </w:tc>
        <w:tc>
          <w:tcPr>
            <w:tcW w:w="1276" w:type="dxa"/>
            <w:shd w:val="clear" w:color="auto" w:fill="auto"/>
            <w:vAlign w:val="center"/>
          </w:tcPr>
          <w:p w14:paraId="29D3CAB6"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nil</w:t>
            </w:r>
          </w:p>
        </w:tc>
        <w:tc>
          <w:tcPr>
            <w:tcW w:w="992" w:type="dxa"/>
            <w:shd w:val="clear" w:color="auto" w:fill="auto"/>
            <w:vAlign w:val="center"/>
          </w:tcPr>
          <w:p w14:paraId="3D148375" w14:textId="77777777" w:rsidR="004C3A0D" w:rsidRPr="007D7850" w:rsidRDefault="004C3A0D" w:rsidP="004C3A0D">
            <w:pPr>
              <w:spacing w:before="20" w:after="20" w:line="240" w:lineRule="auto"/>
              <w:jc w:val="center"/>
              <w:rPr>
                <w:rFonts w:ascii="Arial" w:hAnsi="Arial"/>
                <w:sz w:val="14"/>
                <w:szCs w:val="14"/>
              </w:rPr>
            </w:pPr>
            <w:r w:rsidRPr="007D7850">
              <w:rPr>
                <w:rFonts w:ascii="Arial" w:hAnsi="Arial"/>
                <w:sz w:val="14"/>
                <w:szCs w:val="14"/>
              </w:rPr>
              <w:t>38.2</w:t>
            </w:r>
          </w:p>
        </w:tc>
        <w:tc>
          <w:tcPr>
            <w:tcW w:w="1417" w:type="dxa"/>
          </w:tcPr>
          <w:p w14:paraId="5703E317" w14:textId="77777777" w:rsidR="004C3A0D" w:rsidRPr="00423DDB" w:rsidRDefault="004C3A0D" w:rsidP="004C3A0D">
            <w:pPr>
              <w:spacing w:before="20" w:after="20" w:line="240" w:lineRule="auto"/>
              <w:jc w:val="center"/>
              <w:rPr>
                <w:rFonts w:ascii="Arial" w:hAnsi="Arial"/>
                <w:sz w:val="14"/>
                <w:szCs w:val="14"/>
              </w:rPr>
            </w:pPr>
            <w:r>
              <w:rPr>
                <w:rFonts w:ascii="Arial" w:hAnsi="Arial"/>
                <w:sz w:val="14"/>
                <w:szCs w:val="14"/>
              </w:rPr>
              <w:t>38.6</w:t>
            </w:r>
          </w:p>
        </w:tc>
      </w:tr>
      <w:tr w:rsidR="004C3A0D" w14:paraId="4578B3B5" w14:textId="77777777" w:rsidTr="007A4D93">
        <w:trPr>
          <w:jc w:val="center"/>
        </w:trPr>
        <w:tc>
          <w:tcPr>
            <w:tcW w:w="3114" w:type="dxa"/>
          </w:tcPr>
          <w:p w14:paraId="68007170"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A</w:t>
            </w:r>
            <w:r>
              <w:rPr>
                <w:rFonts w:ascii="Arial" w:hAnsi="Arial"/>
                <w:sz w:val="14"/>
                <w:szCs w:val="14"/>
              </w:rPr>
              <w:t>ll</w:t>
            </w:r>
            <w:r w:rsidRPr="00423DDB">
              <w:rPr>
                <w:rFonts w:ascii="Arial" w:hAnsi="Arial"/>
                <w:sz w:val="14"/>
                <w:szCs w:val="14"/>
              </w:rPr>
              <w:t xml:space="preserve"> </w:t>
            </w:r>
            <w:r>
              <w:rPr>
                <w:rFonts w:ascii="Arial" w:hAnsi="Arial"/>
                <w:sz w:val="14"/>
                <w:szCs w:val="14"/>
              </w:rPr>
              <w:t>o</w:t>
            </w:r>
            <w:r w:rsidRPr="00423DDB">
              <w:rPr>
                <w:rFonts w:ascii="Arial" w:hAnsi="Arial"/>
                <w:sz w:val="14"/>
                <w:szCs w:val="14"/>
              </w:rPr>
              <w:t>wn with mortgage</w:t>
            </w:r>
          </w:p>
        </w:tc>
        <w:tc>
          <w:tcPr>
            <w:tcW w:w="1276" w:type="dxa"/>
            <w:shd w:val="clear" w:color="auto" w:fill="auto"/>
            <w:vAlign w:val="center"/>
          </w:tcPr>
          <w:p w14:paraId="740CCE18"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nil</w:t>
            </w:r>
          </w:p>
        </w:tc>
        <w:tc>
          <w:tcPr>
            <w:tcW w:w="992" w:type="dxa"/>
            <w:shd w:val="clear" w:color="auto" w:fill="auto"/>
            <w:vAlign w:val="center"/>
          </w:tcPr>
          <w:p w14:paraId="2A4B6AF4" w14:textId="38D49A3B" w:rsidR="004C3A0D" w:rsidRPr="007D7850" w:rsidRDefault="004C3A0D" w:rsidP="004C3A0D">
            <w:pPr>
              <w:spacing w:before="20" w:after="20" w:line="240" w:lineRule="auto"/>
              <w:jc w:val="center"/>
              <w:rPr>
                <w:rFonts w:ascii="Arial" w:hAnsi="Arial"/>
                <w:sz w:val="14"/>
                <w:szCs w:val="14"/>
              </w:rPr>
            </w:pPr>
            <w:r>
              <w:rPr>
                <w:rFonts w:ascii="Arial" w:hAnsi="Arial"/>
                <w:sz w:val="14"/>
                <w:szCs w:val="14"/>
              </w:rPr>
              <w:t>10.4</w:t>
            </w:r>
          </w:p>
        </w:tc>
        <w:tc>
          <w:tcPr>
            <w:tcW w:w="1417" w:type="dxa"/>
          </w:tcPr>
          <w:p w14:paraId="2A52CC69" w14:textId="72EF0541" w:rsidR="004C3A0D" w:rsidRPr="00423DDB" w:rsidRDefault="004C3A0D" w:rsidP="004C3A0D">
            <w:pPr>
              <w:spacing w:before="20" w:after="20" w:line="240" w:lineRule="auto"/>
              <w:jc w:val="center"/>
              <w:rPr>
                <w:rFonts w:ascii="Arial" w:hAnsi="Arial"/>
                <w:sz w:val="14"/>
                <w:szCs w:val="14"/>
              </w:rPr>
            </w:pPr>
            <w:r>
              <w:rPr>
                <w:rFonts w:ascii="Arial" w:hAnsi="Arial"/>
                <w:sz w:val="14"/>
                <w:szCs w:val="14"/>
              </w:rPr>
              <w:t>9.3</w:t>
            </w:r>
          </w:p>
        </w:tc>
      </w:tr>
      <w:tr w:rsidR="004C3A0D" w14:paraId="4745CE26" w14:textId="77777777" w:rsidTr="007A4D93">
        <w:trPr>
          <w:jc w:val="center"/>
        </w:trPr>
        <w:tc>
          <w:tcPr>
            <w:tcW w:w="3114" w:type="dxa"/>
          </w:tcPr>
          <w:p w14:paraId="4292FF3F"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A</w:t>
            </w:r>
            <w:r>
              <w:rPr>
                <w:rFonts w:ascii="Arial" w:hAnsi="Arial"/>
                <w:sz w:val="14"/>
                <w:szCs w:val="14"/>
              </w:rPr>
              <w:t>ll</w:t>
            </w:r>
            <w:r w:rsidRPr="00423DDB">
              <w:rPr>
                <w:rFonts w:ascii="Arial" w:hAnsi="Arial"/>
                <w:sz w:val="14"/>
                <w:szCs w:val="14"/>
              </w:rPr>
              <w:t xml:space="preserve"> </w:t>
            </w:r>
            <w:r>
              <w:rPr>
                <w:rFonts w:ascii="Arial" w:hAnsi="Arial"/>
                <w:sz w:val="14"/>
                <w:szCs w:val="14"/>
              </w:rPr>
              <w:t>p</w:t>
            </w:r>
            <w:r w:rsidRPr="00423DDB">
              <w:rPr>
                <w:rFonts w:ascii="Arial" w:hAnsi="Arial"/>
                <w:sz w:val="14"/>
                <w:szCs w:val="14"/>
              </w:rPr>
              <w:t>rivate rent</w:t>
            </w:r>
          </w:p>
        </w:tc>
        <w:tc>
          <w:tcPr>
            <w:tcW w:w="1276" w:type="dxa"/>
            <w:shd w:val="clear" w:color="auto" w:fill="auto"/>
            <w:vAlign w:val="center"/>
          </w:tcPr>
          <w:p w14:paraId="1C56DB39"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nil</w:t>
            </w:r>
          </w:p>
        </w:tc>
        <w:tc>
          <w:tcPr>
            <w:tcW w:w="992" w:type="dxa"/>
            <w:shd w:val="clear" w:color="auto" w:fill="auto"/>
            <w:vAlign w:val="center"/>
          </w:tcPr>
          <w:p w14:paraId="4B24CA2F" w14:textId="77777777" w:rsidR="004C3A0D" w:rsidRPr="007D7850" w:rsidRDefault="004C3A0D" w:rsidP="004C3A0D">
            <w:pPr>
              <w:spacing w:before="20" w:after="20" w:line="240" w:lineRule="auto"/>
              <w:jc w:val="center"/>
              <w:rPr>
                <w:rFonts w:ascii="Arial" w:hAnsi="Arial"/>
                <w:sz w:val="14"/>
                <w:szCs w:val="14"/>
              </w:rPr>
            </w:pPr>
            <w:r w:rsidRPr="007D7850">
              <w:rPr>
                <w:rFonts w:ascii="Arial" w:hAnsi="Arial"/>
                <w:sz w:val="14"/>
                <w:szCs w:val="14"/>
              </w:rPr>
              <w:t>19.9</w:t>
            </w:r>
          </w:p>
        </w:tc>
        <w:tc>
          <w:tcPr>
            <w:tcW w:w="1417" w:type="dxa"/>
          </w:tcPr>
          <w:p w14:paraId="5D6D5AEB" w14:textId="77777777" w:rsidR="004C3A0D" w:rsidRPr="009C7105" w:rsidRDefault="004C3A0D" w:rsidP="004C3A0D">
            <w:pPr>
              <w:spacing w:before="20" w:after="20" w:line="240" w:lineRule="auto"/>
              <w:jc w:val="center"/>
              <w:rPr>
                <w:rFonts w:ascii="Arial" w:hAnsi="Arial"/>
                <w:sz w:val="14"/>
                <w:szCs w:val="14"/>
              </w:rPr>
            </w:pPr>
            <w:r w:rsidRPr="009C7105">
              <w:rPr>
                <w:rFonts w:ascii="Arial" w:hAnsi="Arial"/>
                <w:sz w:val="14"/>
                <w:szCs w:val="14"/>
              </w:rPr>
              <w:t>23.8</w:t>
            </w:r>
          </w:p>
        </w:tc>
      </w:tr>
      <w:tr w:rsidR="004C3A0D" w14:paraId="43537E56" w14:textId="77777777" w:rsidTr="007A4D93">
        <w:trPr>
          <w:jc w:val="center"/>
        </w:trPr>
        <w:tc>
          <w:tcPr>
            <w:tcW w:w="3114" w:type="dxa"/>
          </w:tcPr>
          <w:p w14:paraId="5C026D68" w14:textId="77777777" w:rsidR="004C3A0D" w:rsidRPr="00423DDB" w:rsidRDefault="004C3A0D" w:rsidP="004C3A0D">
            <w:pPr>
              <w:spacing w:before="20" w:after="20" w:line="240" w:lineRule="auto"/>
              <w:ind w:left="174" w:hanging="174"/>
              <w:rPr>
                <w:rFonts w:ascii="Arial" w:hAnsi="Arial"/>
                <w:sz w:val="14"/>
                <w:szCs w:val="14"/>
              </w:rPr>
            </w:pPr>
            <w:r w:rsidRPr="00423DDB">
              <w:rPr>
                <w:rFonts w:ascii="Arial" w:hAnsi="Arial"/>
                <w:sz w:val="14"/>
                <w:szCs w:val="14"/>
              </w:rPr>
              <w:tab/>
              <w:t>A</w:t>
            </w:r>
            <w:r>
              <w:rPr>
                <w:rFonts w:ascii="Arial" w:hAnsi="Arial"/>
                <w:sz w:val="14"/>
                <w:szCs w:val="14"/>
              </w:rPr>
              <w:t xml:space="preserve">ll </w:t>
            </w:r>
            <w:proofErr w:type="spellStart"/>
            <w:r w:rsidRPr="00423DDB">
              <w:rPr>
                <w:rFonts w:ascii="Arial" w:hAnsi="Arial"/>
                <w:sz w:val="14"/>
                <w:szCs w:val="14"/>
              </w:rPr>
              <w:t>excl</w:t>
            </w:r>
            <w:proofErr w:type="spellEnd"/>
            <w:r w:rsidRPr="00423DDB">
              <w:rPr>
                <w:rFonts w:ascii="Arial" w:hAnsi="Arial"/>
                <w:sz w:val="14"/>
                <w:szCs w:val="14"/>
              </w:rPr>
              <w:t xml:space="preserve"> those without a mortgage</w:t>
            </w:r>
          </w:p>
        </w:tc>
        <w:tc>
          <w:tcPr>
            <w:tcW w:w="1276" w:type="dxa"/>
            <w:shd w:val="clear" w:color="auto" w:fill="auto"/>
            <w:vAlign w:val="center"/>
          </w:tcPr>
          <w:p w14:paraId="642C144F" w14:textId="77777777" w:rsidR="004C3A0D" w:rsidRPr="00C572C9" w:rsidRDefault="004C3A0D" w:rsidP="004C3A0D">
            <w:pPr>
              <w:spacing w:before="20" w:after="20" w:line="240" w:lineRule="auto"/>
              <w:jc w:val="center"/>
              <w:rPr>
                <w:rFonts w:ascii="Arial" w:hAnsi="Arial"/>
                <w:sz w:val="12"/>
                <w:szCs w:val="12"/>
              </w:rPr>
            </w:pPr>
            <w:r w:rsidRPr="00C572C9">
              <w:rPr>
                <w:rFonts w:ascii="Arial" w:hAnsi="Arial"/>
                <w:sz w:val="12"/>
                <w:szCs w:val="12"/>
              </w:rPr>
              <w:t>nil</w:t>
            </w:r>
          </w:p>
        </w:tc>
        <w:tc>
          <w:tcPr>
            <w:tcW w:w="992" w:type="dxa"/>
            <w:shd w:val="clear" w:color="auto" w:fill="auto"/>
            <w:vAlign w:val="center"/>
          </w:tcPr>
          <w:p w14:paraId="0A13F943" w14:textId="77777777" w:rsidR="004C3A0D" w:rsidRPr="007D7850" w:rsidRDefault="004C3A0D" w:rsidP="004C3A0D">
            <w:pPr>
              <w:spacing w:before="20" w:after="20" w:line="240" w:lineRule="auto"/>
              <w:jc w:val="center"/>
              <w:rPr>
                <w:rFonts w:ascii="Arial" w:hAnsi="Arial"/>
                <w:sz w:val="14"/>
                <w:szCs w:val="14"/>
              </w:rPr>
            </w:pPr>
            <w:r w:rsidRPr="007D7850">
              <w:rPr>
                <w:rFonts w:ascii="Arial" w:hAnsi="Arial"/>
                <w:sz w:val="14"/>
                <w:szCs w:val="14"/>
              </w:rPr>
              <w:t>14.0</w:t>
            </w:r>
          </w:p>
        </w:tc>
        <w:tc>
          <w:tcPr>
            <w:tcW w:w="1417" w:type="dxa"/>
          </w:tcPr>
          <w:p w14:paraId="3B4E3BA8" w14:textId="77777777" w:rsidR="004C3A0D" w:rsidRPr="009C7105" w:rsidRDefault="004C3A0D" w:rsidP="004C3A0D">
            <w:pPr>
              <w:spacing w:before="20" w:after="20" w:line="240" w:lineRule="auto"/>
              <w:jc w:val="center"/>
              <w:rPr>
                <w:rFonts w:ascii="Arial" w:hAnsi="Arial"/>
                <w:sz w:val="14"/>
                <w:szCs w:val="14"/>
              </w:rPr>
            </w:pPr>
            <w:r w:rsidRPr="009C7105">
              <w:rPr>
                <w:rFonts w:ascii="Arial" w:hAnsi="Arial"/>
                <w:sz w:val="14"/>
                <w:szCs w:val="14"/>
              </w:rPr>
              <w:t>14.2</w:t>
            </w:r>
          </w:p>
        </w:tc>
      </w:tr>
    </w:tbl>
    <w:p w14:paraId="75228F11" w14:textId="77777777" w:rsidR="000B02F7" w:rsidRPr="00957F68" w:rsidRDefault="000B02F7" w:rsidP="000B02F7">
      <w:pPr>
        <w:spacing w:before="60" w:after="0" w:line="240" w:lineRule="auto"/>
        <w:ind w:left="1560" w:hanging="284"/>
        <w:rPr>
          <w:rFonts w:ascii="Arial" w:hAnsi="Arial"/>
          <w:sz w:val="16"/>
        </w:rPr>
      </w:pPr>
      <w:r>
        <w:rPr>
          <w:rFonts w:ascii="Arial" w:hAnsi="Arial"/>
          <w:sz w:val="16"/>
        </w:rPr>
        <w:t>Notes</w:t>
      </w:r>
    </w:p>
    <w:p w14:paraId="49D7799C" w14:textId="77777777" w:rsidR="000B02F7" w:rsidRPr="00957F68" w:rsidRDefault="000B02F7" w:rsidP="000B02F7">
      <w:pPr>
        <w:spacing w:after="0" w:line="240" w:lineRule="auto"/>
        <w:ind w:left="1560" w:hanging="120"/>
        <w:rPr>
          <w:rFonts w:ascii="Arial" w:hAnsi="Arial"/>
          <w:sz w:val="16"/>
        </w:rPr>
      </w:pPr>
      <w:r w:rsidRPr="00957F68">
        <w:rPr>
          <w:rFonts w:ascii="Arial" w:hAnsi="Arial"/>
          <w:sz w:val="16"/>
        </w:rPr>
        <w:t>HC = housing costs</w:t>
      </w:r>
    </w:p>
    <w:p w14:paraId="6A612804" w14:textId="77777777" w:rsidR="000B02F7" w:rsidRDefault="000B02F7" w:rsidP="000B02F7">
      <w:pPr>
        <w:spacing w:after="0" w:line="240" w:lineRule="auto"/>
        <w:ind w:left="1560" w:hanging="120"/>
        <w:rPr>
          <w:rFonts w:ascii="Arial" w:hAnsi="Arial"/>
          <w:sz w:val="16"/>
        </w:rPr>
      </w:pPr>
      <w:r w:rsidRPr="00957F68">
        <w:rPr>
          <w:rFonts w:ascii="Arial" w:hAnsi="Arial"/>
          <w:sz w:val="16"/>
        </w:rPr>
        <w:t>OTI = ratio of housing outgoings to income</w:t>
      </w:r>
    </w:p>
    <w:p w14:paraId="2C491332" w14:textId="77777777" w:rsidR="000B02F7" w:rsidRDefault="000B02F7" w:rsidP="000B02F7">
      <w:pPr>
        <w:spacing w:after="0" w:line="240" w:lineRule="auto"/>
        <w:ind w:left="1560" w:hanging="120"/>
        <w:rPr>
          <w:rFonts w:ascii="Arial" w:hAnsi="Arial"/>
          <w:sz w:val="16"/>
        </w:rPr>
      </w:pPr>
      <w:r>
        <w:rPr>
          <w:rFonts w:ascii="Arial" w:hAnsi="Arial"/>
          <w:sz w:val="16"/>
        </w:rPr>
        <w:t>Median HC as % of HH income - based on counting households</w:t>
      </w:r>
    </w:p>
    <w:p w14:paraId="0A7234AB" w14:textId="77777777" w:rsidR="000B02F7" w:rsidRPr="00957F68" w:rsidRDefault="000B02F7" w:rsidP="000B02F7">
      <w:pPr>
        <w:spacing w:after="0" w:line="240" w:lineRule="auto"/>
        <w:ind w:left="1560" w:hanging="120"/>
        <w:rPr>
          <w:rFonts w:ascii="Arial" w:hAnsi="Arial"/>
          <w:sz w:val="16"/>
        </w:rPr>
      </w:pPr>
      <w:r>
        <w:rPr>
          <w:rFonts w:ascii="Arial" w:hAnsi="Arial"/>
          <w:sz w:val="16"/>
        </w:rPr>
        <w:t>OTIs &gt; 40% - based on counting individuals in their households</w:t>
      </w:r>
    </w:p>
    <w:p w14:paraId="5A5B2CE1" w14:textId="77777777" w:rsidR="000B02F7" w:rsidRDefault="000B02F7" w:rsidP="000B02F7">
      <w:pPr>
        <w:spacing w:after="0" w:line="240" w:lineRule="auto"/>
        <w:rPr>
          <w:rFonts w:ascii="Arial" w:hAnsi="Arial"/>
        </w:rPr>
      </w:pPr>
    </w:p>
    <w:p w14:paraId="27306CEA" w14:textId="77777777" w:rsidR="000E2F23" w:rsidRDefault="000E2F23">
      <w:pPr>
        <w:spacing w:after="0" w:line="240" w:lineRule="auto"/>
        <w:rPr>
          <w:rFonts w:ascii="Arial" w:hAnsi="Arial"/>
          <w:b/>
          <w:sz w:val="28"/>
        </w:rPr>
      </w:pPr>
      <w:r>
        <w:rPr>
          <w:rFonts w:ascii="Arial" w:hAnsi="Arial"/>
          <w:b/>
          <w:sz w:val="28"/>
        </w:rPr>
        <w:br w:type="page"/>
      </w:r>
    </w:p>
    <w:p w14:paraId="39F7DF6F" w14:textId="4255FB1A" w:rsidR="0050786A" w:rsidRDefault="0050786A" w:rsidP="0050786A">
      <w:pPr>
        <w:spacing w:after="0" w:line="240" w:lineRule="auto"/>
        <w:rPr>
          <w:rFonts w:ascii="Arial" w:hAnsi="Arial"/>
          <w:b/>
          <w:sz w:val="28"/>
        </w:rPr>
      </w:pPr>
      <w:r w:rsidRPr="00FD23FD">
        <w:rPr>
          <w:rFonts w:ascii="Arial" w:hAnsi="Arial"/>
          <w:b/>
          <w:sz w:val="28"/>
        </w:rPr>
        <w:lastRenderedPageBreak/>
        <w:t>Appendix</w:t>
      </w:r>
      <w:r>
        <w:rPr>
          <w:rFonts w:ascii="Arial" w:hAnsi="Arial"/>
          <w:b/>
          <w:sz w:val="28"/>
        </w:rPr>
        <w:t xml:space="preserve"> </w:t>
      </w:r>
      <w:r w:rsidR="00230B79">
        <w:rPr>
          <w:rFonts w:ascii="Arial" w:hAnsi="Arial"/>
          <w:b/>
          <w:sz w:val="28"/>
        </w:rPr>
        <w:t>3</w:t>
      </w:r>
    </w:p>
    <w:p w14:paraId="778EEC7C" w14:textId="41133B4C" w:rsidR="00296730" w:rsidRPr="00276812" w:rsidRDefault="00296730" w:rsidP="0050786A">
      <w:pPr>
        <w:spacing w:after="0" w:line="240" w:lineRule="auto"/>
        <w:rPr>
          <w:rFonts w:ascii="Arial" w:hAnsi="Arial"/>
          <w:b/>
          <w:szCs w:val="20"/>
        </w:rPr>
      </w:pPr>
    </w:p>
    <w:p w14:paraId="19D69BF8" w14:textId="5325369C" w:rsidR="00296730" w:rsidRPr="00296730" w:rsidRDefault="00296730" w:rsidP="0050786A">
      <w:pPr>
        <w:spacing w:after="0" w:line="240" w:lineRule="auto"/>
        <w:rPr>
          <w:rFonts w:ascii="Arial" w:hAnsi="Arial"/>
          <w:b/>
          <w:sz w:val="22"/>
          <w:szCs w:val="18"/>
        </w:rPr>
      </w:pPr>
      <w:r w:rsidRPr="00296730">
        <w:rPr>
          <w:rFonts w:ascii="Arial" w:hAnsi="Arial"/>
          <w:b/>
          <w:sz w:val="22"/>
          <w:szCs w:val="18"/>
        </w:rPr>
        <w:t xml:space="preserve">Distribution of social housing stock in </w:t>
      </w:r>
      <w:r w:rsidR="00BB7C3A">
        <w:rPr>
          <w:rFonts w:ascii="Arial" w:hAnsi="Arial"/>
          <w:b/>
          <w:sz w:val="22"/>
          <w:szCs w:val="18"/>
        </w:rPr>
        <w:t>OECD</w:t>
      </w:r>
      <w:r w:rsidRPr="00296730">
        <w:rPr>
          <w:rFonts w:ascii="Arial" w:hAnsi="Arial"/>
          <w:b/>
          <w:sz w:val="22"/>
          <w:szCs w:val="18"/>
        </w:rPr>
        <w:t xml:space="preserve"> countries</w:t>
      </w:r>
    </w:p>
    <w:p w14:paraId="75437A37" w14:textId="77777777" w:rsidR="0050786A" w:rsidRDefault="0050786A" w:rsidP="0050786A">
      <w:pPr>
        <w:spacing w:after="0" w:line="240" w:lineRule="auto"/>
        <w:rPr>
          <w:rFonts w:ascii="Arial" w:hAnsi="Arial"/>
        </w:rPr>
      </w:pPr>
    </w:p>
    <w:p w14:paraId="26BA13D1" w14:textId="15FDA90D" w:rsidR="005F70BE" w:rsidRPr="005F70BE" w:rsidRDefault="00296730" w:rsidP="005F70BE">
      <w:pPr>
        <w:spacing w:after="0" w:line="240" w:lineRule="auto"/>
        <w:rPr>
          <w:rFonts w:ascii="Arial" w:hAnsi="Arial"/>
          <w:bCs/>
          <w:szCs w:val="20"/>
        </w:rPr>
      </w:pPr>
      <w:r w:rsidRPr="005F70BE">
        <w:rPr>
          <w:rFonts w:ascii="Arial" w:hAnsi="Arial"/>
          <w:b/>
          <w:szCs w:val="20"/>
        </w:rPr>
        <w:t>Figure 3</w:t>
      </w:r>
      <w:r w:rsidRPr="005F70BE">
        <w:rPr>
          <w:rFonts w:ascii="Arial" w:hAnsi="Arial"/>
          <w:bCs/>
          <w:szCs w:val="20"/>
        </w:rPr>
        <w:t xml:space="preserve"> is a cut and paste </w:t>
      </w:r>
      <w:r w:rsidR="005F70BE" w:rsidRPr="005F70BE">
        <w:rPr>
          <w:rFonts w:ascii="Arial" w:hAnsi="Arial"/>
          <w:bCs/>
          <w:sz w:val="18"/>
          <w:szCs w:val="18"/>
        </w:rPr>
        <w:t xml:space="preserve">from </w:t>
      </w:r>
      <w:r w:rsidR="005F70BE">
        <w:rPr>
          <w:rFonts w:ascii="Arial" w:hAnsi="Arial"/>
          <w:bCs/>
          <w:sz w:val="18"/>
          <w:szCs w:val="18"/>
        </w:rPr>
        <w:t xml:space="preserve">Figure </w:t>
      </w:r>
      <w:r w:rsidR="005F70BE" w:rsidRPr="005F70BE">
        <w:rPr>
          <w:rFonts w:ascii="Arial" w:hAnsi="Arial"/>
          <w:bCs/>
          <w:sz w:val="18"/>
          <w:szCs w:val="18"/>
        </w:rPr>
        <w:t>PH4</w:t>
      </w:r>
      <w:r w:rsidR="005F70BE">
        <w:rPr>
          <w:rFonts w:ascii="Arial" w:hAnsi="Arial"/>
          <w:bCs/>
          <w:sz w:val="18"/>
          <w:szCs w:val="18"/>
        </w:rPr>
        <w:t>.2.1 in the S</w:t>
      </w:r>
      <w:r w:rsidR="005F70BE" w:rsidRPr="005F70BE">
        <w:rPr>
          <w:rFonts w:ascii="Arial" w:hAnsi="Arial"/>
          <w:bCs/>
          <w:sz w:val="18"/>
          <w:szCs w:val="18"/>
        </w:rPr>
        <w:t>ocial Rental Housing Stock document available at:</w:t>
      </w:r>
    </w:p>
    <w:p w14:paraId="7D4D5FA8" w14:textId="77777777" w:rsidR="005F70BE" w:rsidRPr="005F70BE" w:rsidRDefault="003D500C" w:rsidP="005F70BE">
      <w:pPr>
        <w:spacing w:after="0" w:line="240" w:lineRule="auto"/>
        <w:rPr>
          <w:rFonts w:ascii="Arial" w:hAnsi="Arial"/>
          <w:color w:val="0000FF"/>
          <w:sz w:val="18"/>
          <w:szCs w:val="18"/>
        </w:rPr>
      </w:pPr>
      <w:hyperlink r:id="rId49" w:history="1">
        <w:r w:rsidR="005F70BE" w:rsidRPr="005F70BE">
          <w:rPr>
            <w:rStyle w:val="Hyperlink"/>
            <w:rFonts w:ascii="Arial" w:hAnsi="Arial"/>
            <w:color w:val="0000FF"/>
            <w:sz w:val="18"/>
            <w:szCs w:val="18"/>
          </w:rPr>
          <w:t>https://www.oecd.org/els/family/PH4-2-Social-rental-housing-stock.pdf</w:t>
        </w:r>
      </w:hyperlink>
      <w:r w:rsidR="005F70BE" w:rsidRPr="005F70BE">
        <w:rPr>
          <w:rFonts w:ascii="Arial" w:hAnsi="Arial"/>
          <w:color w:val="0000FF"/>
          <w:sz w:val="18"/>
          <w:szCs w:val="18"/>
        </w:rPr>
        <w:t xml:space="preserve"> </w:t>
      </w:r>
    </w:p>
    <w:p w14:paraId="1C5BAED0" w14:textId="77777777" w:rsidR="005F70BE" w:rsidRPr="00445FC9" w:rsidRDefault="005F70BE" w:rsidP="005F70BE">
      <w:pPr>
        <w:spacing w:after="0" w:line="240" w:lineRule="auto"/>
        <w:rPr>
          <w:rFonts w:ascii="Arial" w:hAnsi="Arial"/>
          <w:b/>
          <w:sz w:val="22"/>
          <w:highlight w:val="yellow"/>
        </w:rPr>
      </w:pPr>
    </w:p>
    <w:p w14:paraId="75F0448A" w14:textId="16900D54" w:rsidR="008A3EF0" w:rsidRPr="00296730" w:rsidRDefault="00296730" w:rsidP="0050786A">
      <w:pPr>
        <w:spacing w:after="0" w:line="240" w:lineRule="auto"/>
        <w:rPr>
          <w:rFonts w:ascii="Arial" w:hAnsi="Arial"/>
          <w:bCs/>
          <w:szCs w:val="20"/>
        </w:rPr>
      </w:pPr>
      <w:r w:rsidRPr="00296730">
        <w:rPr>
          <w:rFonts w:ascii="Arial" w:hAnsi="Arial"/>
          <w:bCs/>
          <w:szCs w:val="20"/>
        </w:rPr>
        <w:t>The chart and the footnotes together are a valuable resource.</w:t>
      </w:r>
    </w:p>
    <w:p w14:paraId="6471675E" w14:textId="77777777" w:rsidR="00296730" w:rsidRDefault="00296730" w:rsidP="0050786A">
      <w:pPr>
        <w:spacing w:after="0" w:line="240" w:lineRule="auto"/>
        <w:rPr>
          <w:rFonts w:ascii="Arial" w:hAnsi="Arial"/>
          <w:b/>
          <w:sz w:val="22"/>
        </w:rPr>
      </w:pPr>
    </w:p>
    <w:p w14:paraId="304D1753" w14:textId="77777777" w:rsidR="00230B79" w:rsidRPr="00FF3F3A" w:rsidRDefault="00230B79" w:rsidP="00230B79">
      <w:pPr>
        <w:spacing w:before="40" w:after="40" w:line="240" w:lineRule="auto"/>
        <w:jc w:val="center"/>
        <w:rPr>
          <w:rFonts w:ascii="Arial" w:eastAsia="Times New Roman" w:hAnsi="Arial" w:cs="Times New Roman"/>
          <w:b/>
          <w:sz w:val="18"/>
          <w:szCs w:val="18"/>
          <w:lang w:val="en-GB"/>
        </w:rPr>
      </w:pPr>
      <w:r>
        <w:rPr>
          <w:rFonts w:ascii="Arial" w:eastAsia="Times New Roman" w:hAnsi="Arial" w:cs="Times New Roman"/>
          <w:b/>
          <w:sz w:val="18"/>
          <w:szCs w:val="18"/>
          <w:lang w:val="en-GB"/>
        </w:rPr>
        <w:t>Figure 3</w:t>
      </w:r>
    </w:p>
    <w:p w14:paraId="1884A0F3" w14:textId="77777777" w:rsidR="00230B79" w:rsidRDefault="00230B79" w:rsidP="00230B79">
      <w:pPr>
        <w:spacing w:line="240" w:lineRule="auto"/>
        <w:jc w:val="center"/>
        <w:rPr>
          <w:rFonts w:ascii="Arial" w:hAnsi="Arial"/>
        </w:rPr>
      </w:pPr>
      <w:r w:rsidRPr="00407BBA">
        <w:rPr>
          <w:rFonts w:ascii="Arial" w:eastAsia="Times New Roman" w:hAnsi="Arial" w:cs="Times New Roman"/>
          <w:b/>
          <w:noProof/>
          <w:sz w:val="18"/>
          <w:szCs w:val="18"/>
          <w:lang w:val="en-GB"/>
        </w:rPr>
        <w:drawing>
          <wp:anchor distT="0" distB="0" distL="114300" distR="114300" simplePos="0" relativeHeight="251769856" behindDoc="0" locked="0" layoutInCell="1" allowOverlap="1" wp14:anchorId="50714835" wp14:editId="24EBF99D">
            <wp:simplePos x="0" y="0"/>
            <wp:positionH relativeFrom="column">
              <wp:posOffset>164</wp:posOffset>
            </wp:positionH>
            <wp:positionV relativeFrom="paragraph">
              <wp:posOffset>158115</wp:posOffset>
            </wp:positionV>
            <wp:extent cx="5681964" cy="2481287"/>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1964" cy="2481287"/>
                    </a:xfrm>
                    <a:prstGeom prst="rect">
                      <a:avLst/>
                    </a:prstGeom>
                  </pic:spPr>
                </pic:pic>
              </a:graphicData>
            </a:graphic>
          </wp:anchor>
        </w:drawing>
      </w:r>
      <w:r>
        <w:rPr>
          <w:rFonts w:ascii="Arial" w:eastAsia="Times New Roman" w:hAnsi="Arial" w:cs="Times New Roman"/>
          <w:b/>
          <w:sz w:val="18"/>
          <w:szCs w:val="18"/>
          <w:lang w:val="en-GB"/>
        </w:rPr>
        <w:t>Distribution of social housing stock across OECD countries</w:t>
      </w:r>
    </w:p>
    <w:p w14:paraId="29BDEB5F" w14:textId="1D2FAE3F"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1. </w:t>
      </w:r>
      <w:r>
        <w:rPr>
          <w:rFonts w:ascii="Arial" w:hAnsi="Arial"/>
          <w:color w:val="000000"/>
          <w:sz w:val="16"/>
          <w:szCs w:val="16"/>
        </w:rPr>
        <w:tab/>
      </w:r>
      <w:r w:rsidRPr="00D14F24">
        <w:rPr>
          <w:rFonts w:ascii="Arial" w:hAnsi="Arial"/>
          <w:color w:val="000000"/>
          <w:sz w:val="16"/>
          <w:szCs w:val="16"/>
        </w:rPr>
        <w:t xml:space="preserve">For the Netherlands, the social dwelling stock is estimated based on rent levels charged by landlords as provided by the Ministry of the Interior and Kingdom Relations. These figures include units in private rentals provided below market rent and units provided by housing associations, excluding those provided at market-rate. </w:t>
      </w:r>
    </w:p>
    <w:p w14:paraId="49E05A3B" w14:textId="493C7855"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2. </w:t>
      </w:r>
      <w:r>
        <w:rPr>
          <w:rFonts w:ascii="Arial" w:hAnsi="Arial"/>
          <w:color w:val="000000"/>
          <w:sz w:val="16"/>
          <w:szCs w:val="16"/>
        </w:rPr>
        <w:tab/>
      </w:r>
      <w:r w:rsidRPr="00D14F24">
        <w:rPr>
          <w:rFonts w:ascii="Arial" w:hAnsi="Arial"/>
          <w:color w:val="000000"/>
          <w:sz w:val="16"/>
          <w:szCs w:val="16"/>
        </w:rPr>
        <w:t xml:space="preserve">For Austria, data only refer to the main residence dwellings. </w:t>
      </w:r>
    </w:p>
    <w:p w14:paraId="73EE4510" w14:textId="2FE13FBA"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3. </w:t>
      </w:r>
      <w:r>
        <w:rPr>
          <w:rFonts w:ascii="Arial" w:hAnsi="Arial"/>
          <w:color w:val="000000"/>
          <w:sz w:val="16"/>
          <w:szCs w:val="16"/>
        </w:rPr>
        <w:tab/>
      </w:r>
      <w:r w:rsidRPr="00D14F24">
        <w:rPr>
          <w:rFonts w:ascii="Arial" w:hAnsi="Arial"/>
          <w:color w:val="000000"/>
          <w:sz w:val="16"/>
          <w:szCs w:val="16"/>
        </w:rPr>
        <w:t xml:space="preserve">For Iceland, data might also include student housing rent from family members for free or at reduced rate. </w:t>
      </w:r>
    </w:p>
    <w:p w14:paraId="238C5DAB" w14:textId="6F569D28"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4. </w:t>
      </w:r>
      <w:r>
        <w:rPr>
          <w:rFonts w:ascii="Arial" w:hAnsi="Arial"/>
          <w:color w:val="000000"/>
          <w:sz w:val="16"/>
          <w:szCs w:val="16"/>
        </w:rPr>
        <w:tab/>
      </w:r>
      <w:r w:rsidRPr="00D14F24">
        <w:rPr>
          <w:rFonts w:ascii="Arial" w:hAnsi="Arial"/>
          <w:color w:val="000000"/>
          <w:sz w:val="16"/>
          <w:szCs w:val="16"/>
        </w:rPr>
        <w:t xml:space="preserve">For Norway, data only contains dwellings provided by municipalities (about 75% of all social housing). </w:t>
      </w:r>
    </w:p>
    <w:p w14:paraId="15B5C5F4" w14:textId="68D7F885"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5. </w:t>
      </w:r>
      <w:r>
        <w:rPr>
          <w:rFonts w:ascii="Arial" w:hAnsi="Arial"/>
          <w:color w:val="000000"/>
          <w:sz w:val="16"/>
          <w:szCs w:val="16"/>
        </w:rPr>
        <w:tab/>
      </w:r>
      <w:r w:rsidRPr="00D14F24">
        <w:rPr>
          <w:rFonts w:ascii="Arial" w:hAnsi="Arial"/>
          <w:color w:val="000000"/>
          <w:sz w:val="16"/>
          <w:szCs w:val="16"/>
        </w:rPr>
        <w:t xml:space="preserve">For New Zealand, data refer to the number of social housing places (public housing) that are funded through central government, and do not include social housing provided by local authorities. </w:t>
      </w:r>
    </w:p>
    <w:p w14:paraId="08932AE8" w14:textId="40660339"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6. </w:t>
      </w:r>
      <w:r>
        <w:rPr>
          <w:rFonts w:ascii="Arial" w:hAnsi="Arial"/>
          <w:color w:val="000000"/>
          <w:sz w:val="16"/>
          <w:szCs w:val="16"/>
        </w:rPr>
        <w:tab/>
      </w:r>
      <w:r w:rsidRPr="00D14F24">
        <w:rPr>
          <w:rFonts w:ascii="Arial" w:hAnsi="Arial"/>
          <w:color w:val="000000"/>
          <w:sz w:val="16"/>
          <w:szCs w:val="16"/>
        </w:rPr>
        <w:t xml:space="preserve">For the United States, the social housing stock includes public housing, subsidised units developed through specific programmes targeting the elderly (section 202) and disabled people (section 811), as well as income-restricted units created through the Low-Income Housing Tax Credit (LIHTC) programme; the number of public housing units as well as section 202 and 811 dwellings financed through the LIHTC programme have been adjusted to avoid double-counting, following OECD correspondence with the U.S. Department of Housing and Urban Development. The data is preliminary. </w:t>
      </w:r>
    </w:p>
    <w:p w14:paraId="3DE261AF" w14:textId="249673AE"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7. </w:t>
      </w:r>
      <w:r>
        <w:rPr>
          <w:rFonts w:ascii="Arial" w:hAnsi="Arial"/>
          <w:color w:val="000000"/>
          <w:sz w:val="16"/>
          <w:szCs w:val="16"/>
        </w:rPr>
        <w:tab/>
      </w:r>
      <w:r w:rsidRPr="00D14F24">
        <w:rPr>
          <w:rFonts w:ascii="Arial" w:hAnsi="Arial"/>
          <w:color w:val="000000"/>
          <w:sz w:val="16"/>
          <w:szCs w:val="16"/>
        </w:rPr>
        <w:t xml:space="preserve">For Canada, data exclude units managed by the Société </w:t>
      </w:r>
      <w:proofErr w:type="spellStart"/>
      <w:r w:rsidRPr="00D14F24">
        <w:rPr>
          <w:rFonts w:ascii="Arial" w:hAnsi="Arial"/>
          <w:color w:val="000000"/>
          <w:sz w:val="16"/>
          <w:szCs w:val="16"/>
        </w:rPr>
        <w:t>d'habitation</w:t>
      </w:r>
      <w:proofErr w:type="spellEnd"/>
      <w:r w:rsidRPr="00D14F24">
        <w:rPr>
          <w:rFonts w:ascii="Arial" w:hAnsi="Arial"/>
          <w:color w:val="000000"/>
          <w:sz w:val="16"/>
          <w:szCs w:val="16"/>
        </w:rPr>
        <w:t xml:space="preserve"> du Québec (SHQ) for the Province of Quebec. </w:t>
      </w:r>
    </w:p>
    <w:p w14:paraId="5CEEBF01" w14:textId="3AE0A91C"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8. </w:t>
      </w:r>
      <w:r>
        <w:rPr>
          <w:rFonts w:ascii="Arial" w:hAnsi="Arial"/>
          <w:color w:val="000000"/>
          <w:sz w:val="16"/>
          <w:szCs w:val="16"/>
        </w:rPr>
        <w:tab/>
      </w:r>
      <w:r w:rsidRPr="00D14F24">
        <w:rPr>
          <w:rFonts w:ascii="Arial" w:hAnsi="Arial"/>
          <w:color w:val="000000"/>
          <w:sz w:val="16"/>
          <w:szCs w:val="16"/>
        </w:rPr>
        <w:t xml:space="preserve">For Spain, the figures may also contain other types of reduced rent housing, e.g. employer-provided dwellings. </w:t>
      </w:r>
    </w:p>
    <w:p w14:paraId="1C3E25C9" w14:textId="57C47B46"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9. </w:t>
      </w:r>
      <w:r>
        <w:rPr>
          <w:rFonts w:ascii="Arial" w:hAnsi="Arial"/>
          <w:color w:val="000000"/>
          <w:sz w:val="16"/>
          <w:szCs w:val="16"/>
        </w:rPr>
        <w:tab/>
      </w:r>
      <w:r w:rsidRPr="00D14F24">
        <w:rPr>
          <w:rFonts w:ascii="Arial" w:hAnsi="Arial"/>
          <w:color w:val="000000"/>
          <w:sz w:val="16"/>
          <w:szCs w:val="16"/>
        </w:rPr>
        <w:t xml:space="preserve">For the Czech Republic, data only contains dwellings provided by the central government. </w:t>
      </w:r>
    </w:p>
    <w:p w14:paraId="129DB471" w14:textId="77777777" w:rsidR="00D14F24" w:rsidRDefault="00D14F24" w:rsidP="00D14F24">
      <w:pPr>
        <w:autoSpaceDE w:val="0"/>
        <w:autoSpaceDN w:val="0"/>
        <w:adjustRightInd w:val="0"/>
        <w:spacing w:after="60" w:line="240" w:lineRule="auto"/>
        <w:ind w:left="284" w:hanging="284"/>
        <w:rPr>
          <w:rFonts w:ascii="Arial" w:hAnsi="Arial"/>
          <w:color w:val="000000"/>
          <w:sz w:val="16"/>
          <w:szCs w:val="16"/>
        </w:rPr>
      </w:pPr>
      <w:r w:rsidRPr="00D14F24">
        <w:rPr>
          <w:rFonts w:ascii="Arial" w:hAnsi="Arial"/>
          <w:color w:val="000000"/>
          <w:sz w:val="16"/>
          <w:szCs w:val="16"/>
        </w:rPr>
        <w:t xml:space="preserve">10. For Colombia, data only refers to social rental housing produced since 2019 in the </w:t>
      </w:r>
      <w:proofErr w:type="spellStart"/>
      <w:r w:rsidRPr="00D14F24">
        <w:rPr>
          <w:rFonts w:ascii="Arial" w:hAnsi="Arial"/>
          <w:color w:val="000000"/>
          <w:sz w:val="16"/>
          <w:szCs w:val="16"/>
        </w:rPr>
        <w:t>semillero</w:t>
      </w:r>
      <w:proofErr w:type="spellEnd"/>
      <w:r w:rsidRPr="00D14F24">
        <w:rPr>
          <w:rFonts w:ascii="Arial" w:hAnsi="Arial"/>
          <w:color w:val="000000"/>
          <w:sz w:val="16"/>
          <w:szCs w:val="16"/>
        </w:rPr>
        <w:t xml:space="preserve"> de </w:t>
      </w:r>
      <w:proofErr w:type="spellStart"/>
      <w:r w:rsidRPr="00D14F24">
        <w:rPr>
          <w:rFonts w:ascii="Arial" w:hAnsi="Arial"/>
          <w:color w:val="000000"/>
          <w:sz w:val="16"/>
          <w:szCs w:val="16"/>
        </w:rPr>
        <w:t>propietarios</w:t>
      </w:r>
      <w:proofErr w:type="spellEnd"/>
      <w:r w:rsidRPr="00D14F24">
        <w:rPr>
          <w:rFonts w:ascii="Arial" w:hAnsi="Arial"/>
          <w:color w:val="000000"/>
          <w:sz w:val="16"/>
          <w:szCs w:val="16"/>
        </w:rPr>
        <w:t xml:space="preserve"> programme.</w:t>
      </w:r>
    </w:p>
    <w:p w14:paraId="71854459" w14:textId="2A6C2A40" w:rsidR="00D14F24" w:rsidRPr="00D14F24" w:rsidRDefault="00D14F24" w:rsidP="00D14F24">
      <w:pPr>
        <w:autoSpaceDE w:val="0"/>
        <w:autoSpaceDN w:val="0"/>
        <w:adjustRightInd w:val="0"/>
        <w:spacing w:after="0" w:line="240" w:lineRule="auto"/>
        <w:ind w:left="284" w:hanging="284"/>
        <w:rPr>
          <w:rFonts w:ascii="Arial" w:hAnsi="Arial"/>
          <w:color w:val="000000"/>
          <w:sz w:val="16"/>
          <w:szCs w:val="16"/>
        </w:rPr>
      </w:pPr>
      <w:r w:rsidRPr="00D14F24">
        <w:rPr>
          <w:rFonts w:ascii="Arial" w:hAnsi="Arial"/>
          <w:color w:val="000000"/>
          <w:sz w:val="16"/>
          <w:szCs w:val="16"/>
        </w:rPr>
        <w:t xml:space="preserve">11. The share of social housing is calculated based on the previous year’s total dwelling stock. </w:t>
      </w:r>
    </w:p>
    <w:p w14:paraId="7DBCB364" w14:textId="77777777" w:rsidR="00D14F24" w:rsidRDefault="00D14F24" w:rsidP="00D14F24">
      <w:pPr>
        <w:spacing w:before="40" w:after="40" w:line="240" w:lineRule="auto"/>
        <w:rPr>
          <w:rFonts w:ascii="Arial" w:hAnsi="Arial"/>
          <w:color w:val="000000"/>
          <w:sz w:val="16"/>
          <w:szCs w:val="16"/>
        </w:rPr>
      </w:pPr>
    </w:p>
    <w:p w14:paraId="6D1E327D" w14:textId="173C4200" w:rsidR="00D14F24" w:rsidRPr="00D14F24" w:rsidRDefault="00D14F24" w:rsidP="00D14F24">
      <w:pPr>
        <w:spacing w:before="40" w:after="40" w:line="200" w:lineRule="exact"/>
        <w:rPr>
          <w:rFonts w:ascii="Arial" w:hAnsi="Arial"/>
          <w:sz w:val="16"/>
          <w:szCs w:val="16"/>
        </w:rPr>
      </w:pPr>
      <w:r w:rsidRPr="00D14F24">
        <w:rPr>
          <w:rFonts w:ascii="Arial" w:hAnsi="Arial"/>
          <w:color w:val="000000"/>
          <w:sz w:val="16"/>
          <w:szCs w:val="16"/>
          <w:u w:val="single"/>
        </w:rPr>
        <w:t>Source</w:t>
      </w:r>
      <w:r w:rsidRPr="00D14F24">
        <w:rPr>
          <w:rFonts w:ascii="Arial" w:hAnsi="Arial"/>
          <w:color w:val="000000"/>
          <w:sz w:val="16"/>
          <w:szCs w:val="16"/>
        </w:rPr>
        <w:t>: OECD Questionnaire on Social and Affordable Housing (</w:t>
      </w:r>
      <w:proofErr w:type="spellStart"/>
      <w:r w:rsidRPr="00D14F24">
        <w:rPr>
          <w:rFonts w:ascii="Arial" w:hAnsi="Arial"/>
          <w:color w:val="000000"/>
          <w:sz w:val="16"/>
          <w:szCs w:val="16"/>
        </w:rPr>
        <w:t>QuASH</w:t>
      </w:r>
      <w:proofErr w:type="spellEnd"/>
      <w:r w:rsidRPr="00D14F24">
        <w:rPr>
          <w:rFonts w:ascii="Arial" w:hAnsi="Arial"/>
          <w:color w:val="000000"/>
          <w:sz w:val="16"/>
          <w:szCs w:val="16"/>
        </w:rPr>
        <w:t xml:space="preserve">), 2021. Some information comes from previous </w:t>
      </w:r>
      <w:proofErr w:type="spellStart"/>
      <w:r w:rsidRPr="00D14F24">
        <w:rPr>
          <w:rFonts w:ascii="Arial" w:hAnsi="Arial"/>
          <w:color w:val="000000"/>
          <w:sz w:val="16"/>
          <w:szCs w:val="16"/>
        </w:rPr>
        <w:t>QuASH</w:t>
      </w:r>
      <w:proofErr w:type="spellEnd"/>
      <w:r w:rsidRPr="00D14F24">
        <w:rPr>
          <w:rFonts w:ascii="Arial" w:hAnsi="Arial"/>
          <w:color w:val="000000"/>
          <w:sz w:val="16"/>
          <w:szCs w:val="16"/>
        </w:rPr>
        <w:t xml:space="preserve"> rounds or </w:t>
      </w:r>
      <w:proofErr w:type="spellStart"/>
      <w:r w:rsidRPr="00D14F24">
        <w:rPr>
          <w:rFonts w:ascii="Arial" w:hAnsi="Arial"/>
          <w:color w:val="000000"/>
          <w:sz w:val="16"/>
          <w:szCs w:val="16"/>
        </w:rPr>
        <w:t>Bundesanstalt</w:t>
      </w:r>
      <w:proofErr w:type="spellEnd"/>
      <w:r w:rsidRPr="00D14F24">
        <w:rPr>
          <w:rFonts w:ascii="Arial" w:hAnsi="Arial"/>
          <w:color w:val="000000"/>
          <w:sz w:val="16"/>
          <w:szCs w:val="16"/>
        </w:rPr>
        <w:t xml:space="preserve"> </w:t>
      </w:r>
      <w:proofErr w:type="spellStart"/>
      <w:r w:rsidRPr="00D14F24">
        <w:rPr>
          <w:rFonts w:ascii="Arial" w:hAnsi="Arial"/>
          <w:color w:val="000000"/>
          <w:sz w:val="16"/>
          <w:szCs w:val="16"/>
        </w:rPr>
        <w:t>Statistik</w:t>
      </w:r>
      <w:proofErr w:type="spellEnd"/>
      <w:r w:rsidRPr="00D14F24">
        <w:rPr>
          <w:rFonts w:ascii="Arial" w:hAnsi="Arial"/>
          <w:color w:val="000000"/>
          <w:sz w:val="16"/>
          <w:szCs w:val="16"/>
        </w:rPr>
        <w:t xml:space="preserve"> </w:t>
      </w:r>
      <w:proofErr w:type="spellStart"/>
      <w:r w:rsidRPr="00D14F24">
        <w:rPr>
          <w:rFonts w:ascii="Arial" w:hAnsi="Arial"/>
          <w:color w:val="000000"/>
          <w:sz w:val="16"/>
          <w:szCs w:val="16"/>
        </w:rPr>
        <w:t>Österreich</w:t>
      </w:r>
      <w:proofErr w:type="spellEnd"/>
      <w:r w:rsidRPr="00D14F24">
        <w:rPr>
          <w:rFonts w:ascii="Arial" w:hAnsi="Arial"/>
          <w:color w:val="000000"/>
          <w:sz w:val="16"/>
          <w:szCs w:val="16"/>
        </w:rPr>
        <w:t xml:space="preserve"> (2020); </w:t>
      </w:r>
      <w:proofErr w:type="spellStart"/>
      <w:r w:rsidRPr="00D14F24">
        <w:rPr>
          <w:rFonts w:ascii="Arial" w:hAnsi="Arial"/>
          <w:color w:val="000000"/>
          <w:sz w:val="16"/>
          <w:szCs w:val="16"/>
        </w:rPr>
        <w:t>Center</w:t>
      </w:r>
      <w:proofErr w:type="spellEnd"/>
      <w:r w:rsidRPr="00D14F24">
        <w:rPr>
          <w:rFonts w:ascii="Arial" w:hAnsi="Arial"/>
          <w:color w:val="000000"/>
          <w:sz w:val="16"/>
          <w:szCs w:val="16"/>
        </w:rPr>
        <w:t xml:space="preserve"> </w:t>
      </w:r>
      <w:proofErr w:type="spellStart"/>
      <w:r w:rsidRPr="00D14F24">
        <w:rPr>
          <w:rFonts w:ascii="Arial" w:hAnsi="Arial"/>
          <w:color w:val="000000"/>
          <w:sz w:val="16"/>
          <w:szCs w:val="16"/>
        </w:rPr>
        <w:t>d'Etudes</w:t>
      </w:r>
      <w:proofErr w:type="spellEnd"/>
      <w:r w:rsidRPr="00D14F24">
        <w:rPr>
          <w:rFonts w:ascii="Arial" w:hAnsi="Arial"/>
          <w:color w:val="000000"/>
          <w:sz w:val="16"/>
          <w:szCs w:val="16"/>
        </w:rPr>
        <w:t xml:space="preserve"> </w:t>
      </w:r>
      <w:proofErr w:type="spellStart"/>
      <w:r w:rsidRPr="00D14F24">
        <w:rPr>
          <w:rFonts w:ascii="Arial" w:hAnsi="Arial"/>
          <w:color w:val="000000"/>
          <w:sz w:val="16"/>
          <w:szCs w:val="16"/>
        </w:rPr>
        <w:t>en</w:t>
      </w:r>
      <w:proofErr w:type="spellEnd"/>
      <w:r w:rsidRPr="00D14F24">
        <w:rPr>
          <w:rFonts w:ascii="Arial" w:hAnsi="Arial"/>
          <w:color w:val="000000"/>
          <w:sz w:val="16"/>
          <w:szCs w:val="16"/>
        </w:rPr>
        <w:t xml:space="preserve"> Habitat Durable de </w:t>
      </w:r>
      <w:proofErr w:type="spellStart"/>
      <w:r w:rsidRPr="00D14F24">
        <w:rPr>
          <w:rFonts w:ascii="Arial" w:hAnsi="Arial"/>
          <w:color w:val="000000"/>
          <w:sz w:val="16"/>
          <w:szCs w:val="16"/>
        </w:rPr>
        <w:t>Wallonie</w:t>
      </w:r>
      <w:proofErr w:type="spellEnd"/>
      <w:r w:rsidRPr="00D14F24">
        <w:rPr>
          <w:rFonts w:ascii="Arial" w:hAnsi="Arial"/>
          <w:color w:val="000000"/>
          <w:sz w:val="16"/>
          <w:szCs w:val="16"/>
        </w:rPr>
        <w:t xml:space="preserve"> (2016); </w:t>
      </w:r>
      <w:proofErr w:type="spellStart"/>
      <w:r w:rsidRPr="00D14F24">
        <w:rPr>
          <w:rFonts w:ascii="Arial" w:hAnsi="Arial"/>
          <w:color w:val="000000"/>
          <w:sz w:val="16"/>
          <w:szCs w:val="16"/>
        </w:rPr>
        <w:t>Institut</w:t>
      </w:r>
      <w:proofErr w:type="spellEnd"/>
      <w:r w:rsidRPr="00D14F24">
        <w:rPr>
          <w:rFonts w:ascii="Arial" w:hAnsi="Arial"/>
          <w:color w:val="000000"/>
          <w:sz w:val="16"/>
          <w:szCs w:val="16"/>
        </w:rPr>
        <w:t xml:space="preserve"> </w:t>
      </w:r>
      <w:proofErr w:type="spellStart"/>
      <w:r w:rsidRPr="00D14F24">
        <w:rPr>
          <w:rFonts w:ascii="Arial" w:hAnsi="Arial"/>
          <w:color w:val="000000"/>
          <w:sz w:val="16"/>
          <w:szCs w:val="16"/>
        </w:rPr>
        <w:t>Bruxellois</w:t>
      </w:r>
      <w:proofErr w:type="spellEnd"/>
      <w:r w:rsidRPr="00D14F24">
        <w:rPr>
          <w:rFonts w:ascii="Arial" w:hAnsi="Arial"/>
          <w:color w:val="000000"/>
          <w:sz w:val="16"/>
          <w:szCs w:val="16"/>
        </w:rPr>
        <w:t xml:space="preserve"> de </w:t>
      </w:r>
      <w:proofErr w:type="spellStart"/>
      <w:r w:rsidRPr="00D14F24">
        <w:rPr>
          <w:rFonts w:ascii="Arial" w:hAnsi="Arial"/>
          <w:color w:val="000000"/>
          <w:sz w:val="16"/>
          <w:szCs w:val="16"/>
        </w:rPr>
        <w:t>Statistique</w:t>
      </w:r>
      <w:proofErr w:type="spellEnd"/>
      <w:r w:rsidRPr="00D14F24">
        <w:rPr>
          <w:rFonts w:ascii="Arial" w:hAnsi="Arial"/>
          <w:color w:val="000000"/>
          <w:sz w:val="16"/>
          <w:szCs w:val="16"/>
        </w:rPr>
        <w:t xml:space="preserve"> et </w:t>
      </w:r>
      <w:proofErr w:type="spellStart"/>
      <w:r w:rsidRPr="00D14F24">
        <w:rPr>
          <w:rFonts w:ascii="Arial" w:hAnsi="Arial"/>
          <w:color w:val="000000"/>
          <w:sz w:val="16"/>
          <w:szCs w:val="16"/>
        </w:rPr>
        <w:t>d’Analyse</w:t>
      </w:r>
      <w:proofErr w:type="spellEnd"/>
      <w:r w:rsidRPr="00D14F24">
        <w:rPr>
          <w:rFonts w:ascii="Arial" w:hAnsi="Arial"/>
          <w:color w:val="000000"/>
          <w:sz w:val="16"/>
          <w:szCs w:val="16"/>
        </w:rPr>
        <w:t xml:space="preserve"> (2019); Korean Statistical Information Service (2020); Scottish Government (2019); Northern Ireland Housing Executive (2018); Ministry of Housing and Urban Development New Zealand (2021); Statistics for Wales (2019); Canada Mortgage and Housing Corporation (2019); OECD exchanges with the U.S. Department of Housing and Urban Development and the Dutch Ministry of the Interior and Kingdom Relations in 2021; </w:t>
      </w:r>
      <w:proofErr w:type="spellStart"/>
      <w:r w:rsidRPr="00D14F24">
        <w:rPr>
          <w:rFonts w:ascii="Arial" w:hAnsi="Arial"/>
          <w:color w:val="000000"/>
          <w:sz w:val="16"/>
          <w:szCs w:val="16"/>
        </w:rPr>
        <w:t>Poggio</w:t>
      </w:r>
      <w:proofErr w:type="spellEnd"/>
      <w:r w:rsidRPr="00D14F24">
        <w:rPr>
          <w:rFonts w:ascii="Arial" w:hAnsi="Arial"/>
          <w:color w:val="000000"/>
          <w:sz w:val="16"/>
          <w:szCs w:val="16"/>
        </w:rPr>
        <w:t xml:space="preserve"> and </w:t>
      </w:r>
      <w:proofErr w:type="spellStart"/>
      <w:r w:rsidRPr="00D14F24">
        <w:rPr>
          <w:rFonts w:ascii="Arial" w:hAnsi="Arial"/>
          <w:color w:val="000000"/>
          <w:sz w:val="16"/>
          <w:szCs w:val="16"/>
        </w:rPr>
        <w:t>Boreiko</w:t>
      </w:r>
      <w:proofErr w:type="spellEnd"/>
      <w:r w:rsidRPr="00D14F24">
        <w:rPr>
          <w:rFonts w:ascii="Arial" w:hAnsi="Arial"/>
          <w:color w:val="000000"/>
          <w:sz w:val="16"/>
          <w:szCs w:val="16"/>
        </w:rPr>
        <w:t xml:space="preserve"> (2017).</w:t>
      </w:r>
    </w:p>
    <w:p w14:paraId="58C21841" w14:textId="77777777" w:rsidR="005F3C38" w:rsidRDefault="005F3C38" w:rsidP="00230B79">
      <w:pPr>
        <w:spacing w:before="40" w:after="40" w:line="240" w:lineRule="auto"/>
        <w:rPr>
          <w:rFonts w:ascii="Arial" w:hAnsi="Arial"/>
          <w:szCs w:val="20"/>
        </w:rPr>
      </w:pPr>
    </w:p>
    <w:p w14:paraId="30A34945" w14:textId="77777777" w:rsidR="005F3C38" w:rsidRDefault="005F3C38" w:rsidP="00230B79">
      <w:pPr>
        <w:spacing w:before="40" w:after="40" w:line="240" w:lineRule="auto"/>
        <w:rPr>
          <w:rFonts w:ascii="Arial" w:hAnsi="Arial"/>
          <w:szCs w:val="20"/>
        </w:rPr>
      </w:pPr>
    </w:p>
    <w:p w14:paraId="18007504" w14:textId="77777777" w:rsidR="005F3C38" w:rsidRDefault="005F3C38" w:rsidP="00230B79">
      <w:pPr>
        <w:spacing w:before="40" w:after="40" w:line="240" w:lineRule="auto"/>
        <w:rPr>
          <w:rFonts w:ascii="Arial" w:hAnsi="Arial"/>
          <w:szCs w:val="20"/>
        </w:rPr>
      </w:pPr>
    </w:p>
    <w:p w14:paraId="6434D32D" w14:textId="77777777" w:rsidR="005F3C38" w:rsidRDefault="005F3C38" w:rsidP="00230B79">
      <w:pPr>
        <w:spacing w:before="40" w:after="40" w:line="240" w:lineRule="auto"/>
        <w:rPr>
          <w:rFonts w:ascii="Arial" w:hAnsi="Arial"/>
          <w:szCs w:val="20"/>
        </w:rPr>
      </w:pPr>
    </w:p>
    <w:p w14:paraId="741FA4D0" w14:textId="77777777" w:rsidR="005F3C38" w:rsidRDefault="005F3C38" w:rsidP="00230B79">
      <w:pPr>
        <w:spacing w:before="40" w:after="40" w:line="240" w:lineRule="auto"/>
        <w:rPr>
          <w:rFonts w:ascii="Arial" w:hAnsi="Arial"/>
          <w:szCs w:val="20"/>
        </w:rPr>
      </w:pPr>
    </w:p>
    <w:p w14:paraId="6D0519A3" w14:textId="77777777" w:rsidR="005F3C38" w:rsidRDefault="005F3C38" w:rsidP="00230B79">
      <w:pPr>
        <w:spacing w:before="40" w:after="40" w:line="240" w:lineRule="auto"/>
        <w:rPr>
          <w:rFonts w:ascii="Arial" w:hAnsi="Arial"/>
          <w:szCs w:val="20"/>
        </w:rPr>
      </w:pPr>
    </w:p>
    <w:p w14:paraId="4920A5E6" w14:textId="455BEDF2" w:rsidR="003E023C" w:rsidRPr="00FF4BB5" w:rsidRDefault="003E023C" w:rsidP="003E023C">
      <w:pPr>
        <w:spacing w:after="0" w:line="240" w:lineRule="auto"/>
        <w:rPr>
          <w:rFonts w:ascii="Arial" w:hAnsi="Arial"/>
          <w:b/>
          <w:color w:val="000000" w:themeColor="text1"/>
          <w:sz w:val="28"/>
        </w:rPr>
      </w:pPr>
      <w:bookmarkStart w:id="18" w:name="_Hlk85098570"/>
      <w:r w:rsidRPr="00FF4BB5">
        <w:rPr>
          <w:rFonts w:ascii="Arial" w:hAnsi="Arial"/>
          <w:b/>
          <w:color w:val="000000" w:themeColor="text1"/>
          <w:sz w:val="28"/>
        </w:rPr>
        <w:lastRenderedPageBreak/>
        <w:t xml:space="preserve">Appendix </w:t>
      </w:r>
      <w:r w:rsidR="004D0EE9" w:rsidRPr="00FF4BB5">
        <w:rPr>
          <w:rFonts w:ascii="Arial" w:hAnsi="Arial"/>
          <w:b/>
          <w:color w:val="000000" w:themeColor="text1"/>
          <w:sz w:val="28"/>
        </w:rPr>
        <w:t>4</w:t>
      </w:r>
    </w:p>
    <w:p w14:paraId="048945EB" w14:textId="77777777" w:rsidR="003E023C" w:rsidRPr="00FF4BB5" w:rsidRDefault="003E023C" w:rsidP="003E023C">
      <w:pPr>
        <w:spacing w:after="0" w:line="240" w:lineRule="auto"/>
        <w:rPr>
          <w:rFonts w:ascii="Arial" w:hAnsi="Arial"/>
          <w:color w:val="000000" w:themeColor="text1"/>
        </w:rPr>
      </w:pPr>
    </w:p>
    <w:p w14:paraId="214C084A" w14:textId="6FDA35FA" w:rsidR="003E023C" w:rsidRPr="00FF4BB5" w:rsidRDefault="003E023C" w:rsidP="003E023C">
      <w:pPr>
        <w:spacing w:after="0" w:line="240" w:lineRule="auto"/>
        <w:rPr>
          <w:rFonts w:ascii="Arial" w:hAnsi="Arial"/>
          <w:bCs/>
          <w:color w:val="000000" w:themeColor="text1"/>
          <w:sz w:val="18"/>
          <w:szCs w:val="18"/>
        </w:rPr>
      </w:pPr>
      <w:r w:rsidRPr="00FF4BB5">
        <w:rPr>
          <w:rFonts w:ascii="Arial" w:hAnsi="Arial"/>
          <w:b/>
          <w:color w:val="000000" w:themeColor="text1"/>
          <w:sz w:val="22"/>
        </w:rPr>
        <w:t>Tenure</w:t>
      </w:r>
      <w:r w:rsidR="00BD48A8" w:rsidRPr="00FF4BB5">
        <w:rPr>
          <w:rFonts w:ascii="Arial" w:hAnsi="Arial"/>
          <w:b/>
          <w:color w:val="000000" w:themeColor="text1"/>
          <w:sz w:val="22"/>
        </w:rPr>
        <w:t xml:space="preserve"> distribution in New Zealand </w:t>
      </w:r>
      <w:r w:rsidR="00BD48A8" w:rsidRPr="00FF4BB5">
        <w:rPr>
          <w:rFonts w:ascii="Arial" w:hAnsi="Arial"/>
          <w:bCs/>
          <w:color w:val="000000" w:themeColor="text1"/>
          <w:sz w:val="18"/>
          <w:szCs w:val="18"/>
        </w:rPr>
        <w:t>(see also main text, Table 1)</w:t>
      </w:r>
    </w:p>
    <w:p w14:paraId="2155A60B" w14:textId="6DCFAEF6" w:rsidR="00411A41" w:rsidRPr="00FF4BB5" w:rsidRDefault="00411A41" w:rsidP="003E023C">
      <w:pPr>
        <w:spacing w:after="0" w:line="240" w:lineRule="auto"/>
        <w:rPr>
          <w:rFonts w:ascii="Arial" w:hAnsi="Arial"/>
          <w:bCs/>
          <w:color w:val="000000" w:themeColor="text1"/>
          <w:sz w:val="18"/>
          <w:szCs w:val="18"/>
        </w:rPr>
      </w:pPr>
    </w:p>
    <w:p w14:paraId="537811B2" w14:textId="14697F58" w:rsidR="00411A41" w:rsidRPr="00FF4BB5" w:rsidRDefault="00411A41" w:rsidP="003E023C">
      <w:pPr>
        <w:spacing w:after="0" w:line="240" w:lineRule="auto"/>
        <w:rPr>
          <w:rFonts w:ascii="Arial" w:hAnsi="Arial"/>
          <w:bCs/>
          <w:color w:val="000000" w:themeColor="text1"/>
          <w:szCs w:val="20"/>
        </w:rPr>
      </w:pPr>
      <w:r w:rsidRPr="00FF4BB5">
        <w:rPr>
          <w:rFonts w:ascii="Arial" w:hAnsi="Arial"/>
          <w:b/>
          <w:color w:val="000000" w:themeColor="text1"/>
          <w:szCs w:val="20"/>
        </w:rPr>
        <w:t>Tables 4.1 and 4.2</w:t>
      </w:r>
      <w:r w:rsidRPr="00FF4BB5">
        <w:rPr>
          <w:rFonts w:ascii="Arial" w:hAnsi="Arial"/>
          <w:bCs/>
          <w:color w:val="000000" w:themeColor="text1"/>
          <w:szCs w:val="20"/>
        </w:rPr>
        <w:t xml:space="preserve"> compare the distributions for 2017-18 and 2019-20 HES.</w:t>
      </w:r>
      <w:r w:rsidR="00C4323B" w:rsidRPr="00FF4BB5">
        <w:rPr>
          <w:rFonts w:ascii="Arial" w:hAnsi="Arial"/>
          <w:bCs/>
          <w:color w:val="000000" w:themeColor="text1"/>
          <w:szCs w:val="20"/>
        </w:rPr>
        <w:t xml:space="preserve"> They are fairly similar. The reported drop in the proportion of public / social housing households in Q1 in 2019-20 is not likely to be statistically significant given the relatively small number of sample households for this group.</w:t>
      </w:r>
    </w:p>
    <w:p w14:paraId="2E4717D4" w14:textId="7869F714" w:rsidR="00C4323B" w:rsidRPr="00FF4BB5" w:rsidRDefault="00C4323B" w:rsidP="003E023C">
      <w:pPr>
        <w:spacing w:after="0" w:line="240" w:lineRule="auto"/>
        <w:rPr>
          <w:rFonts w:ascii="Arial" w:hAnsi="Arial"/>
          <w:bCs/>
          <w:color w:val="000000" w:themeColor="text1"/>
          <w:szCs w:val="20"/>
        </w:rPr>
      </w:pPr>
    </w:p>
    <w:p w14:paraId="1438BD05" w14:textId="5AFFB6E8" w:rsidR="00C4323B" w:rsidRPr="00FF4BB5" w:rsidRDefault="00C4323B" w:rsidP="003E023C">
      <w:pPr>
        <w:spacing w:after="0" w:line="240" w:lineRule="auto"/>
        <w:rPr>
          <w:rFonts w:ascii="Arial" w:hAnsi="Arial"/>
          <w:bCs/>
          <w:color w:val="000000" w:themeColor="text1"/>
          <w:szCs w:val="20"/>
        </w:rPr>
      </w:pPr>
      <w:r w:rsidRPr="00FF4BB5">
        <w:rPr>
          <w:rFonts w:ascii="Arial" w:hAnsi="Arial"/>
          <w:b/>
          <w:color w:val="000000" w:themeColor="text1"/>
          <w:szCs w:val="20"/>
        </w:rPr>
        <w:t>Tables 4.3 and 4.4</w:t>
      </w:r>
      <w:r w:rsidRPr="00FF4BB5">
        <w:rPr>
          <w:rFonts w:ascii="Arial" w:hAnsi="Arial"/>
          <w:bCs/>
          <w:color w:val="000000" w:themeColor="text1"/>
          <w:szCs w:val="20"/>
        </w:rPr>
        <w:t xml:space="preserve"> compare the difference it makes for older New Zealanders as to whether individuals aged 65+ or households with only 65+ in them are counted.</w:t>
      </w:r>
    </w:p>
    <w:p w14:paraId="7CE6B008" w14:textId="77777777" w:rsidR="003E023C" w:rsidRPr="00FF4BB5" w:rsidRDefault="003E023C" w:rsidP="003E023C">
      <w:pPr>
        <w:spacing w:after="0" w:line="240" w:lineRule="auto"/>
        <w:rPr>
          <w:rFonts w:ascii="Arial" w:hAnsi="Arial"/>
          <w:color w:val="000000" w:themeColor="text1"/>
        </w:rPr>
      </w:pPr>
    </w:p>
    <w:p w14:paraId="606EB9E3" w14:textId="18C4705C" w:rsidR="00BD48A8" w:rsidRPr="00FF4BB5" w:rsidRDefault="00BD48A8" w:rsidP="00BD48A8">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Table 4.1</w:t>
      </w:r>
      <w:r w:rsidR="00A75E79" w:rsidRPr="00FF4BB5">
        <w:rPr>
          <w:rFonts w:ascii="Arial" w:eastAsia="Times New Roman" w:hAnsi="Arial" w:cs="Times New Roman"/>
          <w:b/>
          <w:bCs/>
          <w:color w:val="000000" w:themeColor="text1"/>
          <w:sz w:val="18"/>
          <w:szCs w:val="18"/>
        </w:rPr>
        <w:t xml:space="preserve"> </w:t>
      </w:r>
      <w:r w:rsidR="00A75E79" w:rsidRPr="00FF4BB5">
        <w:rPr>
          <w:rFonts w:ascii="Arial" w:eastAsia="Times New Roman" w:hAnsi="Arial" w:cs="Times New Roman"/>
          <w:color w:val="000000" w:themeColor="text1"/>
          <w:sz w:val="16"/>
          <w:szCs w:val="16"/>
        </w:rPr>
        <w:t>(=Table 1a)</w:t>
      </w:r>
    </w:p>
    <w:p w14:paraId="12DE2C09" w14:textId="1FB1BB7E" w:rsidR="00BD48A8" w:rsidRPr="00FF4BB5" w:rsidRDefault="00BD48A8" w:rsidP="00BD48A8">
      <w:pPr>
        <w:spacing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Tenure for households by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1E5D48" w:rsidRPr="00FF4BB5" w14:paraId="2502574E" w14:textId="77777777" w:rsidTr="00023CF5">
        <w:tc>
          <w:tcPr>
            <w:tcW w:w="2585" w:type="dxa"/>
            <w:tcBorders>
              <w:top w:val="single" w:sz="4" w:space="0" w:color="auto"/>
              <w:left w:val="single" w:sz="4" w:space="0" w:color="auto"/>
              <w:bottom w:val="single" w:sz="8" w:space="0" w:color="auto"/>
              <w:right w:val="single" w:sz="4" w:space="0" w:color="auto"/>
            </w:tcBorders>
            <w:vAlign w:val="center"/>
          </w:tcPr>
          <w:p w14:paraId="2D877E3A" w14:textId="77777777" w:rsidR="001E5D48" w:rsidRPr="00FF4BB5" w:rsidRDefault="001E5D48" w:rsidP="00023CF5">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42023DA7"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6B040D8D"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1588CAEB"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3BDD540A"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34EDE617"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25A0CDC2" w14:textId="77777777" w:rsidR="001E5D48" w:rsidRPr="00FF4BB5" w:rsidRDefault="001E5D48"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1E5D48" w:rsidRPr="00FF4BB5" w14:paraId="765BB7EA" w14:textId="77777777" w:rsidTr="00023CF5">
        <w:tc>
          <w:tcPr>
            <w:tcW w:w="2585" w:type="dxa"/>
            <w:tcBorders>
              <w:top w:val="single" w:sz="8" w:space="0" w:color="auto"/>
              <w:left w:val="single" w:sz="4" w:space="0" w:color="auto"/>
              <w:bottom w:val="single" w:sz="4" w:space="0" w:color="auto"/>
              <w:right w:val="single" w:sz="4" w:space="0" w:color="auto"/>
            </w:tcBorders>
            <w:vAlign w:val="center"/>
          </w:tcPr>
          <w:p w14:paraId="65DC1E48" w14:textId="77777777" w:rsidR="001E5D48" w:rsidRPr="00FF4BB5" w:rsidRDefault="001E5D48"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8828CEB"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39</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5364E844"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12F4AD3"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26</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E565D7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23</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024D6047"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6D732B94"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r>
      <w:tr w:rsidR="001E5D48" w:rsidRPr="00FF4BB5" w14:paraId="2C34CBF4"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37AB732F" w14:textId="77777777" w:rsidR="001E5D48" w:rsidRPr="00FF4BB5" w:rsidRDefault="001E5D48"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76EB08F"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C7839A8"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B48EED3"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7FED3D2"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7610D77B"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7F2792B9"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35</w:t>
            </w:r>
          </w:p>
        </w:tc>
      </w:tr>
      <w:tr w:rsidR="001E5D48" w:rsidRPr="00FF4BB5" w14:paraId="0E6BA988"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0811627" w14:textId="77777777" w:rsidR="001E5D48" w:rsidRPr="00FF4BB5" w:rsidRDefault="001E5D48"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33B86B8"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DAC35A8"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2935A4D"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9FC27DE"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28</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69925F11"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2F55ECD6"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r>
      <w:tr w:rsidR="001E5D48" w:rsidRPr="00FF4BB5" w14:paraId="1C6137E1"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53538D70" w14:textId="77777777" w:rsidR="001E5D48" w:rsidRPr="00FF4BB5" w:rsidRDefault="001E5D48"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765E305"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AC30EC9"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81AF1F0"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CC05183"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5903F9D0"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089377A2"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26</w:t>
            </w:r>
          </w:p>
        </w:tc>
      </w:tr>
      <w:tr w:rsidR="001E5D48" w:rsidRPr="00FF4BB5" w14:paraId="288535E6"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58A964CA" w14:textId="77777777" w:rsidR="001E5D48" w:rsidRPr="00FF4BB5" w:rsidRDefault="001E5D48"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58C801B"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A1B8D23"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E023EF8"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736A655"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4697D6A2"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4A11D0D4"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r>
      <w:tr w:rsidR="001E5D48" w:rsidRPr="00FF4BB5" w14:paraId="0A956527"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19718D14" w14:textId="77777777" w:rsidR="001E5D48" w:rsidRPr="00FF4BB5" w:rsidRDefault="001E5D48" w:rsidP="00023CF5">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343DE78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5E8B0F0"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0AD8C12E"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3877BAF5"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644C1A26"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56941924"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r>
      <w:tr w:rsidR="001E5D48" w:rsidRPr="00FF4BB5" w14:paraId="19EC48DF" w14:textId="77777777" w:rsidTr="00023CF5">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6524D" w14:textId="77777777" w:rsidR="001E5D48" w:rsidRPr="00FF4BB5" w:rsidRDefault="001E5D48" w:rsidP="00023CF5">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2AA0123D"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59E885D3"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4862DD6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13D5560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7A52CDB7"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55AAF0FF"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1E5D48" w:rsidRPr="00FF4BB5" w14:paraId="47A19E4A"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18B44B83" w14:textId="77777777" w:rsidR="001E5D48" w:rsidRPr="00FF4BB5" w:rsidRDefault="001E5D48"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57C1926B"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40</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381AE4B2"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AC441A0"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56168378"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38BE859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0018848C" w14:textId="77777777" w:rsidR="001E5D48" w:rsidRPr="00FF4BB5" w:rsidRDefault="001E5D48"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r>
    </w:tbl>
    <w:p w14:paraId="156E79E1" w14:textId="4A46586C" w:rsidR="001E5D48" w:rsidRPr="00FF4BB5" w:rsidRDefault="001E5D48" w:rsidP="00C4323B">
      <w:pPr>
        <w:spacing w:after="0" w:line="240" w:lineRule="auto"/>
        <w:jc w:val="center"/>
        <w:rPr>
          <w:rFonts w:ascii="Arial" w:eastAsia="Times New Roman" w:hAnsi="Arial" w:cs="Times New Roman"/>
          <w:color w:val="000000" w:themeColor="text1"/>
          <w:szCs w:val="20"/>
        </w:rPr>
      </w:pPr>
    </w:p>
    <w:p w14:paraId="402B697D" w14:textId="77777777" w:rsidR="00692B5F" w:rsidRPr="00FF4BB5" w:rsidRDefault="00692B5F" w:rsidP="00692B5F">
      <w:pPr>
        <w:spacing w:after="0" w:line="240" w:lineRule="auto"/>
        <w:jc w:val="center"/>
        <w:rPr>
          <w:rFonts w:ascii="Arial" w:eastAsia="Times New Roman" w:hAnsi="Arial" w:cs="Times New Roman"/>
          <w:color w:val="000000" w:themeColor="text1"/>
          <w:sz w:val="18"/>
          <w:szCs w:val="18"/>
        </w:rPr>
      </w:pPr>
      <w:r w:rsidRPr="00FF4BB5">
        <w:rPr>
          <w:rFonts w:ascii="Arial" w:eastAsia="Times New Roman" w:hAnsi="Arial" w:cs="Times New Roman"/>
          <w:b/>
          <w:bCs/>
          <w:color w:val="000000" w:themeColor="text1"/>
          <w:sz w:val="18"/>
          <w:szCs w:val="18"/>
        </w:rPr>
        <w:t xml:space="preserve">Table 4.2 </w:t>
      </w:r>
    </w:p>
    <w:p w14:paraId="5C7AC124" w14:textId="77777777" w:rsidR="00692B5F" w:rsidRPr="00FF4BB5" w:rsidRDefault="00692B5F" w:rsidP="00692B5F">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Tenure for households by income quintile (% down), HES 2019-20</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692B5F" w:rsidRPr="00FF4BB5" w14:paraId="2E68BF0F" w14:textId="77777777" w:rsidTr="00512593">
        <w:tc>
          <w:tcPr>
            <w:tcW w:w="2585" w:type="dxa"/>
            <w:tcBorders>
              <w:top w:val="single" w:sz="4" w:space="0" w:color="auto"/>
              <w:left w:val="single" w:sz="4" w:space="0" w:color="auto"/>
              <w:bottom w:val="single" w:sz="8" w:space="0" w:color="auto"/>
              <w:right w:val="single" w:sz="4" w:space="0" w:color="auto"/>
            </w:tcBorders>
            <w:vAlign w:val="center"/>
          </w:tcPr>
          <w:p w14:paraId="6C506F05" w14:textId="77777777" w:rsidR="00692B5F" w:rsidRPr="00FF4BB5" w:rsidRDefault="00692B5F" w:rsidP="00512593">
            <w:pPr>
              <w:spacing w:before="30" w:after="30" w:line="240" w:lineRule="auto"/>
              <w:rPr>
                <w:rFonts w:ascii="Arial" w:eastAsia="Times New Roman" w:hAnsi="Arial"/>
                <w:color w:val="000000" w:themeColor="text1"/>
                <w:sz w:val="14"/>
                <w:szCs w:val="14"/>
                <w:highlight w:val="cyan"/>
              </w:rPr>
            </w:pPr>
            <w:r w:rsidRPr="00FF4BB5">
              <w:rPr>
                <w:rFonts w:ascii="Arial" w:hAnsi="Arial"/>
                <w:color w:val="000000" w:themeColor="text1"/>
                <w:sz w:val="14"/>
                <w:szCs w:val="14"/>
              </w:rPr>
              <w:t> </w:t>
            </w:r>
          </w:p>
        </w:tc>
        <w:tc>
          <w:tcPr>
            <w:tcW w:w="726" w:type="dxa"/>
            <w:tcBorders>
              <w:top w:val="single" w:sz="4" w:space="0" w:color="auto"/>
              <w:left w:val="single" w:sz="4" w:space="0" w:color="auto"/>
              <w:bottom w:val="single" w:sz="8" w:space="0" w:color="auto"/>
              <w:right w:val="single" w:sz="4" w:space="0" w:color="auto"/>
            </w:tcBorders>
            <w:vAlign w:val="center"/>
          </w:tcPr>
          <w:p w14:paraId="64C01710"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3841B195"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4B4662C4"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6647D789"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6D2496E8"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2FBE30F4" w14:textId="77777777" w:rsidR="00692B5F" w:rsidRPr="00FF4BB5" w:rsidRDefault="00692B5F" w:rsidP="00512593">
            <w:pPr>
              <w:spacing w:before="30" w:after="30" w:line="240" w:lineRule="auto"/>
              <w:jc w:val="center"/>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TOTAL</w:t>
            </w:r>
          </w:p>
        </w:tc>
      </w:tr>
      <w:tr w:rsidR="00692B5F" w:rsidRPr="00FF4BB5" w14:paraId="28881884" w14:textId="77777777" w:rsidTr="00512593">
        <w:tc>
          <w:tcPr>
            <w:tcW w:w="2585" w:type="dxa"/>
            <w:tcBorders>
              <w:top w:val="single" w:sz="8" w:space="0" w:color="auto"/>
              <w:left w:val="single" w:sz="4" w:space="0" w:color="auto"/>
              <w:bottom w:val="single" w:sz="4" w:space="0" w:color="auto"/>
              <w:right w:val="single" w:sz="4" w:space="0" w:color="auto"/>
            </w:tcBorders>
            <w:vAlign w:val="center"/>
          </w:tcPr>
          <w:p w14:paraId="037661B1" w14:textId="77777777" w:rsidR="00692B5F" w:rsidRPr="00FF4BB5" w:rsidRDefault="00692B5F" w:rsidP="00512593">
            <w:pPr>
              <w:spacing w:before="30" w:after="30" w:line="240" w:lineRule="auto"/>
              <w:rPr>
                <w:rFonts w:ascii="Arial" w:eastAsia="Times New Roman" w:hAnsi="Arial"/>
                <w:color w:val="000000" w:themeColor="text1"/>
                <w:sz w:val="14"/>
                <w:szCs w:val="14"/>
                <w:highlight w:val="cyan"/>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F8E827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43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92FEDCA"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EC2413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25</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D4CA4DD"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24</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505D6982"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30</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2AA5750C"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31</w:t>
            </w:r>
          </w:p>
        </w:tc>
      </w:tr>
      <w:tr w:rsidR="00692B5F" w:rsidRPr="00FF4BB5" w14:paraId="7359831F"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08213A8D" w14:textId="77777777" w:rsidR="00692B5F" w:rsidRPr="00FF4BB5" w:rsidRDefault="00692B5F" w:rsidP="00512593">
            <w:pPr>
              <w:spacing w:before="30" w:after="30" w:line="240" w:lineRule="auto"/>
              <w:rPr>
                <w:rFonts w:ascii="Arial" w:eastAsia="Times New Roman" w:hAnsi="Arial"/>
                <w:color w:val="000000" w:themeColor="text1"/>
                <w:sz w:val="14"/>
                <w:szCs w:val="14"/>
                <w:highlight w:val="cyan"/>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DCFE858"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C116FDB"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3FCF00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9907990"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45</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06942DF5"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50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7DB3BCA8"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34</w:t>
            </w:r>
          </w:p>
        </w:tc>
      </w:tr>
      <w:tr w:rsidR="00692B5F" w:rsidRPr="00FF4BB5" w14:paraId="44C33C4A"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4C083379" w14:textId="77777777" w:rsidR="00692B5F" w:rsidRPr="00FF4BB5" w:rsidRDefault="00692B5F" w:rsidP="00512593">
            <w:pPr>
              <w:spacing w:before="30" w:after="30" w:line="240" w:lineRule="auto"/>
              <w:rPr>
                <w:rFonts w:ascii="Arial" w:eastAsia="Times New Roman" w:hAnsi="Arial"/>
                <w:color w:val="000000" w:themeColor="text1"/>
                <w:sz w:val="14"/>
                <w:szCs w:val="14"/>
                <w:highlight w:val="cyan"/>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1AB827E"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BBA1E4C"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40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E2933A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DAEA88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28</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1083A18E"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19</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24D970A5"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32</w:t>
            </w:r>
          </w:p>
        </w:tc>
      </w:tr>
      <w:tr w:rsidR="00692B5F" w:rsidRPr="00FF4BB5" w14:paraId="324A414B"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10ECAE44" w14:textId="77777777" w:rsidR="00692B5F" w:rsidRPr="00FF4BB5" w:rsidRDefault="00692B5F" w:rsidP="00512593">
            <w:pPr>
              <w:spacing w:before="30" w:after="30" w:line="240" w:lineRule="auto"/>
              <w:ind w:left="179"/>
              <w:rPr>
                <w:rFonts w:ascii="Arial" w:eastAsia="Times New Roman" w:hAnsi="Arial"/>
                <w:color w:val="000000" w:themeColor="text1"/>
                <w:sz w:val="14"/>
                <w:szCs w:val="14"/>
                <w:highlight w:val="cyan"/>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2E60FD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EFA7A3B"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A2FFC14"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DE6728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CC4175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18</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59BFE89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28</w:t>
            </w:r>
          </w:p>
        </w:tc>
      </w:tr>
      <w:tr w:rsidR="00692B5F" w:rsidRPr="00FF4BB5" w14:paraId="74CE7347"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65B7B7AE" w14:textId="77777777" w:rsidR="00692B5F" w:rsidRPr="00FF4BB5" w:rsidRDefault="00692B5F" w:rsidP="00512593">
            <w:pPr>
              <w:spacing w:before="30" w:after="30" w:line="240" w:lineRule="auto"/>
              <w:ind w:left="179"/>
              <w:rPr>
                <w:rFonts w:ascii="Arial" w:eastAsia="Times New Roman" w:hAnsi="Arial"/>
                <w:color w:val="000000" w:themeColor="text1"/>
                <w:sz w:val="14"/>
                <w:szCs w:val="14"/>
                <w:highlight w:val="cyan"/>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40E7B75"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AA30AE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BE5F9C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0AB905E"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0CE60F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086A65C2"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4</w:t>
            </w:r>
          </w:p>
        </w:tc>
      </w:tr>
      <w:tr w:rsidR="00692B5F" w:rsidRPr="00FF4BB5" w14:paraId="4FD2C7B6"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2F297227" w14:textId="77777777" w:rsidR="00692B5F" w:rsidRPr="00FF4BB5" w:rsidRDefault="00692B5F" w:rsidP="00512593">
            <w:pPr>
              <w:spacing w:before="30" w:after="30" w:line="240" w:lineRule="auto"/>
              <w:rPr>
                <w:rFonts w:ascii="Arial" w:eastAsia="Times New Roman" w:hAnsi="Arial"/>
                <w:b/>
                <w:bCs/>
                <w:color w:val="000000" w:themeColor="text1"/>
                <w:sz w:val="14"/>
                <w:szCs w:val="14"/>
                <w:highlight w:val="cyan"/>
              </w:rPr>
            </w:pPr>
            <w:r w:rsidRPr="00FF4BB5">
              <w:rPr>
                <w:rFonts w:ascii="Arial" w:hAnsi="Arial"/>
                <w:color w:val="000000" w:themeColor="text1"/>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640D0E12"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63E1A27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622214C7"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508411ED"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75B07FB2"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0F1FBE4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w:t>
            </w:r>
          </w:p>
        </w:tc>
      </w:tr>
      <w:tr w:rsidR="00692B5F" w:rsidRPr="00FF4BB5" w14:paraId="3DEAAA99" w14:textId="77777777" w:rsidTr="00512593">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473DF" w14:textId="77777777" w:rsidR="00692B5F" w:rsidRPr="00FF4BB5" w:rsidRDefault="00692B5F" w:rsidP="00512593">
            <w:pPr>
              <w:spacing w:before="30" w:after="30" w:line="240" w:lineRule="auto"/>
              <w:rPr>
                <w:rFonts w:ascii="Arial" w:eastAsia="Times New Roman" w:hAnsi="Arial"/>
                <w:b/>
                <w:bCs/>
                <w:color w:val="000000" w:themeColor="text1"/>
                <w:sz w:val="14"/>
                <w:szCs w:val="14"/>
                <w:highlight w:val="cyan"/>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311E1B4A"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B09A139"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B7B028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91C50B3"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7E50DFA1"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7FA0264F"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100</w:t>
            </w:r>
          </w:p>
        </w:tc>
      </w:tr>
      <w:tr w:rsidR="00692B5F" w:rsidRPr="00FF4BB5" w14:paraId="451FA471"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6E9F79D5" w14:textId="77777777" w:rsidR="00692B5F" w:rsidRPr="00FF4BB5" w:rsidRDefault="00692B5F" w:rsidP="00512593">
            <w:pPr>
              <w:spacing w:before="30" w:after="30" w:line="240" w:lineRule="auto"/>
              <w:rPr>
                <w:rFonts w:ascii="Arial" w:eastAsia="Times New Roman" w:hAnsi="Arial"/>
                <w:color w:val="000000" w:themeColor="text1"/>
                <w:sz w:val="14"/>
                <w:szCs w:val="14"/>
                <w:highlight w:val="cyan"/>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711E0CE"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33</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03EA2591"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48AFE05A"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8</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1E3EAAC6"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652A2BBE"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highlight w:val="cyan"/>
              </w:rPr>
            </w:pPr>
            <w:r w:rsidRPr="00FF4BB5">
              <w:rPr>
                <w:rFonts w:ascii="Arial" w:hAnsi="Arial"/>
                <w:color w:val="000000" w:themeColor="text1"/>
                <w:sz w:val="14"/>
                <w:szCs w:val="14"/>
              </w:rPr>
              <w:t>1</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1DDD129C" w14:textId="77777777" w:rsidR="00692B5F" w:rsidRPr="00FF4BB5" w:rsidRDefault="00692B5F"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r>
    </w:tbl>
    <w:p w14:paraId="28AB4735" w14:textId="77777777" w:rsidR="006956D9" w:rsidRPr="00FF4BB5" w:rsidRDefault="006956D9" w:rsidP="006956D9">
      <w:pPr>
        <w:spacing w:after="0" w:line="240" w:lineRule="auto"/>
        <w:jc w:val="center"/>
        <w:rPr>
          <w:rFonts w:ascii="Arial" w:eastAsia="Times New Roman" w:hAnsi="Arial" w:cs="Times New Roman"/>
          <w:b/>
          <w:bCs/>
          <w:color w:val="000000" w:themeColor="text1"/>
          <w:szCs w:val="20"/>
        </w:rPr>
      </w:pPr>
    </w:p>
    <w:p w14:paraId="6887996C" w14:textId="767B07D7" w:rsidR="00024B4F" w:rsidRPr="00FF4BB5" w:rsidRDefault="00024B4F" w:rsidP="00024B4F">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 xml:space="preserve">Table 4.3 </w:t>
      </w:r>
    </w:p>
    <w:p w14:paraId="3515A5DE" w14:textId="77777777" w:rsidR="00024B4F" w:rsidRPr="00FF4BB5" w:rsidRDefault="00024B4F" w:rsidP="00024B4F">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Tenure for households</w:t>
      </w:r>
      <w:r w:rsidRPr="00FF4BB5">
        <w:rPr>
          <w:color w:val="000000" w:themeColor="text1"/>
        </w:rPr>
        <w:t xml:space="preserve"> </w:t>
      </w:r>
      <w:r w:rsidRPr="00FF4BB5">
        <w:rPr>
          <w:rFonts w:ascii="Arial" w:eastAsia="Times New Roman" w:hAnsi="Arial" w:cs="Times New Roman"/>
          <w:b/>
          <w:bCs/>
          <w:color w:val="000000" w:themeColor="text1"/>
          <w:sz w:val="18"/>
          <w:szCs w:val="18"/>
        </w:rPr>
        <w:t>with age 65+ only by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024B4F" w:rsidRPr="00FF4BB5" w14:paraId="11E86522" w14:textId="77777777" w:rsidTr="00023CF5">
        <w:tc>
          <w:tcPr>
            <w:tcW w:w="2585" w:type="dxa"/>
            <w:tcBorders>
              <w:top w:val="single" w:sz="4" w:space="0" w:color="auto"/>
              <w:left w:val="single" w:sz="4" w:space="0" w:color="auto"/>
              <w:bottom w:val="single" w:sz="8" w:space="0" w:color="auto"/>
              <w:right w:val="single" w:sz="4" w:space="0" w:color="auto"/>
            </w:tcBorders>
            <w:vAlign w:val="center"/>
          </w:tcPr>
          <w:p w14:paraId="1A890320" w14:textId="77777777" w:rsidR="00024B4F" w:rsidRPr="00FF4BB5" w:rsidRDefault="00024B4F" w:rsidP="00023CF5">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1549B56C"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47C1BF0F"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6ECB7F95"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0FEA6EDE"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2FABF851"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736201B5"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024B4F" w:rsidRPr="00FF4BB5" w14:paraId="7E874BB7" w14:textId="77777777" w:rsidTr="00023CF5">
        <w:tc>
          <w:tcPr>
            <w:tcW w:w="2585" w:type="dxa"/>
            <w:tcBorders>
              <w:top w:val="single" w:sz="8" w:space="0" w:color="auto"/>
              <w:left w:val="single" w:sz="4" w:space="0" w:color="auto"/>
              <w:bottom w:val="single" w:sz="4" w:space="0" w:color="auto"/>
              <w:right w:val="single" w:sz="4" w:space="0" w:color="auto"/>
            </w:tcBorders>
            <w:vAlign w:val="center"/>
          </w:tcPr>
          <w:p w14:paraId="1B7C7DE1"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11F5E0E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71</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0C0DDCC"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80</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209AE9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77</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87B4AF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80</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5CF6DDF6"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88</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05ADFB1D"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77</w:t>
            </w:r>
          </w:p>
        </w:tc>
      </w:tr>
      <w:tr w:rsidR="00024B4F" w:rsidRPr="00FF4BB5" w14:paraId="2FED5662"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2770B6ED"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A2656EC"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1BE177C0"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3BBB653"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34E631F"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313D755A"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1DCBD66A"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r>
      <w:tr w:rsidR="00024B4F" w:rsidRPr="00FF4BB5" w14:paraId="1361EF72"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3F17B815"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BFDC63D"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1AAC603"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F7B2F3E"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3D0224F"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02C100CD"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4148729E"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13</w:t>
            </w:r>
          </w:p>
        </w:tc>
      </w:tr>
      <w:tr w:rsidR="00024B4F" w:rsidRPr="00FF4BB5" w14:paraId="3E7AC808"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2F2B9CF1" w14:textId="77777777" w:rsidR="00024B4F" w:rsidRPr="00FF4BB5" w:rsidRDefault="00024B4F"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73089B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C1F115B"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EE9C9E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9F3170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5DC65FC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1E5503AD"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w:t>
            </w:r>
          </w:p>
        </w:tc>
      </w:tr>
      <w:tr w:rsidR="00024B4F" w:rsidRPr="00FF4BB5" w14:paraId="4C4E1BE9"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758BFFD" w14:textId="77777777" w:rsidR="00024B4F" w:rsidRPr="00FF4BB5" w:rsidRDefault="00024B4F"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2CA01A8"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AAE8570"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441F9D3"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219C8DB"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23B2BB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3307C64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r>
      <w:tr w:rsidR="00024B4F" w:rsidRPr="00FF4BB5" w14:paraId="6F958A74"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6B919820" w14:textId="77777777" w:rsidR="00024B4F" w:rsidRPr="00FF4BB5" w:rsidRDefault="00024B4F" w:rsidP="00023CF5">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4361" w:type="dxa"/>
            <w:gridSpan w:val="6"/>
            <w:tcBorders>
              <w:top w:val="single" w:sz="4" w:space="0" w:color="auto"/>
              <w:left w:val="single" w:sz="4" w:space="0" w:color="auto"/>
              <w:bottom w:val="single" w:sz="4" w:space="0" w:color="auto"/>
              <w:right w:val="single" w:sz="4" w:space="0" w:color="auto"/>
            </w:tcBorders>
            <w:tcMar>
              <w:right w:w="255" w:type="dxa"/>
            </w:tcMar>
            <w:vAlign w:val="center"/>
          </w:tcPr>
          <w:p w14:paraId="4B8605B3"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Mäori" w:eastAsia="Times New Roman" w:hAnsi="Arial Mäori"/>
                <w:color w:val="000000" w:themeColor="text1"/>
                <w:sz w:val="12"/>
                <w:szCs w:val="12"/>
              </w:rPr>
              <w:t>Numbers are too small to reliably report on as a separate category</w:t>
            </w:r>
          </w:p>
        </w:tc>
      </w:tr>
      <w:tr w:rsidR="00024B4F" w:rsidRPr="00FF4BB5" w14:paraId="61D23A1F" w14:textId="77777777" w:rsidTr="00024B4F">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D6998" w14:textId="77777777" w:rsidR="00024B4F" w:rsidRPr="00FF4BB5" w:rsidRDefault="00024B4F" w:rsidP="00023CF5">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CF8C3F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1E8282BF"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FDE8CDE"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7CECBF4"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03734F66"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79B9A3EA"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24B4F" w:rsidRPr="00FF4BB5" w14:paraId="663D478F"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5DE410E4"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1168EAC6"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67</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01036FA5"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BDECBE1"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25</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2D4066C2"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1AB2F4C6"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5E6510AB"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44</w:t>
            </w:r>
          </w:p>
        </w:tc>
      </w:tr>
    </w:tbl>
    <w:p w14:paraId="57EF382D" w14:textId="77777777" w:rsidR="00024B4F" w:rsidRPr="00FF4BB5" w:rsidRDefault="00024B4F" w:rsidP="00C4323B">
      <w:pPr>
        <w:spacing w:after="0" w:line="240" w:lineRule="auto"/>
        <w:rPr>
          <w:color w:val="000000" w:themeColor="text1"/>
        </w:rPr>
      </w:pPr>
    </w:p>
    <w:p w14:paraId="0F4B0086" w14:textId="30E6E3DF" w:rsidR="00024B4F" w:rsidRPr="00FF4BB5" w:rsidRDefault="00024B4F" w:rsidP="00024B4F">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 xml:space="preserve">Table 4.4 </w:t>
      </w:r>
    </w:p>
    <w:p w14:paraId="4B5FD6EA" w14:textId="77777777" w:rsidR="00024B4F" w:rsidRPr="00FF4BB5" w:rsidRDefault="00024B4F" w:rsidP="00024B4F">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Tenure for individuals aged 65+ by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024B4F" w:rsidRPr="00FF4BB5" w14:paraId="538E3BD4" w14:textId="77777777" w:rsidTr="00023CF5">
        <w:tc>
          <w:tcPr>
            <w:tcW w:w="2585" w:type="dxa"/>
            <w:tcBorders>
              <w:top w:val="single" w:sz="4" w:space="0" w:color="auto"/>
              <w:left w:val="single" w:sz="4" w:space="0" w:color="auto"/>
              <w:bottom w:val="single" w:sz="8" w:space="0" w:color="auto"/>
              <w:right w:val="single" w:sz="4" w:space="0" w:color="auto"/>
            </w:tcBorders>
            <w:vAlign w:val="center"/>
          </w:tcPr>
          <w:p w14:paraId="36C4BEBA" w14:textId="77777777" w:rsidR="00024B4F" w:rsidRPr="00FF4BB5" w:rsidRDefault="00024B4F" w:rsidP="00023CF5">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34D5B8BE"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061D1C55"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25D48B0C"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65E71E9A"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6E8DF294"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56A0028A" w14:textId="77777777" w:rsidR="00024B4F" w:rsidRPr="00FF4BB5" w:rsidRDefault="00024B4F" w:rsidP="00023CF5">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024B4F" w:rsidRPr="00FF4BB5" w14:paraId="4AFBBE9A" w14:textId="77777777" w:rsidTr="00023CF5">
        <w:tc>
          <w:tcPr>
            <w:tcW w:w="2585" w:type="dxa"/>
            <w:tcBorders>
              <w:top w:val="single" w:sz="8" w:space="0" w:color="auto"/>
              <w:left w:val="single" w:sz="4" w:space="0" w:color="auto"/>
              <w:bottom w:val="single" w:sz="4" w:space="0" w:color="auto"/>
              <w:right w:val="single" w:sz="4" w:space="0" w:color="auto"/>
            </w:tcBorders>
            <w:vAlign w:val="center"/>
          </w:tcPr>
          <w:p w14:paraId="129A09BD"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3A744358"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70</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19485CD7"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72</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81E5DBB"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68</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FFE7633"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67</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30093CE6"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81</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6D720A22"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72</w:t>
            </w:r>
          </w:p>
        </w:tc>
      </w:tr>
      <w:tr w:rsidR="00024B4F" w:rsidRPr="00FF4BB5" w14:paraId="363A0A2B"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36CBE45A"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7041255"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2402538"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1E07CC1"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C1EE6C9"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22</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5888825D"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07FDFF5B"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r>
      <w:tr w:rsidR="00024B4F" w:rsidRPr="00FF4BB5" w14:paraId="33A2D59C"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6BA4F1BB"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1DA722B"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45AB05E"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62CCA55"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F5B03F5"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21B3A91E"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046BB8F2"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12</w:t>
            </w:r>
          </w:p>
        </w:tc>
      </w:tr>
      <w:tr w:rsidR="00024B4F" w:rsidRPr="00FF4BB5" w14:paraId="50947D6D"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08E99645" w14:textId="77777777" w:rsidR="00024B4F" w:rsidRPr="00FF4BB5" w:rsidRDefault="00024B4F"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4368B52"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B8B6962"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E56AEF6"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E8315D2"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55E8D5E8"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6062FD18"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w:t>
            </w:r>
          </w:p>
        </w:tc>
      </w:tr>
      <w:tr w:rsidR="00024B4F" w:rsidRPr="00FF4BB5" w14:paraId="415CD841"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6B9C942A" w14:textId="77777777" w:rsidR="00024B4F" w:rsidRPr="00FF4BB5" w:rsidRDefault="00024B4F" w:rsidP="00023CF5">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0ECF9BA"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E35591E"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FA8BA2C"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6FB27DD"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5C35291E"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7E7749F3"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r>
      <w:tr w:rsidR="00024B4F" w:rsidRPr="00FF4BB5" w14:paraId="4E544C09"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21E0FB86" w14:textId="77777777" w:rsidR="00024B4F" w:rsidRPr="00FF4BB5" w:rsidRDefault="00024B4F" w:rsidP="00023CF5">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4361" w:type="dxa"/>
            <w:gridSpan w:val="6"/>
            <w:tcBorders>
              <w:top w:val="single" w:sz="4" w:space="0" w:color="auto"/>
              <w:left w:val="single" w:sz="4" w:space="0" w:color="auto"/>
              <w:bottom w:val="single" w:sz="4" w:space="0" w:color="auto"/>
              <w:right w:val="single" w:sz="4" w:space="0" w:color="auto"/>
            </w:tcBorders>
            <w:tcMar>
              <w:right w:w="255" w:type="dxa"/>
            </w:tcMar>
            <w:vAlign w:val="center"/>
          </w:tcPr>
          <w:p w14:paraId="4F1E0936" w14:textId="77777777" w:rsidR="00024B4F" w:rsidRPr="00FF4BB5" w:rsidRDefault="00024B4F" w:rsidP="00023CF5">
            <w:pPr>
              <w:spacing w:before="30" w:after="30" w:line="240" w:lineRule="auto"/>
              <w:jc w:val="center"/>
              <w:rPr>
                <w:rFonts w:ascii="Arial" w:eastAsia="Times New Roman" w:hAnsi="Arial"/>
                <w:color w:val="000000" w:themeColor="text1"/>
                <w:sz w:val="14"/>
                <w:szCs w:val="14"/>
              </w:rPr>
            </w:pPr>
            <w:r w:rsidRPr="00FF4BB5">
              <w:rPr>
                <w:rFonts w:ascii="Arial Mäori" w:eastAsia="Times New Roman" w:hAnsi="Arial Mäori"/>
                <w:color w:val="000000" w:themeColor="text1"/>
                <w:sz w:val="12"/>
                <w:szCs w:val="12"/>
              </w:rPr>
              <w:t>Numbers are too small to reliably report on as a separate category</w:t>
            </w:r>
          </w:p>
        </w:tc>
      </w:tr>
      <w:tr w:rsidR="00024B4F" w:rsidRPr="00FF4BB5" w14:paraId="1DB01591" w14:textId="77777777" w:rsidTr="00024B4F">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5D2EF" w14:textId="77777777" w:rsidR="00024B4F" w:rsidRPr="00FF4BB5" w:rsidRDefault="00024B4F" w:rsidP="00023CF5">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7BA9D03F"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3CA6EE48"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B10217C"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4E19060"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3C6C964E"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2CCF099A"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24B4F" w:rsidRPr="00FF4BB5" w14:paraId="311B73AB" w14:textId="77777777" w:rsidTr="00023CF5">
        <w:tc>
          <w:tcPr>
            <w:tcW w:w="2585" w:type="dxa"/>
            <w:tcBorders>
              <w:top w:val="single" w:sz="4" w:space="0" w:color="auto"/>
              <w:left w:val="single" w:sz="4" w:space="0" w:color="auto"/>
              <w:bottom w:val="single" w:sz="4" w:space="0" w:color="auto"/>
              <w:right w:val="single" w:sz="4" w:space="0" w:color="auto"/>
            </w:tcBorders>
            <w:vAlign w:val="center"/>
          </w:tcPr>
          <w:p w14:paraId="328FC3A0" w14:textId="77777777" w:rsidR="00024B4F" w:rsidRPr="00FF4BB5" w:rsidRDefault="00024B4F" w:rsidP="00023CF5">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50509B27"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56</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3F5D12B1"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0A2DCE0"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33006FA4"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32C7C091"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34335A49" w14:textId="77777777" w:rsidR="00024B4F" w:rsidRPr="00FF4BB5" w:rsidRDefault="00024B4F" w:rsidP="00023CF5">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r>
    </w:tbl>
    <w:p w14:paraId="3A469D6A" w14:textId="41F71D3E" w:rsidR="00EF7CA5" w:rsidRPr="00FF4BB5" w:rsidRDefault="00EF7CA5" w:rsidP="00692B5F">
      <w:pPr>
        <w:spacing w:after="0" w:line="240" w:lineRule="auto"/>
        <w:jc w:val="center"/>
        <w:rPr>
          <w:rFonts w:ascii="Arial" w:eastAsia="Times New Roman" w:hAnsi="Arial" w:cs="Times New Roman"/>
          <w:b/>
          <w:bCs/>
          <w:color w:val="000000" w:themeColor="text1"/>
          <w:sz w:val="18"/>
          <w:szCs w:val="18"/>
        </w:rPr>
      </w:pPr>
    </w:p>
    <w:p w14:paraId="6524DB58" w14:textId="77777777" w:rsidR="00692B5F" w:rsidRPr="00FF4BB5" w:rsidRDefault="00692B5F" w:rsidP="00692B5F">
      <w:pPr>
        <w:spacing w:after="0" w:line="240" w:lineRule="auto"/>
        <w:rPr>
          <w:rFonts w:ascii="Arial" w:eastAsia="Times New Roman" w:hAnsi="Arial" w:cs="Times New Roman"/>
          <w:b/>
          <w:bCs/>
          <w:color w:val="000000" w:themeColor="text1"/>
          <w:szCs w:val="20"/>
        </w:rPr>
      </w:pPr>
    </w:p>
    <w:p w14:paraId="3F98CFD2" w14:textId="20610991" w:rsidR="00EF7CA5" w:rsidRPr="00FF4BB5" w:rsidRDefault="00692B5F" w:rsidP="00692B5F">
      <w:pPr>
        <w:spacing w:after="0" w:line="240" w:lineRule="auto"/>
        <w:rPr>
          <w:rFonts w:ascii="Arial" w:eastAsia="Times New Roman" w:hAnsi="Arial" w:cs="Times New Roman"/>
          <w:b/>
          <w:bCs/>
          <w:color w:val="000000" w:themeColor="text1"/>
          <w:szCs w:val="20"/>
        </w:rPr>
      </w:pPr>
      <w:proofErr w:type="spellStart"/>
      <w:r w:rsidRPr="00FF4BB5">
        <w:rPr>
          <w:rFonts w:ascii="Arial" w:eastAsia="Times New Roman" w:hAnsi="Arial" w:cs="Times New Roman"/>
          <w:b/>
          <w:bCs/>
          <w:color w:val="000000" w:themeColor="text1"/>
          <w:szCs w:val="20"/>
        </w:rPr>
        <w:t>Unequivalised</w:t>
      </w:r>
      <w:proofErr w:type="spellEnd"/>
      <w:r w:rsidR="00C4323B" w:rsidRPr="00FF4BB5">
        <w:rPr>
          <w:rFonts w:ascii="Arial" w:eastAsia="Times New Roman" w:hAnsi="Arial" w:cs="Times New Roman"/>
          <w:b/>
          <w:bCs/>
          <w:color w:val="000000" w:themeColor="text1"/>
          <w:szCs w:val="20"/>
        </w:rPr>
        <w:t xml:space="preserve"> household income</w:t>
      </w:r>
    </w:p>
    <w:p w14:paraId="45B8B207" w14:textId="599292C7" w:rsidR="00C4323B" w:rsidRPr="00FF4BB5" w:rsidRDefault="00C4323B" w:rsidP="00692B5F">
      <w:pPr>
        <w:spacing w:after="0" w:line="240" w:lineRule="auto"/>
        <w:rPr>
          <w:rFonts w:ascii="Arial" w:eastAsia="Times New Roman" w:hAnsi="Arial" w:cs="Times New Roman"/>
          <w:b/>
          <w:bCs/>
          <w:color w:val="000000" w:themeColor="text1"/>
          <w:szCs w:val="20"/>
        </w:rPr>
      </w:pPr>
    </w:p>
    <w:p w14:paraId="28F15DB3" w14:textId="77777777" w:rsidR="001B4D57" w:rsidRPr="00FF4BB5" w:rsidRDefault="00C4323B" w:rsidP="00692B5F">
      <w:pPr>
        <w:spacing w:after="0" w:line="240" w:lineRule="auto"/>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Cs w:val="20"/>
        </w:rPr>
        <w:t>Tables 4.5 to 4.</w:t>
      </w:r>
      <w:r w:rsidR="001B4D57" w:rsidRPr="00FF4BB5">
        <w:rPr>
          <w:rFonts w:ascii="Arial" w:eastAsia="Times New Roman" w:hAnsi="Arial" w:cs="Times New Roman"/>
          <w:b/>
          <w:bCs/>
          <w:color w:val="000000" w:themeColor="text1"/>
          <w:szCs w:val="20"/>
        </w:rPr>
        <w:t>7</w:t>
      </w:r>
      <w:r w:rsidRPr="00FF4BB5">
        <w:rPr>
          <w:rFonts w:ascii="Arial" w:eastAsia="Times New Roman" w:hAnsi="Arial" w:cs="Times New Roman"/>
          <w:color w:val="000000" w:themeColor="text1"/>
          <w:szCs w:val="20"/>
        </w:rPr>
        <w:t xml:space="preserve"> use </w:t>
      </w:r>
      <w:proofErr w:type="spellStart"/>
      <w:r w:rsidRPr="00FF4BB5">
        <w:rPr>
          <w:rFonts w:ascii="Arial" w:eastAsia="Times New Roman" w:hAnsi="Arial" w:cs="Times New Roman"/>
          <w:color w:val="000000" w:themeColor="text1"/>
          <w:szCs w:val="20"/>
        </w:rPr>
        <w:t>unequivalised</w:t>
      </w:r>
      <w:proofErr w:type="spellEnd"/>
      <w:r w:rsidRPr="00FF4BB5">
        <w:rPr>
          <w:rFonts w:ascii="Arial" w:eastAsia="Times New Roman" w:hAnsi="Arial" w:cs="Times New Roman"/>
          <w:color w:val="000000" w:themeColor="text1"/>
          <w:szCs w:val="20"/>
        </w:rPr>
        <w:t xml:space="preserve"> household income. </w:t>
      </w:r>
    </w:p>
    <w:p w14:paraId="1675B562" w14:textId="77777777" w:rsidR="001B4D57" w:rsidRPr="00FF4BB5" w:rsidRDefault="001B4D57" w:rsidP="00692B5F">
      <w:pPr>
        <w:spacing w:after="0" w:line="240" w:lineRule="auto"/>
        <w:rPr>
          <w:rFonts w:ascii="Arial" w:eastAsia="Times New Roman" w:hAnsi="Arial" w:cs="Times New Roman"/>
          <w:color w:val="000000" w:themeColor="text1"/>
          <w:szCs w:val="20"/>
        </w:rPr>
      </w:pPr>
    </w:p>
    <w:p w14:paraId="1AEBABFB" w14:textId="77777777" w:rsidR="001B4D57" w:rsidRPr="00FF4BB5" w:rsidRDefault="00C4323B" w:rsidP="00692B5F">
      <w:pPr>
        <w:spacing w:after="0" w:line="240" w:lineRule="auto"/>
        <w:rPr>
          <w:rFonts w:ascii="Arial" w:eastAsia="Times New Roman" w:hAnsi="Arial" w:cs="Times New Roman"/>
          <w:color w:val="000000" w:themeColor="text1"/>
          <w:szCs w:val="20"/>
        </w:rPr>
      </w:pPr>
      <w:r w:rsidRPr="00FF4BB5">
        <w:rPr>
          <w:rFonts w:ascii="Arial" w:eastAsia="Times New Roman" w:hAnsi="Arial" w:cs="Times New Roman"/>
          <w:color w:val="000000" w:themeColor="text1"/>
          <w:szCs w:val="20"/>
        </w:rPr>
        <w:t xml:space="preserve">Table 4.5 can be compared with Table 4.1 for a comparison for households. Table 4.5 can be compared with Table 4.6 for comparing the distribution for households and individuals, using </w:t>
      </w:r>
      <w:proofErr w:type="spellStart"/>
      <w:r w:rsidRPr="00FF4BB5">
        <w:rPr>
          <w:rFonts w:ascii="Arial" w:eastAsia="Times New Roman" w:hAnsi="Arial" w:cs="Times New Roman"/>
          <w:color w:val="000000" w:themeColor="text1"/>
          <w:szCs w:val="20"/>
        </w:rPr>
        <w:t>unequivalised</w:t>
      </w:r>
      <w:proofErr w:type="spellEnd"/>
      <w:r w:rsidRPr="00FF4BB5">
        <w:rPr>
          <w:rFonts w:ascii="Arial" w:eastAsia="Times New Roman" w:hAnsi="Arial" w:cs="Times New Roman"/>
          <w:color w:val="000000" w:themeColor="text1"/>
          <w:szCs w:val="20"/>
        </w:rPr>
        <w:t xml:space="preserve"> incomes.</w:t>
      </w:r>
    </w:p>
    <w:p w14:paraId="2B0E0720" w14:textId="77777777" w:rsidR="001B4D57" w:rsidRPr="00FF4BB5" w:rsidRDefault="001B4D57" w:rsidP="00692B5F">
      <w:pPr>
        <w:spacing w:after="0" w:line="240" w:lineRule="auto"/>
        <w:rPr>
          <w:rFonts w:ascii="Arial" w:eastAsia="Times New Roman" w:hAnsi="Arial" w:cs="Times New Roman"/>
          <w:color w:val="000000" w:themeColor="text1"/>
          <w:szCs w:val="20"/>
        </w:rPr>
      </w:pPr>
    </w:p>
    <w:p w14:paraId="7B261985" w14:textId="77777777" w:rsidR="001B4D57" w:rsidRPr="00FF4BB5" w:rsidRDefault="001B4D57" w:rsidP="00692B5F">
      <w:pPr>
        <w:spacing w:after="0" w:line="240" w:lineRule="auto"/>
        <w:rPr>
          <w:rFonts w:ascii="Arial" w:eastAsia="Times New Roman" w:hAnsi="Arial" w:cs="Times New Roman"/>
          <w:color w:val="000000" w:themeColor="text1"/>
          <w:szCs w:val="20"/>
        </w:rPr>
      </w:pPr>
      <w:r w:rsidRPr="00FF4BB5">
        <w:rPr>
          <w:rFonts w:ascii="Arial" w:eastAsia="Times New Roman" w:hAnsi="Arial" w:cs="Times New Roman"/>
          <w:color w:val="000000" w:themeColor="text1"/>
          <w:szCs w:val="20"/>
        </w:rPr>
        <w:t>Table 4.7 can be compared with Table 4.4 for individuals aged 65+.</w:t>
      </w:r>
    </w:p>
    <w:p w14:paraId="6715CD22" w14:textId="7B656023" w:rsidR="00C4323B" w:rsidRPr="00FF4BB5" w:rsidRDefault="00C4323B" w:rsidP="00692B5F">
      <w:pPr>
        <w:spacing w:after="0" w:line="240" w:lineRule="auto"/>
        <w:rPr>
          <w:rFonts w:ascii="Arial" w:eastAsia="Times New Roman" w:hAnsi="Arial" w:cs="Times New Roman"/>
          <w:color w:val="000000" w:themeColor="text1"/>
          <w:szCs w:val="20"/>
        </w:rPr>
      </w:pPr>
      <w:r w:rsidRPr="00FF4BB5">
        <w:rPr>
          <w:rFonts w:ascii="Arial" w:eastAsia="Times New Roman" w:hAnsi="Arial" w:cs="Times New Roman"/>
          <w:color w:val="000000" w:themeColor="text1"/>
          <w:szCs w:val="20"/>
        </w:rPr>
        <w:t xml:space="preserve"> </w:t>
      </w:r>
    </w:p>
    <w:p w14:paraId="1DCC2B86" w14:textId="77777777" w:rsidR="00692B5F" w:rsidRPr="00FF4BB5" w:rsidRDefault="00692B5F" w:rsidP="00EF7CA5">
      <w:pPr>
        <w:spacing w:after="0" w:line="240" w:lineRule="auto"/>
        <w:jc w:val="center"/>
        <w:rPr>
          <w:rFonts w:ascii="Arial" w:eastAsia="Times New Roman" w:hAnsi="Arial" w:cs="Times New Roman"/>
          <w:b/>
          <w:bCs/>
          <w:color w:val="000000" w:themeColor="text1"/>
          <w:sz w:val="18"/>
          <w:szCs w:val="18"/>
        </w:rPr>
      </w:pPr>
    </w:p>
    <w:bookmarkEnd w:id="18"/>
    <w:p w14:paraId="537B14AF" w14:textId="775C88BF" w:rsidR="00CD0F3B" w:rsidRPr="00FF4BB5" w:rsidRDefault="00CD0F3B" w:rsidP="00CD0F3B">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Table 4.</w:t>
      </w:r>
      <w:r w:rsidR="00692B5F" w:rsidRPr="00FF4BB5">
        <w:rPr>
          <w:rFonts w:ascii="Arial" w:eastAsia="Times New Roman" w:hAnsi="Arial" w:cs="Times New Roman"/>
          <w:b/>
          <w:bCs/>
          <w:color w:val="000000" w:themeColor="text1"/>
          <w:sz w:val="18"/>
          <w:szCs w:val="18"/>
        </w:rPr>
        <w:t>5</w:t>
      </w:r>
    </w:p>
    <w:p w14:paraId="33D55099" w14:textId="77777777" w:rsidR="00CD0F3B" w:rsidRPr="00FF4BB5" w:rsidRDefault="00CD0F3B" w:rsidP="00CD0F3B">
      <w:pPr>
        <w:spacing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 xml:space="preserve">Tenure for households by </w:t>
      </w:r>
      <w:proofErr w:type="spellStart"/>
      <w:r w:rsidRPr="00FF4BB5">
        <w:rPr>
          <w:rFonts w:ascii="Arial" w:eastAsia="Times New Roman" w:hAnsi="Arial" w:cs="Times New Roman"/>
          <w:b/>
          <w:bCs/>
          <w:color w:val="000000" w:themeColor="text1"/>
          <w:sz w:val="18"/>
          <w:szCs w:val="18"/>
        </w:rPr>
        <w:t>unequivalised</w:t>
      </w:r>
      <w:proofErr w:type="spellEnd"/>
      <w:r w:rsidRPr="00FF4BB5">
        <w:rPr>
          <w:rFonts w:ascii="Arial" w:eastAsia="Times New Roman" w:hAnsi="Arial" w:cs="Times New Roman"/>
          <w:b/>
          <w:bCs/>
          <w:color w:val="000000" w:themeColor="text1"/>
          <w:sz w:val="18"/>
          <w:szCs w:val="18"/>
        </w:rPr>
        <w:t xml:space="preserve">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CD0F3B" w:rsidRPr="00FF4BB5" w14:paraId="0812E861" w14:textId="77777777" w:rsidTr="00512593">
        <w:tc>
          <w:tcPr>
            <w:tcW w:w="2585" w:type="dxa"/>
            <w:tcBorders>
              <w:top w:val="single" w:sz="4" w:space="0" w:color="auto"/>
              <w:left w:val="single" w:sz="4" w:space="0" w:color="auto"/>
              <w:bottom w:val="single" w:sz="8" w:space="0" w:color="auto"/>
              <w:right w:val="single" w:sz="4" w:space="0" w:color="auto"/>
            </w:tcBorders>
            <w:vAlign w:val="center"/>
          </w:tcPr>
          <w:p w14:paraId="1981BAF3" w14:textId="77777777" w:rsidR="00CD0F3B" w:rsidRPr="00FF4BB5" w:rsidRDefault="00CD0F3B" w:rsidP="00512593">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20EDCD0D"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5DE03E38"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7EBFC3A8"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1DC1F1A7"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3460639E"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70DA76F7"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CD0F3B" w:rsidRPr="00FF4BB5" w14:paraId="67E86344" w14:textId="77777777" w:rsidTr="00512593">
        <w:tc>
          <w:tcPr>
            <w:tcW w:w="2585" w:type="dxa"/>
            <w:tcBorders>
              <w:top w:val="single" w:sz="8" w:space="0" w:color="auto"/>
              <w:left w:val="single" w:sz="4" w:space="0" w:color="auto"/>
              <w:bottom w:val="single" w:sz="4" w:space="0" w:color="auto"/>
              <w:right w:val="single" w:sz="4" w:space="0" w:color="auto"/>
            </w:tcBorders>
            <w:vAlign w:val="center"/>
          </w:tcPr>
          <w:p w14:paraId="58699473"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570D6F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47</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34F4B89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B5A95C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D2FF49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43C718C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30</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480E4E8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r>
      <w:tr w:rsidR="00CD0F3B" w:rsidRPr="00FF4BB5" w14:paraId="0A49605D"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5935250F"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6DB85D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EAB723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2485B6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CE8431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49</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4562585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51</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68E3E80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35</w:t>
            </w:r>
          </w:p>
        </w:tc>
      </w:tr>
      <w:tr w:rsidR="00CD0F3B" w:rsidRPr="00FF4BB5" w14:paraId="1D505B37"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3C028103"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71C36E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072AAC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A0DBDD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C38305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25</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02A2D6D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17</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3C18C52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r>
      <w:tr w:rsidR="00CD0F3B" w:rsidRPr="00FF4BB5" w14:paraId="60C2E8C6"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2EC802A1"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A19B66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778489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C84BBC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B2426E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44F5E19C"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27DCE82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26</w:t>
            </w:r>
          </w:p>
        </w:tc>
      </w:tr>
      <w:tr w:rsidR="00CD0F3B" w:rsidRPr="00FF4BB5" w14:paraId="10D73A56"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3068CE25"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FB92F9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E639F0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ED7B97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4F2C46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70646EE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57FFF14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r>
      <w:tr w:rsidR="00CD0F3B" w:rsidRPr="00FF4BB5" w14:paraId="11B0FE8D"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2BE5A20D"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2386980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7D830D1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2799652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2CA352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6265E48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79FD9E5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r>
      <w:tr w:rsidR="00CD0F3B" w:rsidRPr="00FF4BB5" w14:paraId="2798C279" w14:textId="77777777" w:rsidTr="00512593">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21381"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C53231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6C76F4E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2A9E85A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1E795C6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30DB09B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5E1004E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CD0F3B" w:rsidRPr="00FF4BB5" w14:paraId="60A7DEA5"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2A696A69"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2923F87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63FEC6A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401849C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ED2AE2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7370191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2E7F31D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r>
    </w:tbl>
    <w:p w14:paraId="23153C1B" w14:textId="77777777" w:rsidR="00CD0F3B" w:rsidRPr="00FF4BB5" w:rsidRDefault="00CD0F3B" w:rsidP="00CD0F3B">
      <w:pPr>
        <w:jc w:val="center"/>
        <w:rPr>
          <w:color w:val="000000" w:themeColor="text1"/>
        </w:rPr>
      </w:pPr>
    </w:p>
    <w:p w14:paraId="6BE66583" w14:textId="2666C38E" w:rsidR="00CD0F3B" w:rsidRPr="00FF4BB5" w:rsidRDefault="00CD0F3B" w:rsidP="00CD0F3B">
      <w:pPr>
        <w:spacing w:after="0" w:line="240" w:lineRule="auto"/>
        <w:jc w:val="center"/>
        <w:rPr>
          <w:rFonts w:ascii="Arial" w:eastAsia="Times New Roman" w:hAnsi="Arial" w:cs="Times New Roman"/>
          <w:color w:val="000000" w:themeColor="text1"/>
          <w:sz w:val="18"/>
          <w:szCs w:val="18"/>
        </w:rPr>
      </w:pPr>
      <w:r w:rsidRPr="00FF4BB5">
        <w:rPr>
          <w:rFonts w:ascii="Arial" w:eastAsia="Times New Roman" w:hAnsi="Arial" w:cs="Times New Roman"/>
          <w:b/>
          <w:bCs/>
          <w:color w:val="000000" w:themeColor="text1"/>
          <w:sz w:val="18"/>
          <w:szCs w:val="18"/>
        </w:rPr>
        <w:t>Table 4.</w:t>
      </w:r>
      <w:r w:rsidR="00692B5F" w:rsidRPr="00FF4BB5">
        <w:rPr>
          <w:rFonts w:ascii="Arial" w:eastAsia="Times New Roman" w:hAnsi="Arial" w:cs="Times New Roman"/>
          <w:b/>
          <w:bCs/>
          <w:color w:val="000000" w:themeColor="text1"/>
          <w:sz w:val="18"/>
          <w:szCs w:val="18"/>
        </w:rPr>
        <w:t>6</w:t>
      </w:r>
    </w:p>
    <w:p w14:paraId="00D152CC" w14:textId="77777777" w:rsidR="00CD0F3B" w:rsidRPr="00FF4BB5" w:rsidRDefault="00CD0F3B" w:rsidP="00CD0F3B">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 xml:space="preserve">Tenure for individuals by </w:t>
      </w:r>
      <w:proofErr w:type="spellStart"/>
      <w:r w:rsidRPr="00FF4BB5">
        <w:rPr>
          <w:rFonts w:ascii="Arial" w:eastAsia="Times New Roman" w:hAnsi="Arial" w:cs="Times New Roman"/>
          <w:b/>
          <w:bCs/>
          <w:color w:val="000000" w:themeColor="text1"/>
          <w:sz w:val="18"/>
          <w:szCs w:val="18"/>
        </w:rPr>
        <w:t>unequivalised</w:t>
      </w:r>
      <w:proofErr w:type="spellEnd"/>
      <w:r w:rsidRPr="00FF4BB5">
        <w:rPr>
          <w:rFonts w:ascii="Arial" w:eastAsia="Times New Roman" w:hAnsi="Arial" w:cs="Times New Roman"/>
          <w:b/>
          <w:bCs/>
          <w:color w:val="000000" w:themeColor="text1"/>
          <w:sz w:val="18"/>
          <w:szCs w:val="18"/>
        </w:rPr>
        <w:t xml:space="preserve">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CD0F3B" w:rsidRPr="00FF4BB5" w14:paraId="6D2027C4" w14:textId="77777777" w:rsidTr="00512593">
        <w:tc>
          <w:tcPr>
            <w:tcW w:w="2585" w:type="dxa"/>
            <w:tcBorders>
              <w:top w:val="single" w:sz="4" w:space="0" w:color="auto"/>
              <w:left w:val="single" w:sz="4" w:space="0" w:color="auto"/>
              <w:bottom w:val="single" w:sz="8" w:space="0" w:color="auto"/>
              <w:right w:val="single" w:sz="4" w:space="0" w:color="auto"/>
            </w:tcBorders>
            <w:vAlign w:val="center"/>
          </w:tcPr>
          <w:p w14:paraId="79621307" w14:textId="77777777" w:rsidR="00CD0F3B" w:rsidRPr="00FF4BB5" w:rsidRDefault="00CD0F3B" w:rsidP="00512593">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4280F937"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68E59A28"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4B57CEF1"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02AAC84C"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6CD2CFCB"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6E7A83D3"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CD0F3B" w:rsidRPr="00FF4BB5" w14:paraId="5CCC163D" w14:textId="77777777" w:rsidTr="00512593">
        <w:tc>
          <w:tcPr>
            <w:tcW w:w="2585" w:type="dxa"/>
            <w:tcBorders>
              <w:top w:val="single" w:sz="8" w:space="0" w:color="auto"/>
              <w:left w:val="single" w:sz="4" w:space="0" w:color="auto"/>
              <w:bottom w:val="single" w:sz="4" w:space="0" w:color="auto"/>
              <w:right w:val="single" w:sz="4" w:space="0" w:color="auto"/>
            </w:tcBorders>
            <w:vAlign w:val="center"/>
          </w:tcPr>
          <w:p w14:paraId="05A27C9F"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593A15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4BA0C48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19</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719FF43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18</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068A9E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19</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6A4B37D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28</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62AB32E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r>
      <w:tr w:rsidR="00CD0F3B" w:rsidRPr="00FF4BB5" w14:paraId="7D471413"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1C7E11F5"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B8397C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2629AD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BDAF30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9A989E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51</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681BB47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54</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09E6FB6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40</w:t>
            </w:r>
          </w:p>
        </w:tc>
      </w:tr>
      <w:tr w:rsidR="00CD0F3B" w:rsidRPr="00FF4BB5" w14:paraId="104FAE65"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2ADA1A8F"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  (</w:t>
            </w:r>
            <w:proofErr w:type="spellStart"/>
            <w:r w:rsidRPr="00FF4BB5">
              <w:rPr>
                <w:rFonts w:ascii="Arial" w:hAnsi="Arial"/>
                <w:color w:val="000000" w:themeColor="text1"/>
                <w:sz w:val="14"/>
                <w:szCs w:val="14"/>
              </w:rPr>
              <w:t>incl</w:t>
            </w:r>
            <w:proofErr w:type="spellEnd"/>
            <w:r w:rsidRPr="00FF4BB5">
              <w:rPr>
                <w:rFonts w:ascii="Arial" w:hAnsi="Arial"/>
                <w:color w:val="000000" w:themeColor="text1"/>
                <w:sz w:val="14"/>
                <w:szCs w:val="14"/>
              </w:rPr>
              <w:t xml:space="preserve"> LA and CG 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C39AAF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1B6025A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43</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291A82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8EBA46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28</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430EAF8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25718D8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33</w:t>
            </w:r>
          </w:p>
        </w:tc>
      </w:tr>
      <w:tr w:rsidR="00CD0F3B" w:rsidRPr="00FF4BB5" w14:paraId="21E3EB5E"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5BE20233"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87B507F"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DCBD62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FE4657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4815A6CD"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1ACEA2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619EBDC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28</w:t>
            </w:r>
          </w:p>
        </w:tc>
      </w:tr>
      <w:tr w:rsidR="00CD0F3B" w:rsidRPr="00FF4BB5" w14:paraId="1B56770D"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3FC93EBA"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6784DA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047983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5A8728C"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A3F074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4F060A6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35C9D75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r>
      <w:tr w:rsidR="00CD0F3B" w:rsidRPr="00FF4BB5" w14:paraId="5258ED71"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5F21F6C7"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35050DF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1DF5256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60A9B3F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696AF89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47D02A4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17F2A2B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w:t>
            </w:r>
          </w:p>
        </w:tc>
      </w:tr>
      <w:tr w:rsidR="00CD0F3B" w:rsidRPr="00FF4BB5" w14:paraId="7779C744" w14:textId="77777777" w:rsidTr="00512593">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9F346"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5169B8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4F58338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05BD741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501BA37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4F5A276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50A57B5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CD0F3B" w:rsidRPr="00FF4BB5" w14:paraId="6F9BA5BE"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15DE75EA"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125E4F61"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4717E6A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7AF840CC"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11</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20DAD1C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05AEF9A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24ABD87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r>
    </w:tbl>
    <w:p w14:paraId="41324E6D" w14:textId="77777777" w:rsidR="00CD0F3B" w:rsidRPr="00FF4BB5" w:rsidRDefault="00CD0F3B" w:rsidP="00CD0F3B">
      <w:pPr>
        <w:jc w:val="center"/>
        <w:rPr>
          <w:color w:val="000000" w:themeColor="text1"/>
        </w:rPr>
      </w:pPr>
    </w:p>
    <w:p w14:paraId="1B4C388B" w14:textId="03F35A1E" w:rsidR="00CD0F3B" w:rsidRPr="00FF4BB5" w:rsidRDefault="00CD0F3B" w:rsidP="00CD0F3B">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Table 4.</w:t>
      </w:r>
      <w:r w:rsidR="00692B5F" w:rsidRPr="00FF4BB5">
        <w:rPr>
          <w:rFonts w:ascii="Arial" w:eastAsia="Times New Roman" w:hAnsi="Arial" w:cs="Times New Roman"/>
          <w:b/>
          <w:bCs/>
          <w:color w:val="000000" w:themeColor="text1"/>
          <w:sz w:val="18"/>
          <w:szCs w:val="18"/>
        </w:rPr>
        <w:t>7</w:t>
      </w:r>
      <w:r w:rsidRPr="00FF4BB5">
        <w:rPr>
          <w:rFonts w:ascii="Arial" w:eastAsia="Times New Roman" w:hAnsi="Arial" w:cs="Times New Roman"/>
          <w:b/>
          <w:bCs/>
          <w:color w:val="000000" w:themeColor="text1"/>
          <w:sz w:val="18"/>
          <w:szCs w:val="18"/>
        </w:rPr>
        <w:t xml:space="preserve"> </w:t>
      </w:r>
    </w:p>
    <w:p w14:paraId="5621F540" w14:textId="7615F3B6" w:rsidR="00CD0F3B" w:rsidRPr="00FF4BB5" w:rsidRDefault="00CD0F3B" w:rsidP="00CD0F3B">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 xml:space="preserve">Tenure for individuals aged 65+ by </w:t>
      </w:r>
      <w:proofErr w:type="spellStart"/>
      <w:r w:rsidRPr="00FF4BB5">
        <w:rPr>
          <w:rFonts w:ascii="Arial" w:eastAsia="Times New Roman" w:hAnsi="Arial" w:cs="Times New Roman"/>
          <w:b/>
          <w:bCs/>
          <w:color w:val="000000" w:themeColor="text1"/>
          <w:sz w:val="18"/>
          <w:szCs w:val="18"/>
        </w:rPr>
        <w:t>unequivalised</w:t>
      </w:r>
      <w:proofErr w:type="spellEnd"/>
      <w:r w:rsidRPr="00FF4BB5">
        <w:rPr>
          <w:rFonts w:ascii="Arial" w:eastAsia="Times New Roman" w:hAnsi="Arial" w:cs="Times New Roman"/>
          <w:b/>
          <w:bCs/>
          <w:color w:val="000000" w:themeColor="text1"/>
          <w:sz w:val="18"/>
          <w:szCs w:val="18"/>
        </w:rPr>
        <w:t xml:space="preserve"> income quintile (% down),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CD0F3B" w:rsidRPr="00FF4BB5" w14:paraId="0258E997" w14:textId="77777777" w:rsidTr="00512593">
        <w:tc>
          <w:tcPr>
            <w:tcW w:w="2585" w:type="dxa"/>
            <w:tcBorders>
              <w:top w:val="single" w:sz="4" w:space="0" w:color="auto"/>
              <w:left w:val="single" w:sz="4" w:space="0" w:color="auto"/>
              <w:bottom w:val="single" w:sz="8" w:space="0" w:color="auto"/>
              <w:right w:val="single" w:sz="4" w:space="0" w:color="auto"/>
            </w:tcBorders>
            <w:vAlign w:val="center"/>
          </w:tcPr>
          <w:p w14:paraId="6FCA8066" w14:textId="77777777" w:rsidR="00CD0F3B" w:rsidRPr="00FF4BB5" w:rsidRDefault="00CD0F3B" w:rsidP="00512593">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46ACB553"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6AB51D1F"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412B24A6"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2F29CDD8"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71CAB3A1"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085A115E" w14:textId="77777777" w:rsidR="00CD0F3B" w:rsidRPr="00FF4BB5" w:rsidRDefault="00CD0F3B" w:rsidP="00512593">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CD0F3B" w:rsidRPr="00FF4BB5" w14:paraId="47795465" w14:textId="77777777" w:rsidTr="00512593">
        <w:tc>
          <w:tcPr>
            <w:tcW w:w="2585" w:type="dxa"/>
            <w:tcBorders>
              <w:top w:val="single" w:sz="8" w:space="0" w:color="auto"/>
              <w:left w:val="single" w:sz="4" w:space="0" w:color="auto"/>
              <w:bottom w:val="single" w:sz="4" w:space="0" w:color="auto"/>
              <w:right w:val="single" w:sz="4" w:space="0" w:color="auto"/>
            </w:tcBorders>
            <w:vAlign w:val="center"/>
          </w:tcPr>
          <w:p w14:paraId="2806004D"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946578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6A98A07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74</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7C501D6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66</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288549D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69</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1C6EB15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70</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5D95661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72</w:t>
            </w:r>
          </w:p>
        </w:tc>
      </w:tr>
      <w:tr w:rsidR="00CD0F3B" w:rsidRPr="00FF4BB5" w14:paraId="141F4B33"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14A785B4"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9C10A2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DAF6A1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D869C6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02AC20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43618F1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23</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10BBEA7C"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r>
      <w:tr w:rsidR="00CD0F3B" w:rsidRPr="00FF4BB5" w14:paraId="7A73C6E0"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0F94A731"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54DEB71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F23320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443A26C"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1BAB53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62C6F0B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050DB8B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12</w:t>
            </w:r>
          </w:p>
        </w:tc>
      </w:tr>
      <w:tr w:rsidR="00CD0F3B" w:rsidRPr="00FF4BB5" w14:paraId="4EC23815"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46A17862"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B942EE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3ED9267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BA4AFE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7FD8F4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56F8160"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21C2F1C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w:t>
            </w:r>
          </w:p>
        </w:tc>
      </w:tr>
      <w:tr w:rsidR="00CD0F3B" w:rsidRPr="00FF4BB5" w14:paraId="7C22D1A2"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0BEE60D6" w14:textId="77777777" w:rsidR="00CD0F3B" w:rsidRPr="00FF4BB5" w:rsidRDefault="00CD0F3B" w:rsidP="00512593">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305B81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D74866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A55DA4B"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6AA428C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36BDBA6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27A4E64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w:t>
            </w:r>
          </w:p>
        </w:tc>
      </w:tr>
      <w:tr w:rsidR="00CD0F3B" w:rsidRPr="00FF4BB5" w14:paraId="59BE88D2"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5ED13B9F"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4361" w:type="dxa"/>
            <w:gridSpan w:val="6"/>
            <w:tcBorders>
              <w:top w:val="single" w:sz="4" w:space="0" w:color="auto"/>
              <w:left w:val="single" w:sz="4" w:space="0" w:color="auto"/>
              <w:bottom w:val="single" w:sz="4" w:space="0" w:color="auto"/>
              <w:right w:val="single" w:sz="4" w:space="0" w:color="auto"/>
            </w:tcBorders>
            <w:tcMar>
              <w:right w:w="255" w:type="dxa"/>
            </w:tcMar>
            <w:vAlign w:val="center"/>
          </w:tcPr>
          <w:p w14:paraId="1BE921B3" w14:textId="77777777" w:rsidR="00CD0F3B" w:rsidRPr="00FF4BB5" w:rsidRDefault="00CD0F3B" w:rsidP="00512593">
            <w:pPr>
              <w:spacing w:before="30" w:after="30" w:line="240" w:lineRule="auto"/>
              <w:jc w:val="center"/>
              <w:rPr>
                <w:rFonts w:ascii="Arial" w:eastAsia="Times New Roman" w:hAnsi="Arial"/>
                <w:color w:val="000000" w:themeColor="text1"/>
                <w:sz w:val="14"/>
                <w:szCs w:val="14"/>
              </w:rPr>
            </w:pPr>
            <w:r w:rsidRPr="00FF4BB5">
              <w:rPr>
                <w:rFonts w:ascii="Arial Mäori" w:eastAsia="Times New Roman" w:hAnsi="Arial Mäori"/>
                <w:color w:val="000000" w:themeColor="text1"/>
                <w:sz w:val="12"/>
                <w:szCs w:val="12"/>
              </w:rPr>
              <w:t>Numbers are too small to reliably report on as a separate category</w:t>
            </w:r>
          </w:p>
        </w:tc>
      </w:tr>
      <w:tr w:rsidR="00CD0F3B" w:rsidRPr="00FF4BB5" w14:paraId="366D0C46" w14:textId="77777777" w:rsidTr="00512593">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3D459" w14:textId="77777777" w:rsidR="00CD0F3B" w:rsidRPr="00FF4BB5" w:rsidRDefault="00CD0F3B" w:rsidP="00512593">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2B466866"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471FD384"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2B024D3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55" w:type="dxa"/>
            </w:tcMar>
            <w:vAlign w:val="center"/>
          </w:tcPr>
          <w:p w14:paraId="1258FDCA"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right w:w="255" w:type="dxa"/>
            </w:tcMar>
            <w:vAlign w:val="center"/>
          </w:tcPr>
          <w:p w14:paraId="7B0CFACE"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c>
          <w:tcPr>
            <w:tcW w:w="72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right w:w="255" w:type="dxa"/>
            </w:tcMar>
            <w:vAlign w:val="center"/>
          </w:tcPr>
          <w:p w14:paraId="3BFEBB87"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CD0F3B" w:rsidRPr="00FF4BB5" w14:paraId="60A44E31" w14:textId="77777777" w:rsidTr="00512593">
        <w:tc>
          <w:tcPr>
            <w:tcW w:w="2585" w:type="dxa"/>
            <w:tcBorders>
              <w:top w:val="single" w:sz="4" w:space="0" w:color="auto"/>
              <w:left w:val="single" w:sz="4" w:space="0" w:color="auto"/>
              <w:bottom w:val="single" w:sz="4" w:space="0" w:color="auto"/>
              <w:right w:val="single" w:sz="4" w:space="0" w:color="auto"/>
            </w:tcBorders>
            <w:vAlign w:val="center"/>
          </w:tcPr>
          <w:p w14:paraId="107CB84B" w14:textId="77777777" w:rsidR="00CD0F3B" w:rsidRPr="00FF4BB5" w:rsidRDefault="00CD0F3B" w:rsidP="00512593">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Social rental as proportion of all rental</w:t>
            </w:r>
          </w:p>
        </w:tc>
        <w:tc>
          <w:tcPr>
            <w:tcW w:w="726"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1BB6C71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48</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4DFFF5B9"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27</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6F82A188"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4" w:space="0" w:color="auto"/>
            </w:tcBorders>
            <w:shd w:val="clear" w:color="auto" w:fill="auto"/>
            <w:tcMar>
              <w:right w:w="255" w:type="dxa"/>
            </w:tcMar>
            <w:vAlign w:val="center"/>
          </w:tcPr>
          <w:p w14:paraId="017BCAC2"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8" w:space="0" w:color="auto"/>
            </w:tcBorders>
            <w:shd w:val="clear" w:color="auto" w:fill="auto"/>
            <w:tcMar>
              <w:right w:w="255" w:type="dxa"/>
            </w:tcMar>
            <w:vAlign w:val="center"/>
          </w:tcPr>
          <w:p w14:paraId="051E1AC5"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tcMar>
              <w:right w:w="255" w:type="dxa"/>
            </w:tcMar>
            <w:vAlign w:val="center"/>
          </w:tcPr>
          <w:p w14:paraId="6EF5A413" w14:textId="77777777" w:rsidR="00CD0F3B" w:rsidRPr="00FF4BB5" w:rsidRDefault="00CD0F3B" w:rsidP="00512593">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38</w:t>
            </w:r>
          </w:p>
        </w:tc>
      </w:tr>
    </w:tbl>
    <w:p w14:paraId="78427B2C" w14:textId="77777777" w:rsidR="00692B5F" w:rsidRPr="00FF4BB5" w:rsidRDefault="00692B5F" w:rsidP="004B01B9">
      <w:pPr>
        <w:spacing w:after="0" w:line="240" w:lineRule="auto"/>
        <w:rPr>
          <w:rFonts w:ascii="Arial" w:hAnsi="Arial"/>
          <w:b/>
          <w:color w:val="000000" w:themeColor="text1"/>
          <w:sz w:val="28"/>
          <w:highlight w:val="yellow"/>
        </w:rPr>
      </w:pPr>
    </w:p>
    <w:p w14:paraId="61AB549C" w14:textId="77777777" w:rsidR="00692B5F" w:rsidRPr="00FF4BB5" w:rsidRDefault="00692B5F">
      <w:pPr>
        <w:spacing w:after="0" w:line="240" w:lineRule="auto"/>
        <w:rPr>
          <w:rFonts w:ascii="Arial" w:hAnsi="Arial"/>
          <w:b/>
          <w:color w:val="000000" w:themeColor="text1"/>
          <w:sz w:val="28"/>
          <w:highlight w:val="yellow"/>
        </w:rPr>
      </w:pPr>
    </w:p>
    <w:p w14:paraId="1F51B105" w14:textId="77777777" w:rsidR="00EA6710" w:rsidRPr="00FF4BB5" w:rsidRDefault="00EA6710">
      <w:pPr>
        <w:spacing w:after="0" w:line="240" w:lineRule="auto"/>
        <w:rPr>
          <w:rFonts w:ascii="Arial" w:hAnsi="Arial"/>
          <w:b/>
          <w:color w:val="000000" w:themeColor="text1"/>
          <w:sz w:val="22"/>
          <w:szCs w:val="18"/>
        </w:rPr>
      </w:pPr>
      <w:r w:rsidRPr="00FF4BB5">
        <w:rPr>
          <w:rFonts w:ascii="Arial" w:hAnsi="Arial"/>
          <w:b/>
          <w:color w:val="000000" w:themeColor="text1"/>
          <w:sz w:val="22"/>
          <w:szCs w:val="18"/>
        </w:rPr>
        <w:br w:type="page"/>
      </w:r>
    </w:p>
    <w:p w14:paraId="22B93241" w14:textId="7C3E2971" w:rsidR="00692B5F" w:rsidRPr="00FF4BB5" w:rsidRDefault="001B4D57">
      <w:pPr>
        <w:spacing w:after="0" w:line="240" w:lineRule="auto"/>
        <w:rPr>
          <w:rFonts w:ascii="Arial" w:hAnsi="Arial"/>
          <w:b/>
          <w:color w:val="000000" w:themeColor="text1"/>
          <w:sz w:val="22"/>
          <w:szCs w:val="18"/>
        </w:rPr>
      </w:pPr>
      <w:r w:rsidRPr="00FF4BB5">
        <w:rPr>
          <w:rFonts w:ascii="Arial" w:hAnsi="Arial"/>
          <w:b/>
          <w:color w:val="000000" w:themeColor="text1"/>
          <w:sz w:val="22"/>
          <w:szCs w:val="18"/>
        </w:rPr>
        <w:lastRenderedPageBreak/>
        <w:t>Composition across quintiles for different tenures</w:t>
      </w:r>
    </w:p>
    <w:p w14:paraId="77C8C7E3" w14:textId="6CA948C5" w:rsidR="001B4D57" w:rsidRPr="00FF4BB5" w:rsidRDefault="001B4D57">
      <w:pPr>
        <w:spacing w:after="0" w:line="240" w:lineRule="auto"/>
        <w:rPr>
          <w:rFonts w:ascii="Arial" w:hAnsi="Arial"/>
          <w:b/>
          <w:color w:val="000000" w:themeColor="text1"/>
          <w:sz w:val="22"/>
          <w:szCs w:val="18"/>
        </w:rPr>
      </w:pPr>
    </w:p>
    <w:p w14:paraId="0F6BD539" w14:textId="77777777" w:rsidR="001B4D57" w:rsidRPr="00FF4BB5" w:rsidRDefault="001B4D57">
      <w:pPr>
        <w:spacing w:after="0" w:line="240" w:lineRule="auto"/>
        <w:rPr>
          <w:rFonts w:ascii="Arial" w:hAnsi="Arial"/>
          <w:bCs/>
          <w:color w:val="000000" w:themeColor="text1"/>
          <w:szCs w:val="20"/>
        </w:rPr>
      </w:pPr>
      <w:r w:rsidRPr="00FF4BB5">
        <w:rPr>
          <w:rFonts w:ascii="Arial" w:hAnsi="Arial"/>
          <w:b/>
          <w:color w:val="000000" w:themeColor="text1"/>
          <w:szCs w:val="20"/>
        </w:rPr>
        <w:t xml:space="preserve">Tables 4.8 and 4.9 </w:t>
      </w:r>
      <w:r w:rsidRPr="00FF4BB5">
        <w:rPr>
          <w:rFonts w:ascii="Arial" w:hAnsi="Arial"/>
          <w:bCs/>
          <w:color w:val="000000" w:themeColor="text1"/>
          <w:szCs w:val="20"/>
        </w:rPr>
        <w:t>report the distribution of tenure across income quintiles (in contrast to the ‘down’ approach in the tables above.</w:t>
      </w:r>
    </w:p>
    <w:p w14:paraId="3F433935" w14:textId="77777777" w:rsidR="001B4D57" w:rsidRPr="00FF4BB5" w:rsidRDefault="001B4D57">
      <w:pPr>
        <w:spacing w:after="0" w:line="240" w:lineRule="auto"/>
        <w:rPr>
          <w:rFonts w:ascii="Arial" w:hAnsi="Arial"/>
          <w:bCs/>
          <w:color w:val="000000" w:themeColor="text1"/>
          <w:szCs w:val="20"/>
        </w:rPr>
      </w:pPr>
    </w:p>
    <w:p w14:paraId="3559B0C4" w14:textId="2727AC90" w:rsidR="001B4D57" w:rsidRPr="00FF4BB5" w:rsidRDefault="001B4D57">
      <w:pPr>
        <w:spacing w:after="0" w:line="240" w:lineRule="auto"/>
        <w:rPr>
          <w:rFonts w:ascii="Arial" w:hAnsi="Arial"/>
          <w:bCs/>
          <w:color w:val="000000" w:themeColor="text1"/>
          <w:szCs w:val="20"/>
        </w:rPr>
      </w:pPr>
      <w:r w:rsidRPr="00FF4BB5">
        <w:rPr>
          <w:rFonts w:ascii="Arial" w:hAnsi="Arial"/>
          <w:bCs/>
          <w:color w:val="000000" w:themeColor="text1"/>
          <w:szCs w:val="20"/>
        </w:rPr>
        <w:t xml:space="preserve">This shows, for example, that for the whole population only 8% of households with a mortgage are in the bottom quintile, yet for those aged 65+, 41% of this group are in the bottom quintile. </w:t>
      </w:r>
    </w:p>
    <w:p w14:paraId="3813D193" w14:textId="6B5BD642" w:rsidR="001B4D57" w:rsidRPr="00FF4BB5" w:rsidRDefault="001B4D57">
      <w:pPr>
        <w:spacing w:after="0" w:line="240" w:lineRule="auto"/>
        <w:rPr>
          <w:rFonts w:ascii="Arial" w:hAnsi="Arial"/>
          <w:bCs/>
          <w:color w:val="000000" w:themeColor="text1"/>
          <w:szCs w:val="20"/>
        </w:rPr>
      </w:pPr>
    </w:p>
    <w:p w14:paraId="3D37845C" w14:textId="0BACFCD2" w:rsidR="001B4D57" w:rsidRPr="00FF4BB5" w:rsidRDefault="001B4D57">
      <w:pPr>
        <w:spacing w:after="0" w:line="240" w:lineRule="auto"/>
        <w:rPr>
          <w:rFonts w:ascii="Arial" w:hAnsi="Arial"/>
          <w:bCs/>
          <w:color w:val="000000" w:themeColor="text1"/>
          <w:szCs w:val="20"/>
        </w:rPr>
      </w:pPr>
      <w:r w:rsidRPr="00FF4BB5">
        <w:rPr>
          <w:rFonts w:ascii="Arial" w:hAnsi="Arial"/>
          <w:bCs/>
          <w:color w:val="000000" w:themeColor="text1"/>
          <w:szCs w:val="20"/>
        </w:rPr>
        <w:t>It is no surprise that 72% of those in social / public housing are in the lowest income quintile, but it is encouraging to see that the survey produces a very realistic number for this relatively small group. The figure rises to 87% for those aged 65+.</w:t>
      </w:r>
    </w:p>
    <w:p w14:paraId="329690D5" w14:textId="77777777" w:rsidR="0051698F" w:rsidRPr="00FF4BB5" w:rsidRDefault="0051698F">
      <w:pPr>
        <w:spacing w:after="0" w:line="240" w:lineRule="auto"/>
        <w:rPr>
          <w:rFonts w:ascii="Arial" w:hAnsi="Arial"/>
          <w:b/>
          <w:color w:val="000000" w:themeColor="text1"/>
          <w:sz w:val="22"/>
          <w:szCs w:val="18"/>
        </w:rPr>
      </w:pPr>
    </w:p>
    <w:p w14:paraId="35C9BD42" w14:textId="7DD028DB" w:rsidR="00692B5F" w:rsidRPr="00FF4BB5" w:rsidRDefault="00692B5F" w:rsidP="00692B5F">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Table 4.8</w:t>
      </w:r>
    </w:p>
    <w:p w14:paraId="176E580F" w14:textId="5D7CA28B" w:rsidR="00692B5F" w:rsidRPr="00FF4BB5" w:rsidRDefault="00692B5F" w:rsidP="00692B5F">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 xml:space="preserve">Tenure for </w:t>
      </w:r>
      <w:r w:rsidR="00512593" w:rsidRPr="00FF4BB5">
        <w:rPr>
          <w:rFonts w:ascii="Arial" w:eastAsia="Times New Roman" w:hAnsi="Arial" w:cs="Times New Roman"/>
          <w:b/>
          <w:bCs/>
          <w:color w:val="000000" w:themeColor="text1"/>
          <w:sz w:val="18"/>
          <w:szCs w:val="18"/>
        </w:rPr>
        <w:t>households</w:t>
      </w:r>
      <w:r w:rsidRPr="00FF4BB5">
        <w:rPr>
          <w:rFonts w:ascii="Arial" w:eastAsia="Times New Roman" w:hAnsi="Arial" w:cs="Times New Roman"/>
          <w:b/>
          <w:bCs/>
          <w:color w:val="000000" w:themeColor="text1"/>
          <w:sz w:val="18"/>
          <w:szCs w:val="18"/>
        </w:rPr>
        <w:t xml:space="preserve"> by income quintile (% across), HES 2017-18 </w:t>
      </w:r>
    </w:p>
    <w:tbl>
      <w:tblPr>
        <w:tblStyle w:val="TableGrid"/>
        <w:tblW w:w="0" w:type="auto"/>
        <w:tblInd w:w="699" w:type="dxa"/>
        <w:tblLook w:val="04A0" w:firstRow="1" w:lastRow="0" w:firstColumn="1" w:lastColumn="0" w:noHBand="0" w:noVBand="1"/>
      </w:tblPr>
      <w:tblGrid>
        <w:gridCol w:w="2585"/>
        <w:gridCol w:w="726"/>
        <w:gridCol w:w="727"/>
        <w:gridCol w:w="727"/>
        <w:gridCol w:w="727"/>
        <w:gridCol w:w="727"/>
        <w:gridCol w:w="830"/>
      </w:tblGrid>
      <w:tr w:rsidR="00073D1C" w:rsidRPr="00FF4BB5" w14:paraId="0DAC5996" w14:textId="77777777" w:rsidTr="00073D1C">
        <w:tc>
          <w:tcPr>
            <w:tcW w:w="2585" w:type="dxa"/>
            <w:shd w:val="clear" w:color="auto" w:fill="auto"/>
            <w:vAlign w:val="center"/>
          </w:tcPr>
          <w:p w14:paraId="7F34EB12" w14:textId="7C13D310" w:rsidR="00073D1C" w:rsidRPr="00FF4BB5" w:rsidRDefault="00073D1C" w:rsidP="00073D1C">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 </w:t>
            </w:r>
          </w:p>
        </w:tc>
        <w:tc>
          <w:tcPr>
            <w:tcW w:w="726" w:type="dxa"/>
            <w:shd w:val="clear" w:color="auto" w:fill="auto"/>
            <w:vAlign w:val="center"/>
          </w:tcPr>
          <w:p w14:paraId="2C2B1783" w14:textId="36182DA5"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Q1</w:t>
            </w:r>
          </w:p>
        </w:tc>
        <w:tc>
          <w:tcPr>
            <w:tcW w:w="727" w:type="dxa"/>
            <w:shd w:val="clear" w:color="auto" w:fill="auto"/>
            <w:vAlign w:val="center"/>
          </w:tcPr>
          <w:p w14:paraId="0C31CDBE" w14:textId="6E4543F1"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Q2</w:t>
            </w:r>
          </w:p>
        </w:tc>
        <w:tc>
          <w:tcPr>
            <w:tcW w:w="727" w:type="dxa"/>
            <w:shd w:val="clear" w:color="auto" w:fill="auto"/>
            <w:vAlign w:val="center"/>
          </w:tcPr>
          <w:p w14:paraId="6DAE9AA2" w14:textId="77C95D12"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Q3</w:t>
            </w:r>
          </w:p>
        </w:tc>
        <w:tc>
          <w:tcPr>
            <w:tcW w:w="727" w:type="dxa"/>
            <w:shd w:val="clear" w:color="auto" w:fill="auto"/>
            <w:vAlign w:val="center"/>
          </w:tcPr>
          <w:p w14:paraId="5E6F23EC" w14:textId="5C121088"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Q4</w:t>
            </w:r>
          </w:p>
        </w:tc>
        <w:tc>
          <w:tcPr>
            <w:tcW w:w="727" w:type="dxa"/>
            <w:shd w:val="clear" w:color="auto" w:fill="auto"/>
            <w:vAlign w:val="center"/>
          </w:tcPr>
          <w:p w14:paraId="68C2044D" w14:textId="75597384"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Q5</w:t>
            </w:r>
          </w:p>
        </w:tc>
        <w:tc>
          <w:tcPr>
            <w:tcW w:w="830" w:type="dxa"/>
            <w:shd w:val="clear" w:color="auto" w:fill="auto"/>
            <w:vAlign w:val="center"/>
          </w:tcPr>
          <w:p w14:paraId="762BE991" w14:textId="4B49E03F" w:rsidR="00073D1C" w:rsidRPr="00FF4BB5" w:rsidRDefault="00073D1C" w:rsidP="00073D1C">
            <w:pPr>
              <w:spacing w:before="30" w:after="30" w:line="240" w:lineRule="auto"/>
              <w:jc w:val="center"/>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r>
      <w:tr w:rsidR="00073D1C" w:rsidRPr="00FF4BB5" w14:paraId="476C98B9" w14:textId="77777777" w:rsidTr="00073D1C">
        <w:tc>
          <w:tcPr>
            <w:tcW w:w="2585" w:type="dxa"/>
            <w:shd w:val="clear" w:color="auto" w:fill="auto"/>
            <w:vAlign w:val="center"/>
          </w:tcPr>
          <w:p w14:paraId="27F5975A" w14:textId="09F483DB" w:rsidR="00073D1C" w:rsidRPr="00FF4BB5" w:rsidRDefault="00073D1C" w:rsidP="00073D1C">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shd w:val="clear" w:color="auto" w:fill="auto"/>
            <w:noWrap/>
            <w:tcMar>
              <w:right w:w="255" w:type="dxa"/>
            </w:tcMar>
            <w:vAlign w:val="center"/>
          </w:tcPr>
          <w:p w14:paraId="13BC1298" w14:textId="5038093B"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25</w:t>
            </w:r>
          </w:p>
        </w:tc>
        <w:tc>
          <w:tcPr>
            <w:tcW w:w="727" w:type="dxa"/>
            <w:shd w:val="clear" w:color="auto" w:fill="auto"/>
            <w:noWrap/>
            <w:tcMar>
              <w:right w:w="255" w:type="dxa"/>
            </w:tcMar>
            <w:vAlign w:val="center"/>
          </w:tcPr>
          <w:p w14:paraId="3121FBDB" w14:textId="3F580545"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noWrap/>
            <w:tcMar>
              <w:right w:w="255" w:type="dxa"/>
            </w:tcMar>
            <w:vAlign w:val="center"/>
          </w:tcPr>
          <w:p w14:paraId="7FC7C198" w14:textId="55F9396B"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16</w:t>
            </w:r>
          </w:p>
        </w:tc>
        <w:tc>
          <w:tcPr>
            <w:tcW w:w="727" w:type="dxa"/>
            <w:shd w:val="clear" w:color="auto" w:fill="auto"/>
            <w:noWrap/>
            <w:tcMar>
              <w:right w:w="255" w:type="dxa"/>
            </w:tcMar>
            <w:vAlign w:val="center"/>
          </w:tcPr>
          <w:p w14:paraId="2D5AD789" w14:textId="4705DAFE"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15</w:t>
            </w:r>
          </w:p>
        </w:tc>
        <w:tc>
          <w:tcPr>
            <w:tcW w:w="727" w:type="dxa"/>
            <w:shd w:val="clear" w:color="auto" w:fill="auto"/>
            <w:noWrap/>
            <w:tcMar>
              <w:right w:w="255" w:type="dxa"/>
            </w:tcMar>
            <w:vAlign w:val="center"/>
          </w:tcPr>
          <w:p w14:paraId="110B6B3A" w14:textId="481E0777"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830" w:type="dxa"/>
            <w:shd w:val="clear" w:color="auto" w:fill="auto"/>
            <w:noWrap/>
            <w:tcMar>
              <w:right w:w="255" w:type="dxa"/>
            </w:tcMar>
            <w:vAlign w:val="center"/>
          </w:tcPr>
          <w:p w14:paraId="7E1D5C58" w14:textId="05722749"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73D1C" w:rsidRPr="00FF4BB5" w14:paraId="06C87E53" w14:textId="77777777" w:rsidTr="00073D1C">
        <w:tc>
          <w:tcPr>
            <w:tcW w:w="2585" w:type="dxa"/>
            <w:shd w:val="clear" w:color="auto" w:fill="auto"/>
            <w:vAlign w:val="center"/>
          </w:tcPr>
          <w:p w14:paraId="2C2BDBAF" w14:textId="1C5E1330" w:rsidR="00073D1C" w:rsidRPr="00FF4BB5" w:rsidRDefault="00073D1C" w:rsidP="00073D1C">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shd w:val="clear" w:color="auto" w:fill="auto"/>
            <w:noWrap/>
            <w:tcMar>
              <w:right w:w="255" w:type="dxa"/>
            </w:tcMar>
            <w:vAlign w:val="center"/>
          </w:tcPr>
          <w:p w14:paraId="29978053" w14:textId="50757005"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shd w:val="clear" w:color="auto" w:fill="auto"/>
            <w:noWrap/>
            <w:tcMar>
              <w:right w:w="255" w:type="dxa"/>
            </w:tcMar>
            <w:vAlign w:val="center"/>
          </w:tcPr>
          <w:p w14:paraId="3422A906" w14:textId="62305508"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17</w:t>
            </w:r>
          </w:p>
        </w:tc>
        <w:tc>
          <w:tcPr>
            <w:tcW w:w="727" w:type="dxa"/>
            <w:shd w:val="clear" w:color="auto" w:fill="auto"/>
            <w:noWrap/>
            <w:tcMar>
              <w:right w:w="255" w:type="dxa"/>
            </w:tcMar>
            <w:vAlign w:val="center"/>
          </w:tcPr>
          <w:p w14:paraId="30BB1FDA" w14:textId="38F2F0B6"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22</w:t>
            </w:r>
          </w:p>
        </w:tc>
        <w:tc>
          <w:tcPr>
            <w:tcW w:w="727" w:type="dxa"/>
            <w:shd w:val="clear" w:color="auto" w:fill="auto"/>
            <w:noWrap/>
            <w:tcMar>
              <w:right w:w="255" w:type="dxa"/>
            </w:tcMar>
            <w:vAlign w:val="center"/>
          </w:tcPr>
          <w:p w14:paraId="15C1AB6A" w14:textId="0EF13FD1"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27</w:t>
            </w:r>
          </w:p>
        </w:tc>
        <w:tc>
          <w:tcPr>
            <w:tcW w:w="727" w:type="dxa"/>
            <w:shd w:val="clear" w:color="auto" w:fill="auto"/>
            <w:noWrap/>
            <w:tcMar>
              <w:right w:w="255" w:type="dxa"/>
            </w:tcMar>
            <w:vAlign w:val="center"/>
          </w:tcPr>
          <w:p w14:paraId="41D9C458" w14:textId="5D382CE5"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26</w:t>
            </w:r>
          </w:p>
        </w:tc>
        <w:tc>
          <w:tcPr>
            <w:tcW w:w="830" w:type="dxa"/>
            <w:shd w:val="clear" w:color="auto" w:fill="auto"/>
            <w:noWrap/>
            <w:tcMar>
              <w:right w:w="255" w:type="dxa"/>
            </w:tcMar>
            <w:vAlign w:val="center"/>
          </w:tcPr>
          <w:p w14:paraId="5A4E3EB5" w14:textId="7C7089D0"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73D1C" w:rsidRPr="00FF4BB5" w14:paraId="03780089" w14:textId="77777777" w:rsidTr="00073D1C">
        <w:tc>
          <w:tcPr>
            <w:tcW w:w="2585" w:type="dxa"/>
            <w:shd w:val="clear" w:color="auto" w:fill="auto"/>
            <w:vAlign w:val="center"/>
          </w:tcPr>
          <w:p w14:paraId="54A2DE17" w14:textId="06EABA0B" w:rsidR="00073D1C" w:rsidRPr="00FF4BB5" w:rsidRDefault="00073D1C" w:rsidP="00073D1C">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shd w:val="clear" w:color="auto" w:fill="auto"/>
            <w:noWrap/>
            <w:tcMar>
              <w:right w:w="255" w:type="dxa"/>
            </w:tcMar>
            <w:vAlign w:val="center"/>
          </w:tcPr>
          <w:p w14:paraId="072EEB15" w14:textId="1037B1FC"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28</w:t>
            </w:r>
          </w:p>
        </w:tc>
        <w:tc>
          <w:tcPr>
            <w:tcW w:w="727" w:type="dxa"/>
            <w:shd w:val="clear" w:color="auto" w:fill="auto"/>
            <w:noWrap/>
            <w:tcMar>
              <w:right w:w="255" w:type="dxa"/>
            </w:tcMar>
            <w:vAlign w:val="center"/>
          </w:tcPr>
          <w:p w14:paraId="2DFD2620" w14:textId="650ECDD9"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shd w:val="clear" w:color="auto" w:fill="auto"/>
            <w:noWrap/>
            <w:tcMar>
              <w:right w:w="255" w:type="dxa"/>
            </w:tcMar>
            <w:vAlign w:val="center"/>
          </w:tcPr>
          <w:p w14:paraId="63AC5484" w14:textId="6FEF6EC2"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21</w:t>
            </w:r>
          </w:p>
        </w:tc>
        <w:tc>
          <w:tcPr>
            <w:tcW w:w="727" w:type="dxa"/>
            <w:shd w:val="clear" w:color="auto" w:fill="auto"/>
            <w:noWrap/>
            <w:tcMar>
              <w:right w:w="255" w:type="dxa"/>
            </w:tcMar>
            <w:vAlign w:val="center"/>
          </w:tcPr>
          <w:p w14:paraId="65334350" w14:textId="6D7D78ED"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18</w:t>
            </w:r>
          </w:p>
        </w:tc>
        <w:tc>
          <w:tcPr>
            <w:tcW w:w="727" w:type="dxa"/>
            <w:shd w:val="clear" w:color="auto" w:fill="auto"/>
            <w:noWrap/>
            <w:tcMar>
              <w:right w:w="255" w:type="dxa"/>
            </w:tcMar>
            <w:vAlign w:val="center"/>
          </w:tcPr>
          <w:p w14:paraId="7AAA3B76" w14:textId="4EA83C19"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830" w:type="dxa"/>
            <w:shd w:val="clear" w:color="auto" w:fill="auto"/>
            <w:noWrap/>
            <w:tcMar>
              <w:right w:w="255" w:type="dxa"/>
            </w:tcMar>
            <w:vAlign w:val="center"/>
          </w:tcPr>
          <w:p w14:paraId="6FB8112E" w14:textId="2269A084"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73D1C" w:rsidRPr="00FF4BB5" w14:paraId="32E4E46B" w14:textId="77777777" w:rsidTr="00073D1C">
        <w:tc>
          <w:tcPr>
            <w:tcW w:w="2585" w:type="dxa"/>
            <w:shd w:val="clear" w:color="auto" w:fill="auto"/>
            <w:vAlign w:val="center"/>
          </w:tcPr>
          <w:p w14:paraId="2DB92DC2" w14:textId="2D25A3FD" w:rsidR="00073D1C" w:rsidRPr="00FF4BB5" w:rsidRDefault="00073D1C" w:rsidP="00073D1C">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shd w:val="clear" w:color="auto" w:fill="auto"/>
            <w:noWrap/>
            <w:tcMar>
              <w:right w:w="170" w:type="dxa"/>
            </w:tcMar>
            <w:vAlign w:val="center"/>
          </w:tcPr>
          <w:p w14:paraId="341D48D7" w14:textId="5E146D8F"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noWrap/>
            <w:tcMar>
              <w:right w:w="170" w:type="dxa"/>
            </w:tcMar>
            <w:vAlign w:val="center"/>
          </w:tcPr>
          <w:p w14:paraId="62802004" w14:textId="551E1ADC"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25</w:t>
            </w:r>
          </w:p>
        </w:tc>
        <w:tc>
          <w:tcPr>
            <w:tcW w:w="727" w:type="dxa"/>
            <w:shd w:val="clear" w:color="auto" w:fill="auto"/>
            <w:noWrap/>
            <w:tcMar>
              <w:right w:w="170" w:type="dxa"/>
            </w:tcMar>
            <w:vAlign w:val="center"/>
          </w:tcPr>
          <w:p w14:paraId="68593755" w14:textId="3EF0BBC0"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24</w:t>
            </w:r>
          </w:p>
        </w:tc>
        <w:tc>
          <w:tcPr>
            <w:tcW w:w="727" w:type="dxa"/>
            <w:shd w:val="clear" w:color="auto" w:fill="auto"/>
            <w:noWrap/>
            <w:tcMar>
              <w:right w:w="170" w:type="dxa"/>
            </w:tcMar>
            <w:vAlign w:val="center"/>
          </w:tcPr>
          <w:p w14:paraId="41AC97B6" w14:textId="4EC6215B"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21</w:t>
            </w:r>
          </w:p>
        </w:tc>
        <w:tc>
          <w:tcPr>
            <w:tcW w:w="727" w:type="dxa"/>
            <w:shd w:val="clear" w:color="auto" w:fill="auto"/>
            <w:noWrap/>
            <w:tcMar>
              <w:right w:w="170" w:type="dxa"/>
            </w:tcMar>
            <w:vAlign w:val="center"/>
          </w:tcPr>
          <w:p w14:paraId="1545072C" w14:textId="24A9D59F"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11</w:t>
            </w:r>
          </w:p>
        </w:tc>
        <w:tc>
          <w:tcPr>
            <w:tcW w:w="830" w:type="dxa"/>
            <w:shd w:val="clear" w:color="auto" w:fill="auto"/>
            <w:noWrap/>
            <w:tcMar>
              <w:right w:w="170" w:type="dxa"/>
            </w:tcMar>
            <w:vAlign w:val="center"/>
          </w:tcPr>
          <w:p w14:paraId="1430E599" w14:textId="7B79ACC2"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73D1C" w:rsidRPr="00FF4BB5" w14:paraId="2A4E7467" w14:textId="77777777" w:rsidTr="00073D1C">
        <w:tc>
          <w:tcPr>
            <w:tcW w:w="2585" w:type="dxa"/>
            <w:shd w:val="clear" w:color="auto" w:fill="auto"/>
            <w:vAlign w:val="center"/>
          </w:tcPr>
          <w:p w14:paraId="121B9B70" w14:textId="5185C7A2" w:rsidR="00073D1C" w:rsidRPr="00FF4BB5" w:rsidRDefault="00073D1C" w:rsidP="00073D1C">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shd w:val="clear" w:color="auto" w:fill="auto"/>
            <w:noWrap/>
            <w:tcMar>
              <w:right w:w="170" w:type="dxa"/>
            </w:tcMar>
            <w:vAlign w:val="center"/>
          </w:tcPr>
          <w:p w14:paraId="4826E4DD" w14:textId="379AAB05"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72</w:t>
            </w:r>
          </w:p>
        </w:tc>
        <w:tc>
          <w:tcPr>
            <w:tcW w:w="727" w:type="dxa"/>
            <w:shd w:val="clear" w:color="auto" w:fill="auto"/>
            <w:noWrap/>
            <w:tcMar>
              <w:right w:w="170" w:type="dxa"/>
            </w:tcMar>
            <w:vAlign w:val="center"/>
          </w:tcPr>
          <w:p w14:paraId="1726CF93" w14:textId="5F680EA0"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19</w:t>
            </w:r>
          </w:p>
        </w:tc>
        <w:tc>
          <w:tcPr>
            <w:tcW w:w="727" w:type="dxa"/>
            <w:shd w:val="clear" w:color="auto" w:fill="auto"/>
            <w:noWrap/>
            <w:tcMar>
              <w:right w:w="170" w:type="dxa"/>
            </w:tcMar>
            <w:vAlign w:val="center"/>
          </w:tcPr>
          <w:p w14:paraId="46F5F359" w14:textId="20E1215F"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shd w:val="clear" w:color="auto" w:fill="auto"/>
            <w:noWrap/>
            <w:tcMar>
              <w:right w:w="170" w:type="dxa"/>
            </w:tcMar>
            <w:vAlign w:val="center"/>
          </w:tcPr>
          <w:p w14:paraId="648578F8" w14:textId="1C1EEED9"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w:t>
            </w:r>
          </w:p>
        </w:tc>
        <w:tc>
          <w:tcPr>
            <w:tcW w:w="727" w:type="dxa"/>
            <w:shd w:val="clear" w:color="auto" w:fill="auto"/>
            <w:noWrap/>
            <w:tcMar>
              <w:right w:w="170" w:type="dxa"/>
            </w:tcMar>
            <w:vAlign w:val="center"/>
          </w:tcPr>
          <w:p w14:paraId="6F7EA18D" w14:textId="2DB51449"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0</w:t>
            </w:r>
          </w:p>
        </w:tc>
        <w:tc>
          <w:tcPr>
            <w:tcW w:w="830" w:type="dxa"/>
            <w:shd w:val="clear" w:color="auto" w:fill="auto"/>
            <w:noWrap/>
            <w:tcMar>
              <w:right w:w="170" w:type="dxa"/>
            </w:tcMar>
            <w:vAlign w:val="center"/>
          </w:tcPr>
          <w:p w14:paraId="680887CB" w14:textId="776CCAF5"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073D1C" w:rsidRPr="00FF4BB5" w14:paraId="1E8E89A5" w14:textId="77777777" w:rsidTr="00073D1C">
        <w:tc>
          <w:tcPr>
            <w:tcW w:w="2585" w:type="dxa"/>
            <w:shd w:val="clear" w:color="auto" w:fill="auto"/>
            <w:vAlign w:val="center"/>
          </w:tcPr>
          <w:p w14:paraId="609082E8" w14:textId="58D843B8" w:rsidR="00073D1C" w:rsidRPr="00FF4BB5" w:rsidRDefault="00073D1C" w:rsidP="00073D1C">
            <w:pPr>
              <w:spacing w:before="30" w:after="30" w:line="240" w:lineRule="auto"/>
              <w:ind w:left="179"/>
              <w:rPr>
                <w:rFonts w:ascii="Arial" w:hAnsi="Arial"/>
                <w:color w:val="000000" w:themeColor="text1"/>
                <w:sz w:val="14"/>
                <w:szCs w:val="14"/>
              </w:rPr>
            </w:pPr>
            <w:r w:rsidRPr="00FF4BB5">
              <w:rPr>
                <w:rFonts w:ascii="Arial" w:hAnsi="Arial"/>
                <w:color w:val="000000" w:themeColor="text1"/>
                <w:sz w:val="14"/>
                <w:szCs w:val="14"/>
              </w:rPr>
              <w:t>Other</w:t>
            </w:r>
          </w:p>
        </w:tc>
        <w:tc>
          <w:tcPr>
            <w:tcW w:w="726" w:type="dxa"/>
            <w:shd w:val="clear" w:color="auto" w:fill="auto"/>
            <w:noWrap/>
            <w:tcMar>
              <w:right w:w="113" w:type="dxa"/>
            </w:tcMar>
            <w:vAlign w:val="center"/>
          </w:tcPr>
          <w:p w14:paraId="22FAF27F" w14:textId="7BAABF7C"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29</w:t>
            </w:r>
          </w:p>
        </w:tc>
        <w:tc>
          <w:tcPr>
            <w:tcW w:w="727" w:type="dxa"/>
            <w:shd w:val="clear" w:color="auto" w:fill="auto"/>
            <w:noWrap/>
            <w:tcMar>
              <w:right w:w="113" w:type="dxa"/>
            </w:tcMar>
            <w:vAlign w:val="center"/>
          </w:tcPr>
          <w:p w14:paraId="1035C16A" w14:textId="6080E97D"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21</w:t>
            </w:r>
          </w:p>
        </w:tc>
        <w:tc>
          <w:tcPr>
            <w:tcW w:w="727" w:type="dxa"/>
            <w:shd w:val="clear" w:color="auto" w:fill="auto"/>
            <w:noWrap/>
            <w:tcMar>
              <w:right w:w="113" w:type="dxa"/>
            </w:tcMar>
            <w:vAlign w:val="center"/>
          </w:tcPr>
          <w:p w14:paraId="7949B9B9" w14:textId="4C8A3A8C"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21</w:t>
            </w:r>
          </w:p>
        </w:tc>
        <w:tc>
          <w:tcPr>
            <w:tcW w:w="727" w:type="dxa"/>
            <w:shd w:val="clear" w:color="auto" w:fill="auto"/>
            <w:noWrap/>
            <w:tcMar>
              <w:right w:w="113" w:type="dxa"/>
            </w:tcMar>
            <w:vAlign w:val="center"/>
          </w:tcPr>
          <w:p w14:paraId="1C66F395" w14:textId="6DF4FA67"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18</w:t>
            </w:r>
          </w:p>
        </w:tc>
        <w:tc>
          <w:tcPr>
            <w:tcW w:w="727" w:type="dxa"/>
            <w:shd w:val="clear" w:color="auto" w:fill="auto"/>
            <w:noWrap/>
            <w:tcMar>
              <w:right w:w="113" w:type="dxa"/>
            </w:tcMar>
            <w:vAlign w:val="center"/>
          </w:tcPr>
          <w:p w14:paraId="349B5AE5" w14:textId="6A3730AF"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11</w:t>
            </w:r>
          </w:p>
        </w:tc>
        <w:tc>
          <w:tcPr>
            <w:tcW w:w="830" w:type="dxa"/>
            <w:shd w:val="clear" w:color="auto" w:fill="auto"/>
            <w:noWrap/>
            <w:tcMar>
              <w:right w:w="113" w:type="dxa"/>
            </w:tcMar>
            <w:vAlign w:val="center"/>
          </w:tcPr>
          <w:p w14:paraId="46FACCC5" w14:textId="62539FBC" w:rsidR="00073D1C" w:rsidRPr="00FF4BB5" w:rsidRDefault="00073D1C" w:rsidP="00073D1C">
            <w:pPr>
              <w:spacing w:before="30" w:after="30" w:line="240" w:lineRule="auto"/>
              <w:jc w:val="center"/>
              <w:rPr>
                <w:rFonts w:ascii="Arial" w:hAnsi="Arial"/>
                <w:color w:val="000000" w:themeColor="text1"/>
                <w:sz w:val="14"/>
                <w:szCs w:val="14"/>
              </w:rPr>
            </w:pPr>
            <w:r w:rsidRPr="00FF4BB5">
              <w:rPr>
                <w:rFonts w:ascii="Arial" w:hAnsi="Arial"/>
                <w:color w:val="000000" w:themeColor="text1"/>
                <w:sz w:val="14"/>
                <w:szCs w:val="14"/>
              </w:rPr>
              <w:t>100</w:t>
            </w:r>
          </w:p>
        </w:tc>
      </w:tr>
      <w:tr w:rsidR="00073D1C" w:rsidRPr="00FF4BB5" w14:paraId="7D3A93BE" w14:textId="77777777" w:rsidTr="00073D1C">
        <w:tc>
          <w:tcPr>
            <w:tcW w:w="2585" w:type="dxa"/>
            <w:shd w:val="clear" w:color="auto" w:fill="auto"/>
            <w:vAlign w:val="center"/>
          </w:tcPr>
          <w:p w14:paraId="7AC29589" w14:textId="32797DB4" w:rsidR="00073D1C" w:rsidRPr="00FF4BB5" w:rsidRDefault="00073D1C" w:rsidP="00073D1C">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shd w:val="clear" w:color="auto" w:fill="auto"/>
            <w:tcMar>
              <w:right w:w="255" w:type="dxa"/>
            </w:tcMar>
            <w:vAlign w:val="center"/>
          </w:tcPr>
          <w:p w14:paraId="15EFA53A" w14:textId="7474F8AB"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tcMar>
              <w:right w:w="255" w:type="dxa"/>
            </w:tcMar>
            <w:vAlign w:val="center"/>
          </w:tcPr>
          <w:p w14:paraId="25A270AC" w14:textId="041E38F1"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tcMar>
              <w:right w:w="255" w:type="dxa"/>
            </w:tcMar>
            <w:vAlign w:val="center"/>
          </w:tcPr>
          <w:p w14:paraId="63C93EB7" w14:textId="0D99E674"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tcMar>
              <w:right w:w="255" w:type="dxa"/>
            </w:tcMar>
            <w:vAlign w:val="center"/>
          </w:tcPr>
          <w:p w14:paraId="3A77D037" w14:textId="50F3ABAB"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shd w:val="clear" w:color="auto" w:fill="auto"/>
            <w:tcMar>
              <w:right w:w="255" w:type="dxa"/>
            </w:tcMar>
            <w:vAlign w:val="center"/>
          </w:tcPr>
          <w:p w14:paraId="217BB0BD" w14:textId="37478BD3" w:rsidR="00073D1C" w:rsidRPr="00FF4BB5" w:rsidRDefault="00073D1C" w:rsidP="00073D1C">
            <w:pPr>
              <w:spacing w:before="30" w:after="30" w:line="240" w:lineRule="auto"/>
              <w:jc w:val="right"/>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830" w:type="dxa"/>
            <w:shd w:val="clear" w:color="auto" w:fill="auto"/>
            <w:tcMar>
              <w:right w:w="113" w:type="dxa"/>
            </w:tcMar>
            <w:vAlign w:val="center"/>
          </w:tcPr>
          <w:p w14:paraId="21380593" w14:textId="01ABD0E8" w:rsidR="00073D1C" w:rsidRPr="00FF4BB5" w:rsidRDefault="00073D1C" w:rsidP="00073D1C">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bl>
    <w:p w14:paraId="1B698420" w14:textId="77777777" w:rsidR="00692B5F" w:rsidRPr="00FF4BB5" w:rsidRDefault="00692B5F" w:rsidP="00692B5F">
      <w:pPr>
        <w:spacing w:after="0" w:line="240" w:lineRule="auto"/>
        <w:jc w:val="center"/>
        <w:rPr>
          <w:rFonts w:ascii="Arial" w:eastAsia="Times New Roman" w:hAnsi="Arial" w:cs="Times New Roman"/>
          <w:b/>
          <w:bCs/>
          <w:color w:val="000000" w:themeColor="text1"/>
          <w:sz w:val="18"/>
          <w:szCs w:val="18"/>
        </w:rPr>
      </w:pPr>
    </w:p>
    <w:p w14:paraId="0DFB5F51" w14:textId="77777777" w:rsidR="00EA6710" w:rsidRPr="00FF4BB5" w:rsidRDefault="00EA6710" w:rsidP="00EA6710">
      <w:pPr>
        <w:spacing w:after="0" w:line="240" w:lineRule="auto"/>
        <w:jc w:val="center"/>
        <w:rPr>
          <w:rFonts w:ascii="Arial" w:eastAsia="Times New Roman" w:hAnsi="Arial" w:cs="Times New Roman"/>
          <w:b/>
          <w:bCs/>
          <w:color w:val="000000" w:themeColor="text1"/>
          <w:sz w:val="18"/>
          <w:szCs w:val="18"/>
        </w:rPr>
      </w:pPr>
    </w:p>
    <w:p w14:paraId="1C00BE59" w14:textId="7E382032" w:rsidR="00EA6710" w:rsidRPr="00FF4BB5" w:rsidRDefault="00EA6710" w:rsidP="00EA6710">
      <w:pPr>
        <w:spacing w:after="0" w:line="240" w:lineRule="auto"/>
        <w:jc w:val="center"/>
        <w:rPr>
          <w:rFonts w:ascii="Arial" w:eastAsia="Times New Roman" w:hAnsi="Arial" w:cs="Times New Roman"/>
          <w:b/>
          <w:bCs/>
          <w:color w:val="000000" w:themeColor="text1"/>
          <w:sz w:val="18"/>
          <w:szCs w:val="18"/>
        </w:rPr>
      </w:pPr>
      <w:r w:rsidRPr="00FF4BB5">
        <w:rPr>
          <w:rFonts w:ascii="Arial" w:eastAsia="Times New Roman" w:hAnsi="Arial" w:cs="Times New Roman"/>
          <w:b/>
          <w:bCs/>
          <w:color w:val="000000" w:themeColor="text1"/>
          <w:sz w:val="18"/>
          <w:szCs w:val="18"/>
        </w:rPr>
        <w:t xml:space="preserve">Table </w:t>
      </w:r>
      <w:r w:rsidR="00057CAF" w:rsidRPr="00FF4BB5">
        <w:rPr>
          <w:rFonts w:ascii="Arial" w:eastAsia="Times New Roman" w:hAnsi="Arial" w:cs="Times New Roman"/>
          <w:b/>
          <w:bCs/>
          <w:color w:val="000000" w:themeColor="text1"/>
          <w:sz w:val="18"/>
          <w:szCs w:val="18"/>
        </w:rPr>
        <w:t>4.9</w:t>
      </w:r>
    </w:p>
    <w:p w14:paraId="63931247" w14:textId="77777777" w:rsidR="00EA6710" w:rsidRPr="00FF4BB5" w:rsidRDefault="00EA6710" w:rsidP="00EA6710">
      <w:pPr>
        <w:spacing w:line="240" w:lineRule="auto"/>
        <w:jc w:val="center"/>
        <w:rPr>
          <w:rFonts w:ascii="Arial" w:eastAsia="Times New Roman" w:hAnsi="Arial" w:cs="Times New Roman"/>
          <w:color w:val="000000" w:themeColor="text1"/>
          <w:szCs w:val="20"/>
        </w:rPr>
      </w:pPr>
      <w:r w:rsidRPr="00FF4BB5">
        <w:rPr>
          <w:rFonts w:ascii="Arial" w:eastAsia="Times New Roman" w:hAnsi="Arial" w:cs="Times New Roman"/>
          <w:b/>
          <w:bCs/>
          <w:color w:val="000000" w:themeColor="text1"/>
          <w:sz w:val="18"/>
          <w:szCs w:val="18"/>
        </w:rPr>
        <w:t>Tenure for households</w:t>
      </w:r>
      <w:r w:rsidRPr="00FF4BB5">
        <w:rPr>
          <w:color w:val="000000" w:themeColor="text1"/>
        </w:rPr>
        <w:t xml:space="preserve"> </w:t>
      </w:r>
      <w:r w:rsidRPr="00FF4BB5">
        <w:rPr>
          <w:rFonts w:ascii="Arial" w:eastAsia="Times New Roman" w:hAnsi="Arial" w:cs="Times New Roman"/>
          <w:b/>
          <w:bCs/>
          <w:color w:val="000000" w:themeColor="text1"/>
          <w:sz w:val="18"/>
          <w:szCs w:val="18"/>
        </w:rPr>
        <w:t>with age 65+ only by income quintile (% across), HES 2017-18</w:t>
      </w:r>
    </w:p>
    <w:tbl>
      <w:tblPr>
        <w:tblStyle w:val="TableGrid"/>
        <w:tblW w:w="0" w:type="auto"/>
        <w:tblInd w:w="704" w:type="dxa"/>
        <w:tblLook w:val="04A0" w:firstRow="1" w:lastRow="0" w:firstColumn="1" w:lastColumn="0" w:noHBand="0" w:noVBand="1"/>
      </w:tblPr>
      <w:tblGrid>
        <w:gridCol w:w="2585"/>
        <w:gridCol w:w="726"/>
        <w:gridCol w:w="727"/>
        <w:gridCol w:w="727"/>
        <w:gridCol w:w="727"/>
        <w:gridCol w:w="727"/>
        <w:gridCol w:w="727"/>
      </w:tblGrid>
      <w:tr w:rsidR="00EA6710" w:rsidRPr="00FF4BB5" w14:paraId="56CEFCEF" w14:textId="77777777" w:rsidTr="00C4323B">
        <w:tc>
          <w:tcPr>
            <w:tcW w:w="2585" w:type="dxa"/>
            <w:tcBorders>
              <w:top w:val="single" w:sz="4" w:space="0" w:color="auto"/>
              <w:left w:val="single" w:sz="4" w:space="0" w:color="auto"/>
              <w:bottom w:val="single" w:sz="8" w:space="0" w:color="auto"/>
              <w:right w:val="single" w:sz="4" w:space="0" w:color="auto"/>
            </w:tcBorders>
            <w:vAlign w:val="center"/>
          </w:tcPr>
          <w:p w14:paraId="1C31259B" w14:textId="77777777" w:rsidR="00EA6710" w:rsidRPr="00FF4BB5" w:rsidRDefault="00EA6710" w:rsidP="00C4323B">
            <w:pPr>
              <w:spacing w:before="30" w:after="30" w:line="240" w:lineRule="auto"/>
              <w:rPr>
                <w:rFonts w:ascii="Arial" w:eastAsia="Times New Roman" w:hAnsi="Arial"/>
                <w:color w:val="000000" w:themeColor="text1"/>
                <w:sz w:val="14"/>
                <w:szCs w:val="14"/>
              </w:rPr>
            </w:pPr>
          </w:p>
        </w:tc>
        <w:tc>
          <w:tcPr>
            <w:tcW w:w="726" w:type="dxa"/>
            <w:tcBorders>
              <w:top w:val="single" w:sz="4" w:space="0" w:color="auto"/>
              <w:left w:val="single" w:sz="4" w:space="0" w:color="auto"/>
              <w:bottom w:val="single" w:sz="8" w:space="0" w:color="auto"/>
              <w:right w:val="single" w:sz="4" w:space="0" w:color="auto"/>
            </w:tcBorders>
            <w:vAlign w:val="center"/>
          </w:tcPr>
          <w:p w14:paraId="247C6FCC"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Q1</w:t>
            </w:r>
          </w:p>
        </w:tc>
        <w:tc>
          <w:tcPr>
            <w:tcW w:w="727" w:type="dxa"/>
            <w:tcBorders>
              <w:top w:val="single" w:sz="4" w:space="0" w:color="auto"/>
              <w:left w:val="single" w:sz="4" w:space="0" w:color="auto"/>
              <w:bottom w:val="single" w:sz="8" w:space="0" w:color="auto"/>
              <w:right w:val="single" w:sz="4" w:space="0" w:color="auto"/>
            </w:tcBorders>
            <w:vAlign w:val="center"/>
          </w:tcPr>
          <w:p w14:paraId="54D99955"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Q2</w:t>
            </w:r>
          </w:p>
        </w:tc>
        <w:tc>
          <w:tcPr>
            <w:tcW w:w="727" w:type="dxa"/>
            <w:tcBorders>
              <w:top w:val="single" w:sz="4" w:space="0" w:color="auto"/>
              <w:left w:val="single" w:sz="4" w:space="0" w:color="auto"/>
              <w:bottom w:val="single" w:sz="8" w:space="0" w:color="auto"/>
              <w:right w:val="single" w:sz="4" w:space="0" w:color="auto"/>
            </w:tcBorders>
            <w:vAlign w:val="center"/>
          </w:tcPr>
          <w:p w14:paraId="3ADC42DF"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Q3</w:t>
            </w:r>
          </w:p>
        </w:tc>
        <w:tc>
          <w:tcPr>
            <w:tcW w:w="727" w:type="dxa"/>
            <w:tcBorders>
              <w:top w:val="single" w:sz="4" w:space="0" w:color="auto"/>
              <w:left w:val="single" w:sz="4" w:space="0" w:color="auto"/>
              <w:bottom w:val="single" w:sz="8" w:space="0" w:color="auto"/>
              <w:right w:val="single" w:sz="4" w:space="0" w:color="auto"/>
            </w:tcBorders>
            <w:vAlign w:val="center"/>
          </w:tcPr>
          <w:p w14:paraId="2EFE3B8E"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Q4</w:t>
            </w:r>
          </w:p>
        </w:tc>
        <w:tc>
          <w:tcPr>
            <w:tcW w:w="727" w:type="dxa"/>
            <w:tcBorders>
              <w:top w:val="single" w:sz="4" w:space="0" w:color="auto"/>
              <w:left w:val="single" w:sz="4" w:space="0" w:color="auto"/>
              <w:bottom w:val="single" w:sz="8" w:space="0" w:color="auto"/>
              <w:right w:val="single" w:sz="8" w:space="0" w:color="auto"/>
            </w:tcBorders>
            <w:vAlign w:val="center"/>
          </w:tcPr>
          <w:p w14:paraId="6A3F888E"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Q5</w:t>
            </w:r>
          </w:p>
        </w:tc>
        <w:tc>
          <w:tcPr>
            <w:tcW w:w="727" w:type="dxa"/>
            <w:tcBorders>
              <w:top w:val="single" w:sz="4" w:space="0" w:color="auto"/>
              <w:left w:val="single" w:sz="8" w:space="0" w:color="auto"/>
              <w:bottom w:val="single" w:sz="8" w:space="0" w:color="auto"/>
              <w:right w:val="single" w:sz="4" w:space="0" w:color="auto"/>
            </w:tcBorders>
            <w:vAlign w:val="center"/>
          </w:tcPr>
          <w:p w14:paraId="2266A4DA" w14:textId="77777777" w:rsidR="00EA6710" w:rsidRPr="00FF4BB5" w:rsidRDefault="00EA6710" w:rsidP="00C4323B">
            <w:pPr>
              <w:spacing w:before="30" w:after="30" w:line="240" w:lineRule="auto"/>
              <w:jc w:val="center"/>
              <w:rPr>
                <w:rFonts w:ascii="Arial" w:eastAsia="Times New Roman" w:hAnsi="Arial"/>
                <w:b/>
                <w:bCs/>
                <w:color w:val="000000" w:themeColor="text1"/>
                <w:sz w:val="14"/>
                <w:szCs w:val="14"/>
              </w:rPr>
            </w:pPr>
            <w:r w:rsidRPr="00FF4BB5">
              <w:rPr>
                <w:rFonts w:ascii="Arial" w:eastAsia="Times New Roman" w:hAnsi="Arial"/>
                <w:b/>
                <w:bCs/>
                <w:color w:val="000000" w:themeColor="text1"/>
                <w:sz w:val="14"/>
                <w:szCs w:val="14"/>
              </w:rPr>
              <w:t>TOTAL</w:t>
            </w:r>
          </w:p>
        </w:tc>
      </w:tr>
      <w:tr w:rsidR="00EA6710" w:rsidRPr="00FF4BB5" w14:paraId="5E757CE6" w14:textId="77777777" w:rsidTr="00C4323B">
        <w:tc>
          <w:tcPr>
            <w:tcW w:w="2585" w:type="dxa"/>
            <w:tcBorders>
              <w:top w:val="single" w:sz="8" w:space="0" w:color="auto"/>
              <w:left w:val="single" w:sz="4" w:space="0" w:color="auto"/>
              <w:bottom w:val="single" w:sz="4" w:space="0" w:color="auto"/>
              <w:right w:val="single" w:sz="4" w:space="0" w:color="auto"/>
            </w:tcBorders>
            <w:vAlign w:val="center"/>
          </w:tcPr>
          <w:p w14:paraId="5DCA5070" w14:textId="77777777" w:rsidR="00EA6710" w:rsidRPr="00FF4BB5" w:rsidRDefault="00EA6710" w:rsidP="00C4323B">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outright (no mortgage)</w:t>
            </w:r>
          </w:p>
        </w:tc>
        <w:tc>
          <w:tcPr>
            <w:tcW w:w="726"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357CBCF1"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37</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0D6944BE"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25</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1A7EE2AD"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8" w:space="0" w:color="auto"/>
              <w:left w:val="single" w:sz="4" w:space="0" w:color="auto"/>
              <w:bottom w:val="single" w:sz="4" w:space="0" w:color="auto"/>
              <w:right w:val="single" w:sz="4" w:space="0" w:color="auto"/>
            </w:tcBorders>
            <w:shd w:val="clear" w:color="auto" w:fill="auto"/>
            <w:noWrap/>
            <w:tcMar>
              <w:right w:w="255" w:type="dxa"/>
            </w:tcMar>
            <w:vAlign w:val="center"/>
          </w:tcPr>
          <w:p w14:paraId="10CABC6D"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8" w:space="0" w:color="auto"/>
              <w:left w:val="single" w:sz="4" w:space="0" w:color="auto"/>
              <w:bottom w:val="single" w:sz="4" w:space="0" w:color="auto"/>
              <w:right w:val="single" w:sz="8" w:space="0" w:color="auto"/>
            </w:tcBorders>
            <w:shd w:val="clear" w:color="auto" w:fill="auto"/>
            <w:noWrap/>
            <w:tcMar>
              <w:right w:w="255" w:type="dxa"/>
            </w:tcMar>
            <w:vAlign w:val="center"/>
          </w:tcPr>
          <w:p w14:paraId="4CAB5034"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14</w:t>
            </w:r>
          </w:p>
        </w:tc>
        <w:tc>
          <w:tcPr>
            <w:tcW w:w="727" w:type="dxa"/>
            <w:tcBorders>
              <w:top w:val="single" w:sz="8" w:space="0" w:color="auto"/>
              <w:left w:val="single" w:sz="8" w:space="0" w:color="auto"/>
              <w:bottom w:val="single" w:sz="4" w:space="0" w:color="auto"/>
              <w:right w:val="single" w:sz="4" w:space="0" w:color="auto"/>
            </w:tcBorders>
            <w:shd w:val="clear" w:color="auto" w:fill="auto"/>
            <w:noWrap/>
            <w:tcMar>
              <w:right w:w="255" w:type="dxa"/>
            </w:tcMar>
            <w:vAlign w:val="center"/>
          </w:tcPr>
          <w:p w14:paraId="6330B3FB"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EA6710" w:rsidRPr="00FF4BB5" w14:paraId="0D1C30B2"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5C455FCA" w14:textId="77777777" w:rsidR="00EA6710" w:rsidRPr="00FF4BB5" w:rsidRDefault="00EA6710" w:rsidP="00C4323B">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Owned with mortgage</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C78B939"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41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6E66AEAC"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447FD22"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20</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08C6FCE9"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54E13E5A"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8</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6021D604"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EA6710" w:rsidRPr="00FF4BB5" w14:paraId="6B8BBE14"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0D84DCF5" w14:textId="77777777" w:rsidR="00EA6710" w:rsidRPr="00FF4BB5" w:rsidRDefault="00EA6710" w:rsidP="00C4323B">
            <w:pPr>
              <w:spacing w:before="30" w:after="30" w:line="240" w:lineRule="auto"/>
              <w:rPr>
                <w:rFonts w:ascii="Arial" w:eastAsia="Times New Roman" w:hAnsi="Arial"/>
                <w:color w:val="000000" w:themeColor="text1"/>
                <w:sz w:val="14"/>
                <w:szCs w:val="14"/>
              </w:rPr>
            </w:pPr>
            <w:r w:rsidRPr="00FF4BB5">
              <w:rPr>
                <w:rFonts w:ascii="Arial" w:hAnsi="Arial"/>
                <w:color w:val="000000" w:themeColor="text1"/>
                <w:sz w:val="14"/>
                <w:szCs w:val="14"/>
              </w:rPr>
              <w:t>Rented</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3D1D50A3"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57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28AB4872"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21</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4E06FEFA"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9</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255" w:type="dxa"/>
            </w:tcMar>
            <w:vAlign w:val="center"/>
          </w:tcPr>
          <w:p w14:paraId="7D70942F"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255" w:type="dxa"/>
            </w:tcMar>
            <w:vAlign w:val="center"/>
          </w:tcPr>
          <w:p w14:paraId="62F1C755"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6</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255" w:type="dxa"/>
            </w:tcMar>
            <w:vAlign w:val="center"/>
          </w:tcPr>
          <w:p w14:paraId="7078F63F"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EA6710" w:rsidRPr="00FF4BB5" w14:paraId="60E5D1FC"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6B07F462" w14:textId="77777777" w:rsidR="00EA6710" w:rsidRPr="00FF4BB5" w:rsidRDefault="00EA6710" w:rsidP="00C4323B">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Private rent</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B373BD4"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34</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0FF00F9"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32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51D4F279"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7166F7A1"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12</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1636C178"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4DA8D450"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EA6710" w:rsidRPr="00FF4BB5" w14:paraId="20390B94"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6BB590FA" w14:textId="77777777" w:rsidR="00EA6710" w:rsidRPr="00FF4BB5" w:rsidRDefault="00EA6710" w:rsidP="00C4323B">
            <w:pPr>
              <w:spacing w:before="30" w:after="30" w:line="240" w:lineRule="auto"/>
              <w:ind w:left="179"/>
              <w:rPr>
                <w:rFonts w:ascii="Arial" w:eastAsia="Times New Roman" w:hAnsi="Arial"/>
                <w:color w:val="000000" w:themeColor="text1"/>
                <w:sz w:val="14"/>
                <w:szCs w:val="14"/>
              </w:rPr>
            </w:pPr>
            <w:r w:rsidRPr="00FF4BB5">
              <w:rPr>
                <w:rFonts w:ascii="Arial" w:hAnsi="Arial"/>
                <w:color w:val="000000" w:themeColor="text1"/>
                <w:sz w:val="14"/>
                <w:szCs w:val="14"/>
              </w:rPr>
              <w:t>Social housing (HNZ &amp; LA)</w:t>
            </w:r>
          </w:p>
        </w:tc>
        <w:tc>
          <w:tcPr>
            <w:tcW w:w="726"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2F87BE42"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87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59AB223"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7</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1AB0991F"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5</w:t>
            </w:r>
          </w:p>
        </w:tc>
        <w:tc>
          <w:tcPr>
            <w:tcW w:w="727" w:type="dxa"/>
            <w:tcBorders>
              <w:top w:val="single" w:sz="4" w:space="0" w:color="auto"/>
              <w:left w:val="single" w:sz="4" w:space="0" w:color="auto"/>
              <w:bottom w:val="single" w:sz="4" w:space="0" w:color="auto"/>
              <w:right w:val="single" w:sz="4" w:space="0" w:color="auto"/>
            </w:tcBorders>
            <w:shd w:val="clear" w:color="auto" w:fill="auto"/>
            <w:noWrap/>
            <w:tcMar>
              <w:right w:w="170" w:type="dxa"/>
            </w:tcMar>
            <w:vAlign w:val="center"/>
          </w:tcPr>
          <w:p w14:paraId="03EEFAC7"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4" w:space="0" w:color="auto"/>
              <w:bottom w:val="single" w:sz="4" w:space="0" w:color="auto"/>
              <w:right w:val="single" w:sz="8" w:space="0" w:color="auto"/>
            </w:tcBorders>
            <w:shd w:val="clear" w:color="auto" w:fill="auto"/>
            <w:noWrap/>
            <w:tcMar>
              <w:right w:w="170" w:type="dxa"/>
            </w:tcMar>
            <w:vAlign w:val="center"/>
          </w:tcPr>
          <w:p w14:paraId="021766D5"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w:t>
            </w:r>
          </w:p>
        </w:tc>
        <w:tc>
          <w:tcPr>
            <w:tcW w:w="727" w:type="dxa"/>
            <w:tcBorders>
              <w:top w:val="single" w:sz="4" w:space="0" w:color="auto"/>
              <w:left w:val="single" w:sz="8" w:space="0" w:color="auto"/>
              <w:bottom w:val="single" w:sz="4" w:space="0" w:color="auto"/>
              <w:right w:val="single" w:sz="4" w:space="0" w:color="auto"/>
            </w:tcBorders>
            <w:shd w:val="clear" w:color="auto" w:fill="auto"/>
            <w:noWrap/>
            <w:tcMar>
              <w:right w:w="170" w:type="dxa"/>
            </w:tcMar>
            <w:vAlign w:val="center"/>
          </w:tcPr>
          <w:p w14:paraId="56D0B83E"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r w:rsidR="00EA6710" w:rsidRPr="00FF4BB5" w14:paraId="350E6703"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477DEA35" w14:textId="77777777" w:rsidR="00EA6710" w:rsidRPr="00FF4BB5" w:rsidRDefault="00EA6710" w:rsidP="00C4323B">
            <w:pPr>
              <w:spacing w:before="30" w:after="30" w:line="240" w:lineRule="auto"/>
              <w:rPr>
                <w:rFonts w:ascii="Arial" w:eastAsia="Times New Roman" w:hAnsi="Arial"/>
                <w:b/>
                <w:bCs/>
                <w:color w:val="000000" w:themeColor="text1"/>
                <w:sz w:val="14"/>
                <w:szCs w:val="14"/>
              </w:rPr>
            </w:pPr>
            <w:r w:rsidRPr="00FF4BB5">
              <w:rPr>
                <w:rFonts w:ascii="Arial" w:hAnsi="Arial"/>
                <w:color w:val="000000" w:themeColor="text1"/>
                <w:sz w:val="14"/>
                <w:szCs w:val="14"/>
              </w:rPr>
              <w:t>Other</w:t>
            </w:r>
          </w:p>
        </w:tc>
        <w:tc>
          <w:tcPr>
            <w:tcW w:w="4361" w:type="dxa"/>
            <w:gridSpan w:val="6"/>
            <w:tcBorders>
              <w:top w:val="single" w:sz="4" w:space="0" w:color="auto"/>
              <w:left w:val="single" w:sz="4" w:space="0" w:color="auto"/>
              <w:bottom w:val="single" w:sz="4" w:space="0" w:color="auto"/>
              <w:right w:val="single" w:sz="4" w:space="0" w:color="auto"/>
            </w:tcBorders>
            <w:tcMar>
              <w:right w:w="255" w:type="dxa"/>
            </w:tcMar>
            <w:vAlign w:val="center"/>
          </w:tcPr>
          <w:p w14:paraId="448ECAFF"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Mäori" w:eastAsia="Times New Roman" w:hAnsi="Arial Mäori"/>
                <w:color w:val="000000" w:themeColor="text1"/>
                <w:sz w:val="12"/>
                <w:szCs w:val="12"/>
              </w:rPr>
              <w:t>Numbers are too small to reliably report on as a separate category</w:t>
            </w:r>
          </w:p>
        </w:tc>
      </w:tr>
      <w:tr w:rsidR="00EA6710" w:rsidRPr="00FF4BB5" w14:paraId="7F9C5C14" w14:textId="77777777" w:rsidTr="00C4323B">
        <w:tc>
          <w:tcPr>
            <w:tcW w:w="2585" w:type="dxa"/>
            <w:tcBorders>
              <w:top w:val="single" w:sz="4" w:space="0" w:color="auto"/>
              <w:left w:val="single" w:sz="4" w:space="0" w:color="auto"/>
              <w:bottom w:val="single" w:sz="4" w:space="0" w:color="auto"/>
              <w:right w:val="single" w:sz="4" w:space="0" w:color="auto"/>
            </w:tcBorders>
            <w:vAlign w:val="center"/>
          </w:tcPr>
          <w:p w14:paraId="0492B7C8" w14:textId="77777777" w:rsidR="00EA6710" w:rsidRPr="00FF4BB5" w:rsidRDefault="00EA6710" w:rsidP="00C4323B">
            <w:pPr>
              <w:spacing w:before="30" w:after="30" w:line="240" w:lineRule="auto"/>
              <w:rPr>
                <w:rFonts w:ascii="Arial" w:eastAsia="Times New Roman" w:hAnsi="Arial"/>
                <w:b/>
                <w:bCs/>
                <w:color w:val="000000" w:themeColor="text1"/>
                <w:sz w:val="14"/>
                <w:szCs w:val="14"/>
              </w:rPr>
            </w:pPr>
            <w:r w:rsidRPr="00FF4BB5">
              <w:rPr>
                <w:rFonts w:ascii="Arial" w:hAnsi="Arial"/>
                <w:b/>
                <w:bCs/>
                <w:color w:val="000000" w:themeColor="text1"/>
                <w:sz w:val="14"/>
                <w:szCs w:val="14"/>
              </w:rPr>
              <w:t>Total</w:t>
            </w:r>
          </w:p>
        </w:tc>
        <w:tc>
          <w:tcPr>
            <w:tcW w:w="726" w:type="dxa"/>
            <w:tcBorders>
              <w:top w:val="single" w:sz="4" w:space="0" w:color="auto"/>
              <w:left w:val="single" w:sz="4" w:space="0" w:color="auto"/>
              <w:bottom w:val="single" w:sz="4" w:space="0" w:color="auto"/>
              <w:right w:val="single" w:sz="4" w:space="0" w:color="auto"/>
            </w:tcBorders>
            <w:tcMar>
              <w:right w:w="255" w:type="dxa"/>
            </w:tcMar>
            <w:vAlign w:val="center"/>
          </w:tcPr>
          <w:p w14:paraId="0BA13765"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41</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2D6D8F6"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23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474E22D8"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4" w:space="0" w:color="auto"/>
              <w:left w:val="single" w:sz="4" w:space="0" w:color="auto"/>
              <w:bottom w:val="single" w:sz="4" w:space="0" w:color="auto"/>
              <w:right w:val="single" w:sz="4" w:space="0" w:color="auto"/>
            </w:tcBorders>
            <w:tcMar>
              <w:right w:w="255" w:type="dxa"/>
            </w:tcMar>
            <w:vAlign w:val="center"/>
          </w:tcPr>
          <w:p w14:paraId="1B9B8B44"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w:t>
            </w:r>
          </w:p>
        </w:tc>
        <w:tc>
          <w:tcPr>
            <w:tcW w:w="727" w:type="dxa"/>
            <w:tcBorders>
              <w:top w:val="single" w:sz="4" w:space="0" w:color="auto"/>
              <w:left w:val="single" w:sz="4" w:space="0" w:color="auto"/>
              <w:bottom w:val="single" w:sz="4" w:space="0" w:color="auto"/>
              <w:right w:val="single" w:sz="8" w:space="0" w:color="auto"/>
            </w:tcBorders>
            <w:tcMar>
              <w:right w:w="255" w:type="dxa"/>
            </w:tcMar>
            <w:vAlign w:val="center"/>
          </w:tcPr>
          <w:p w14:paraId="393A7E87"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13</w:t>
            </w:r>
          </w:p>
        </w:tc>
        <w:tc>
          <w:tcPr>
            <w:tcW w:w="727" w:type="dxa"/>
            <w:tcBorders>
              <w:top w:val="single" w:sz="4" w:space="0" w:color="auto"/>
              <w:left w:val="single" w:sz="8" w:space="0" w:color="auto"/>
              <w:bottom w:val="single" w:sz="4" w:space="0" w:color="auto"/>
              <w:right w:val="single" w:sz="4" w:space="0" w:color="auto"/>
            </w:tcBorders>
            <w:tcMar>
              <w:right w:w="255" w:type="dxa"/>
            </w:tcMar>
            <w:vAlign w:val="center"/>
          </w:tcPr>
          <w:p w14:paraId="1414DE2F" w14:textId="77777777" w:rsidR="00EA6710" w:rsidRPr="00FF4BB5" w:rsidRDefault="00EA6710" w:rsidP="00C4323B">
            <w:pPr>
              <w:spacing w:before="30" w:after="30" w:line="240" w:lineRule="auto"/>
              <w:jc w:val="center"/>
              <w:rPr>
                <w:rFonts w:ascii="Arial" w:eastAsia="Times New Roman" w:hAnsi="Arial"/>
                <w:color w:val="000000" w:themeColor="text1"/>
                <w:sz w:val="14"/>
                <w:szCs w:val="14"/>
              </w:rPr>
            </w:pPr>
            <w:r w:rsidRPr="00FF4BB5">
              <w:rPr>
                <w:rFonts w:ascii="Arial" w:hAnsi="Arial"/>
                <w:color w:val="000000" w:themeColor="text1"/>
                <w:sz w:val="14"/>
                <w:szCs w:val="14"/>
              </w:rPr>
              <w:t>100</w:t>
            </w:r>
          </w:p>
        </w:tc>
      </w:tr>
    </w:tbl>
    <w:p w14:paraId="2C857583" w14:textId="77777777" w:rsidR="00EA6710" w:rsidRPr="00FF4BB5" w:rsidRDefault="00EA6710" w:rsidP="00EA6710">
      <w:pPr>
        <w:rPr>
          <w:color w:val="000000" w:themeColor="text1"/>
        </w:rPr>
      </w:pPr>
    </w:p>
    <w:p w14:paraId="2005EB49" w14:textId="4FD11255" w:rsidR="00692B5F" w:rsidRPr="00FF4BB5" w:rsidRDefault="00692B5F">
      <w:pPr>
        <w:spacing w:after="0" w:line="240" w:lineRule="auto"/>
        <w:rPr>
          <w:rFonts w:ascii="Arial" w:hAnsi="Arial"/>
          <w:b/>
          <w:color w:val="000000" w:themeColor="text1"/>
          <w:sz w:val="28"/>
          <w:highlight w:val="yellow"/>
        </w:rPr>
      </w:pPr>
      <w:r w:rsidRPr="00FF4BB5">
        <w:rPr>
          <w:rFonts w:ascii="Arial" w:hAnsi="Arial"/>
          <w:b/>
          <w:color w:val="000000" w:themeColor="text1"/>
          <w:sz w:val="28"/>
          <w:highlight w:val="yellow"/>
        </w:rPr>
        <w:br w:type="page"/>
      </w:r>
    </w:p>
    <w:p w14:paraId="4B69F506" w14:textId="21E56665" w:rsidR="004B01B9" w:rsidRPr="004B01B9" w:rsidRDefault="004B01B9" w:rsidP="004B01B9">
      <w:pPr>
        <w:spacing w:after="0" w:line="240" w:lineRule="auto"/>
        <w:rPr>
          <w:rFonts w:ascii="Arial" w:hAnsi="Arial"/>
          <w:b/>
          <w:sz w:val="28"/>
        </w:rPr>
      </w:pPr>
      <w:r w:rsidRPr="00FF4BB5">
        <w:rPr>
          <w:rFonts w:ascii="Arial" w:hAnsi="Arial"/>
          <w:b/>
          <w:sz w:val="28"/>
        </w:rPr>
        <w:lastRenderedPageBreak/>
        <w:t>Appendix 5</w:t>
      </w:r>
      <w:r w:rsidR="00A56473">
        <w:rPr>
          <w:rFonts w:ascii="Arial" w:hAnsi="Arial"/>
          <w:b/>
          <w:sz w:val="28"/>
        </w:rPr>
        <w:t xml:space="preserve"> </w:t>
      </w:r>
    </w:p>
    <w:p w14:paraId="3AE9C31E" w14:textId="77777777" w:rsidR="004B01B9" w:rsidRPr="004B01B9" w:rsidRDefault="004B01B9" w:rsidP="004B01B9">
      <w:pPr>
        <w:spacing w:after="0" w:line="240" w:lineRule="auto"/>
        <w:rPr>
          <w:rFonts w:ascii="Arial" w:hAnsi="Arial"/>
        </w:rPr>
      </w:pPr>
    </w:p>
    <w:p w14:paraId="34EF2ADE" w14:textId="16E56519" w:rsidR="004B01B9" w:rsidRPr="004B01B9" w:rsidRDefault="004B01B9" w:rsidP="004B01B9">
      <w:pPr>
        <w:spacing w:after="0" w:line="240" w:lineRule="auto"/>
        <w:rPr>
          <w:rFonts w:ascii="Arial" w:hAnsi="Arial"/>
          <w:b/>
          <w:sz w:val="22"/>
        </w:rPr>
      </w:pPr>
      <w:r w:rsidRPr="004B01B9">
        <w:rPr>
          <w:rFonts w:ascii="Arial" w:hAnsi="Arial"/>
          <w:b/>
          <w:sz w:val="22"/>
        </w:rPr>
        <w:t xml:space="preserve">Sensitivity of Findings to the treatment </w:t>
      </w:r>
      <w:r w:rsidR="00A56473">
        <w:rPr>
          <w:rFonts w:ascii="Arial" w:hAnsi="Arial"/>
          <w:b/>
          <w:sz w:val="22"/>
        </w:rPr>
        <w:t xml:space="preserve">applied to </w:t>
      </w:r>
      <w:r w:rsidRPr="004B01B9">
        <w:rPr>
          <w:rFonts w:ascii="Arial" w:hAnsi="Arial"/>
          <w:b/>
          <w:sz w:val="22"/>
        </w:rPr>
        <w:t xml:space="preserve">very low-income (VLI) households </w:t>
      </w:r>
    </w:p>
    <w:p w14:paraId="564C5FBD" w14:textId="77777777" w:rsidR="004B01B9" w:rsidRPr="004B01B9" w:rsidRDefault="004B01B9" w:rsidP="004B01B9">
      <w:pPr>
        <w:spacing w:after="0" w:line="240" w:lineRule="auto"/>
        <w:rPr>
          <w:rFonts w:ascii="Arial" w:hAnsi="Arial"/>
        </w:rPr>
      </w:pPr>
    </w:p>
    <w:p w14:paraId="4B01AE60" w14:textId="4D1A442A" w:rsidR="004B01B9" w:rsidRDefault="00F526A8" w:rsidP="004B01B9">
      <w:pPr>
        <w:spacing w:after="0" w:line="240" w:lineRule="auto"/>
        <w:rPr>
          <w:rFonts w:ascii="Arial" w:hAnsi="Arial"/>
        </w:rPr>
      </w:pPr>
      <w:r>
        <w:rPr>
          <w:rFonts w:ascii="Arial" w:hAnsi="Arial"/>
        </w:rPr>
        <w:t xml:space="preserve">As discussed in the Introduction, the presence of VLI households in surveys like the HES is fairly commonplace. The particular challenge posed by the HES data from 2018-19 and 2019-20 is that there are double the </w:t>
      </w:r>
      <w:r w:rsidR="0069593F">
        <w:rPr>
          <w:rFonts w:ascii="Arial" w:hAnsi="Arial"/>
        </w:rPr>
        <w:t>proportion</w:t>
      </w:r>
      <w:r>
        <w:rPr>
          <w:rFonts w:ascii="Arial" w:hAnsi="Arial"/>
        </w:rPr>
        <w:t xml:space="preserve"> of VLI households compared with previous surveys. </w:t>
      </w:r>
      <w:r w:rsidR="0069593F">
        <w:rPr>
          <w:rFonts w:ascii="Arial" w:hAnsi="Arial"/>
        </w:rPr>
        <w:t>Many of these VLI households have fairly ‘normal’ housing costs which means that their OTIs are very high. This in turn impacts on / inflates the reported housing unaffordability estimates for low-income households.</w:t>
      </w:r>
    </w:p>
    <w:p w14:paraId="75F7D874" w14:textId="4037DEFD" w:rsidR="00F526A8" w:rsidRDefault="00F526A8" w:rsidP="004B01B9">
      <w:pPr>
        <w:spacing w:after="0" w:line="240" w:lineRule="auto"/>
        <w:rPr>
          <w:rFonts w:ascii="Arial" w:hAnsi="Arial"/>
        </w:rPr>
      </w:pPr>
    </w:p>
    <w:p w14:paraId="3A726BB3" w14:textId="3F69F265" w:rsidR="00F526A8" w:rsidRPr="004B01B9" w:rsidRDefault="00F526A8" w:rsidP="004B01B9">
      <w:pPr>
        <w:spacing w:after="0" w:line="240" w:lineRule="auto"/>
        <w:rPr>
          <w:rFonts w:ascii="Arial" w:hAnsi="Arial"/>
        </w:rPr>
      </w:pPr>
      <w:r w:rsidRPr="00F526A8">
        <w:rPr>
          <w:rFonts w:ascii="Arial" w:hAnsi="Arial"/>
          <w:b/>
          <w:bCs/>
        </w:rPr>
        <w:t>Table 5.1</w:t>
      </w:r>
      <w:r>
        <w:rPr>
          <w:rFonts w:ascii="Arial" w:hAnsi="Arial"/>
        </w:rPr>
        <w:t xml:space="preserve"> shows the impact on selected OTI Findings of different ‘treatments’ of the VLI issue for 2018-19 from the new HES-admin data and also for 201</w:t>
      </w:r>
      <w:r w:rsidR="0069593F">
        <w:rPr>
          <w:rFonts w:ascii="Arial" w:hAnsi="Arial"/>
        </w:rPr>
        <w:t>6</w:t>
      </w:r>
      <w:r>
        <w:rPr>
          <w:rFonts w:ascii="Arial" w:hAnsi="Arial"/>
        </w:rPr>
        <w:t>-1</w:t>
      </w:r>
      <w:r w:rsidR="0069593F">
        <w:rPr>
          <w:rFonts w:ascii="Arial" w:hAnsi="Arial"/>
        </w:rPr>
        <w:t>7</w:t>
      </w:r>
      <w:r>
        <w:rPr>
          <w:rFonts w:ascii="Arial" w:hAnsi="Arial"/>
        </w:rPr>
        <w:t xml:space="preserve"> and 2017-18 from the former HES-TAWA data.  </w:t>
      </w:r>
    </w:p>
    <w:p w14:paraId="7A368432" w14:textId="77777777" w:rsidR="004B01B9" w:rsidRDefault="004B01B9" w:rsidP="004B01B9">
      <w:pPr>
        <w:spacing w:after="0" w:line="240" w:lineRule="auto"/>
        <w:rPr>
          <w:rFonts w:ascii="Arial" w:hAnsi="Arial"/>
        </w:rPr>
      </w:pPr>
    </w:p>
    <w:p w14:paraId="79D81F77" w14:textId="77777777" w:rsidR="009B715C" w:rsidRPr="00F526A8" w:rsidRDefault="009B715C" w:rsidP="009B715C">
      <w:pPr>
        <w:spacing w:after="0" w:line="240" w:lineRule="auto"/>
        <w:jc w:val="center"/>
        <w:rPr>
          <w:rFonts w:ascii="Arial" w:hAnsi="Arial"/>
          <w:b/>
          <w:bCs/>
          <w:sz w:val="18"/>
          <w:szCs w:val="18"/>
        </w:rPr>
      </w:pPr>
      <w:r w:rsidRPr="00F526A8">
        <w:rPr>
          <w:rFonts w:ascii="Arial" w:hAnsi="Arial"/>
          <w:b/>
          <w:bCs/>
          <w:sz w:val="18"/>
          <w:szCs w:val="18"/>
        </w:rPr>
        <w:t>Table 5.1</w:t>
      </w:r>
    </w:p>
    <w:p w14:paraId="733C150F" w14:textId="6C310FD5" w:rsidR="009B715C" w:rsidRPr="00F526A8" w:rsidRDefault="0069593F" w:rsidP="0069593F">
      <w:pPr>
        <w:spacing w:line="240" w:lineRule="auto"/>
        <w:jc w:val="center"/>
        <w:rPr>
          <w:rFonts w:ascii="Arial" w:hAnsi="Arial"/>
          <w:b/>
          <w:bCs/>
          <w:sz w:val="18"/>
          <w:szCs w:val="18"/>
        </w:rPr>
      </w:pPr>
      <w:r>
        <w:rPr>
          <w:rFonts w:ascii="Arial" w:hAnsi="Arial"/>
          <w:b/>
          <w:bCs/>
          <w:sz w:val="18"/>
          <w:szCs w:val="18"/>
        </w:rPr>
        <w:t xml:space="preserve">High OTI rates (&gt; 40%) using different treatments to (partially) address the issue of </w:t>
      </w:r>
      <w:r w:rsidR="00585BE7">
        <w:rPr>
          <w:rFonts w:ascii="Arial" w:hAnsi="Arial"/>
          <w:b/>
          <w:bCs/>
          <w:sz w:val="18"/>
          <w:szCs w:val="18"/>
        </w:rPr>
        <w:t xml:space="preserve">the impact of </w:t>
      </w:r>
      <w:r>
        <w:rPr>
          <w:rFonts w:ascii="Arial" w:hAnsi="Arial"/>
          <w:b/>
          <w:bCs/>
          <w:sz w:val="18"/>
          <w:szCs w:val="18"/>
        </w:rPr>
        <w:t xml:space="preserve">VLI households </w:t>
      </w:r>
      <w:r w:rsidR="00585BE7">
        <w:rPr>
          <w:rFonts w:ascii="Arial" w:hAnsi="Arial"/>
          <w:b/>
          <w:bCs/>
          <w:sz w:val="18"/>
          <w:szCs w:val="18"/>
        </w:rPr>
        <w:t>on estimates of housing unaffordability</w:t>
      </w:r>
    </w:p>
    <w:tbl>
      <w:tblPr>
        <w:tblStyle w:val="TableGrid"/>
        <w:tblW w:w="8642" w:type="dxa"/>
        <w:jc w:val="center"/>
        <w:tblLook w:val="04A0" w:firstRow="1" w:lastRow="0" w:firstColumn="1" w:lastColumn="0" w:noHBand="0" w:noVBand="1"/>
      </w:tblPr>
      <w:tblGrid>
        <w:gridCol w:w="3553"/>
        <w:gridCol w:w="1370"/>
        <w:gridCol w:w="1411"/>
        <w:gridCol w:w="1032"/>
        <w:gridCol w:w="1276"/>
      </w:tblGrid>
      <w:tr w:rsidR="00A57B35" w14:paraId="64B6CD2F" w14:textId="77777777" w:rsidTr="00A57B35">
        <w:trPr>
          <w:trHeight w:val="736"/>
          <w:jc w:val="center"/>
        </w:trPr>
        <w:tc>
          <w:tcPr>
            <w:tcW w:w="3553" w:type="dxa"/>
            <w:vAlign w:val="center"/>
          </w:tcPr>
          <w:p w14:paraId="6300D1F7" w14:textId="77777777" w:rsidR="00A57B35" w:rsidRPr="008A2506" w:rsidRDefault="00A57B35" w:rsidP="007C368B">
            <w:pPr>
              <w:spacing w:before="40" w:after="40" w:line="240" w:lineRule="auto"/>
              <w:jc w:val="center"/>
              <w:rPr>
                <w:rFonts w:ascii="Arial" w:hAnsi="Arial"/>
                <w:b/>
                <w:bCs/>
                <w:sz w:val="14"/>
                <w:szCs w:val="18"/>
              </w:rPr>
            </w:pPr>
            <w:r>
              <w:rPr>
                <w:rFonts w:ascii="Arial" w:hAnsi="Arial"/>
                <w:b/>
                <w:bCs/>
                <w:color w:val="000000"/>
                <w:sz w:val="14"/>
                <w:szCs w:val="14"/>
              </w:rPr>
              <w:t> </w:t>
            </w:r>
          </w:p>
        </w:tc>
        <w:tc>
          <w:tcPr>
            <w:tcW w:w="1370" w:type="dxa"/>
            <w:vAlign w:val="center"/>
          </w:tcPr>
          <w:p w14:paraId="2913084C" w14:textId="72FB9CCE" w:rsidR="00A57B35" w:rsidRPr="008A2506" w:rsidRDefault="00A57B35" w:rsidP="007C368B">
            <w:pPr>
              <w:spacing w:before="40" w:after="40" w:line="240" w:lineRule="auto"/>
              <w:jc w:val="center"/>
              <w:rPr>
                <w:rFonts w:ascii="Arial" w:hAnsi="Arial"/>
                <w:b/>
                <w:bCs/>
                <w:sz w:val="14"/>
                <w:szCs w:val="18"/>
              </w:rPr>
            </w:pPr>
            <w:r>
              <w:rPr>
                <w:rFonts w:ascii="Arial" w:hAnsi="Arial"/>
                <w:b/>
                <w:bCs/>
                <w:color w:val="000000"/>
                <w:sz w:val="14"/>
                <w:szCs w:val="14"/>
              </w:rPr>
              <w:t>Delete negatives and zeroes to allow OTI calculations</w:t>
            </w:r>
          </w:p>
        </w:tc>
        <w:tc>
          <w:tcPr>
            <w:tcW w:w="1411" w:type="dxa"/>
            <w:vAlign w:val="center"/>
          </w:tcPr>
          <w:p w14:paraId="5A321902" w14:textId="39BB8B57" w:rsidR="00A57B35" w:rsidRPr="008A2506" w:rsidRDefault="00A57B35" w:rsidP="007C368B">
            <w:pPr>
              <w:spacing w:before="40" w:after="40" w:line="240" w:lineRule="auto"/>
              <w:jc w:val="center"/>
              <w:rPr>
                <w:rFonts w:ascii="Arial" w:hAnsi="Arial"/>
                <w:b/>
                <w:bCs/>
                <w:sz w:val="14"/>
                <w:szCs w:val="18"/>
              </w:rPr>
            </w:pPr>
            <w:r>
              <w:rPr>
                <w:rFonts w:ascii="Arial" w:hAnsi="Arial"/>
                <w:b/>
                <w:bCs/>
                <w:color w:val="000000"/>
                <w:sz w:val="14"/>
                <w:szCs w:val="14"/>
              </w:rPr>
              <w:t>Treatment 1 Delete VLIs with good living standards</w:t>
            </w:r>
          </w:p>
        </w:tc>
        <w:tc>
          <w:tcPr>
            <w:tcW w:w="1032" w:type="dxa"/>
            <w:vAlign w:val="center"/>
          </w:tcPr>
          <w:p w14:paraId="4EF653EB" w14:textId="474DA129" w:rsidR="00A57B35" w:rsidRPr="008A2506" w:rsidRDefault="00A57B35" w:rsidP="007C368B">
            <w:pPr>
              <w:spacing w:before="40" w:after="40" w:line="240" w:lineRule="auto"/>
              <w:jc w:val="center"/>
              <w:rPr>
                <w:rFonts w:ascii="Arial" w:hAnsi="Arial"/>
                <w:b/>
                <w:bCs/>
                <w:sz w:val="14"/>
                <w:szCs w:val="18"/>
              </w:rPr>
            </w:pPr>
            <w:r>
              <w:rPr>
                <w:rFonts w:ascii="Arial" w:hAnsi="Arial"/>
                <w:b/>
                <w:bCs/>
                <w:color w:val="000000"/>
                <w:sz w:val="14"/>
                <w:szCs w:val="14"/>
              </w:rPr>
              <w:t>Treatment 2 Delete VLIs</w:t>
            </w:r>
          </w:p>
        </w:tc>
        <w:tc>
          <w:tcPr>
            <w:tcW w:w="1276" w:type="dxa"/>
            <w:vAlign w:val="center"/>
          </w:tcPr>
          <w:p w14:paraId="5AFE3151" w14:textId="5779233F" w:rsidR="00A57B35" w:rsidRDefault="00A57B35" w:rsidP="007C368B">
            <w:pPr>
              <w:spacing w:before="40" w:after="40" w:line="240" w:lineRule="auto"/>
              <w:jc w:val="center"/>
              <w:rPr>
                <w:rFonts w:ascii="Arial" w:hAnsi="Arial"/>
                <w:b/>
                <w:bCs/>
                <w:color w:val="000000"/>
                <w:sz w:val="14"/>
                <w:szCs w:val="14"/>
              </w:rPr>
            </w:pPr>
            <w:r>
              <w:rPr>
                <w:rFonts w:ascii="Arial" w:hAnsi="Arial"/>
                <w:b/>
                <w:bCs/>
                <w:color w:val="000000"/>
                <w:sz w:val="14"/>
                <w:szCs w:val="14"/>
              </w:rPr>
              <w:t>Treatment 3 Imputation</w:t>
            </w:r>
          </w:p>
        </w:tc>
      </w:tr>
      <w:tr w:rsidR="00A57B35" w14:paraId="7E2F9147" w14:textId="77777777" w:rsidTr="00A57B35">
        <w:trPr>
          <w:jc w:val="center"/>
        </w:trPr>
        <w:tc>
          <w:tcPr>
            <w:tcW w:w="3553" w:type="dxa"/>
          </w:tcPr>
          <w:p w14:paraId="53EA7F55" w14:textId="77777777" w:rsidR="00A57B35" w:rsidRPr="00F03C3C" w:rsidRDefault="00A57B35" w:rsidP="007C368B">
            <w:pPr>
              <w:spacing w:before="40" w:after="40" w:line="240" w:lineRule="auto"/>
              <w:rPr>
                <w:rFonts w:ascii="Arial" w:hAnsi="Arial"/>
                <w:b/>
                <w:bCs/>
                <w:sz w:val="14"/>
                <w:szCs w:val="18"/>
              </w:rPr>
            </w:pPr>
            <w:r w:rsidRPr="00F03C3C">
              <w:rPr>
                <w:rFonts w:ascii="Arial" w:hAnsi="Arial"/>
                <w:b/>
                <w:bCs/>
                <w:sz w:val="14"/>
                <w:szCs w:val="18"/>
              </w:rPr>
              <w:t>201</w:t>
            </w:r>
            <w:r>
              <w:rPr>
                <w:rFonts w:ascii="Arial" w:hAnsi="Arial"/>
                <w:b/>
                <w:bCs/>
                <w:sz w:val="14"/>
                <w:szCs w:val="18"/>
              </w:rPr>
              <w:t>6</w:t>
            </w:r>
            <w:r w:rsidRPr="00F03C3C">
              <w:rPr>
                <w:rFonts w:ascii="Arial" w:hAnsi="Arial"/>
                <w:b/>
                <w:bCs/>
                <w:sz w:val="14"/>
                <w:szCs w:val="18"/>
              </w:rPr>
              <w:t>-1</w:t>
            </w:r>
            <w:r>
              <w:rPr>
                <w:rFonts w:ascii="Arial" w:hAnsi="Arial"/>
                <w:b/>
                <w:bCs/>
                <w:sz w:val="14"/>
                <w:szCs w:val="18"/>
              </w:rPr>
              <w:t>7 - OECD</w:t>
            </w:r>
          </w:p>
        </w:tc>
        <w:tc>
          <w:tcPr>
            <w:tcW w:w="1370" w:type="dxa"/>
          </w:tcPr>
          <w:p w14:paraId="027086D7" w14:textId="77777777" w:rsidR="00A57B35" w:rsidRPr="00F03C3C" w:rsidRDefault="00A57B35" w:rsidP="007C368B">
            <w:pPr>
              <w:spacing w:before="40" w:after="40" w:line="240" w:lineRule="auto"/>
              <w:rPr>
                <w:rFonts w:ascii="Arial" w:hAnsi="Arial"/>
                <w:sz w:val="14"/>
                <w:szCs w:val="18"/>
              </w:rPr>
            </w:pPr>
          </w:p>
        </w:tc>
        <w:tc>
          <w:tcPr>
            <w:tcW w:w="1411" w:type="dxa"/>
          </w:tcPr>
          <w:p w14:paraId="31F19B9B" w14:textId="77777777" w:rsidR="00A57B35" w:rsidRPr="00F03C3C" w:rsidRDefault="00A57B35" w:rsidP="007C368B">
            <w:pPr>
              <w:spacing w:before="40" w:after="40" w:line="240" w:lineRule="auto"/>
              <w:rPr>
                <w:rFonts w:ascii="Arial" w:hAnsi="Arial"/>
                <w:sz w:val="14"/>
                <w:szCs w:val="18"/>
              </w:rPr>
            </w:pPr>
          </w:p>
        </w:tc>
        <w:tc>
          <w:tcPr>
            <w:tcW w:w="1032" w:type="dxa"/>
          </w:tcPr>
          <w:p w14:paraId="1CEB5750" w14:textId="77777777" w:rsidR="00A57B35" w:rsidRPr="00F03C3C" w:rsidRDefault="00A57B35" w:rsidP="007C368B">
            <w:pPr>
              <w:spacing w:before="40" w:after="40" w:line="240" w:lineRule="auto"/>
              <w:rPr>
                <w:rFonts w:ascii="Arial" w:hAnsi="Arial"/>
                <w:sz w:val="14"/>
                <w:szCs w:val="18"/>
              </w:rPr>
            </w:pPr>
          </w:p>
        </w:tc>
        <w:tc>
          <w:tcPr>
            <w:tcW w:w="1276" w:type="dxa"/>
          </w:tcPr>
          <w:p w14:paraId="0B8165EB" w14:textId="77777777" w:rsidR="00A57B35" w:rsidRPr="00F03C3C" w:rsidRDefault="00A57B35" w:rsidP="007C368B">
            <w:pPr>
              <w:spacing w:before="40" w:after="40" w:line="240" w:lineRule="auto"/>
              <w:rPr>
                <w:rFonts w:ascii="Arial" w:hAnsi="Arial"/>
                <w:sz w:val="14"/>
                <w:szCs w:val="18"/>
              </w:rPr>
            </w:pPr>
          </w:p>
        </w:tc>
      </w:tr>
      <w:tr w:rsidR="00A57B35" w14:paraId="77B82034" w14:textId="77777777" w:rsidTr="00A57B35">
        <w:trPr>
          <w:jc w:val="center"/>
        </w:trPr>
        <w:tc>
          <w:tcPr>
            <w:tcW w:w="3553" w:type="dxa"/>
          </w:tcPr>
          <w:p w14:paraId="01E557BE" w14:textId="77777777" w:rsidR="00A57B35" w:rsidRPr="00F03C3C" w:rsidRDefault="00A57B35" w:rsidP="007C368B">
            <w:pPr>
              <w:spacing w:before="40" w:after="40" w:line="240" w:lineRule="auto"/>
              <w:ind w:left="174"/>
              <w:rPr>
                <w:rFonts w:ascii="Arial" w:hAnsi="Arial"/>
                <w:sz w:val="14"/>
                <w:szCs w:val="18"/>
              </w:rPr>
            </w:pPr>
            <w:r>
              <w:rPr>
                <w:rFonts w:ascii="Arial" w:hAnsi="Arial"/>
                <w:sz w:val="14"/>
                <w:szCs w:val="18"/>
              </w:rPr>
              <w:t>Q1 private rent, % with OTI &gt; 40%</w:t>
            </w:r>
          </w:p>
        </w:tc>
        <w:tc>
          <w:tcPr>
            <w:tcW w:w="1370" w:type="dxa"/>
            <w:vAlign w:val="center"/>
          </w:tcPr>
          <w:p w14:paraId="4DB2821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59.9</w:t>
            </w:r>
          </w:p>
        </w:tc>
        <w:tc>
          <w:tcPr>
            <w:tcW w:w="1411" w:type="dxa"/>
            <w:vAlign w:val="center"/>
          </w:tcPr>
          <w:p w14:paraId="5436BBB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58.5</w:t>
            </w:r>
          </w:p>
        </w:tc>
        <w:tc>
          <w:tcPr>
            <w:tcW w:w="1032" w:type="dxa"/>
            <w:vAlign w:val="center"/>
          </w:tcPr>
          <w:p w14:paraId="52CC879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57.6</w:t>
            </w:r>
          </w:p>
        </w:tc>
        <w:tc>
          <w:tcPr>
            <w:tcW w:w="1276" w:type="dxa"/>
            <w:vAlign w:val="center"/>
          </w:tcPr>
          <w:p w14:paraId="0B7A8E7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58.5</w:t>
            </w:r>
          </w:p>
        </w:tc>
      </w:tr>
      <w:tr w:rsidR="00A57B35" w14:paraId="49AE4CC5" w14:textId="77777777" w:rsidTr="00A57B35">
        <w:trPr>
          <w:jc w:val="center"/>
        </w:trPr>
        <w:tc>
          <w:tcPr>
            <w:tcW w:w="3553" w:type="dxa"/>
          </w:tcPr>
          <w:p w14:paraId="6DB854D6"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Q2 private rent, % with OTI &gt; 40%</w:t>
            </w:r>
          </w:p>
        </w:tc>
        <w:tc>
          <w:tcPr>
            <w:tcW w:w="1370" w:type="dxa"/>
            <w:vAlign w:val="center"/>
          </w:tcPr>
          <w:p w14:paraId="11EE410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21.1</w:t>
            </w:r>
          </w:p>
        </w:tc>
        <w:tc>
          <w:tcPr>
            <w:tcW w:w="1411" w:type="dxa"/>
            <w:vAlign w:val="center"/>
          </w:tcPr>
          <w:p w14:paraId="7C40BA7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20.7</w:t>
            </w:r>
          </w:p>
        </w:tc>
        <w:tc>
          <w:tcPr>
            <w:tcW w:w="1032" w:type="dxa"/>
            <w:vAlign w:val="center"/>
          </w:tcPr>
          <w:p w14:paraId="5A3F92F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20.8</w:t>
            </w:r>
          </w:p>
        </w:tc>
        <w:tc>
          <w:tcPr>
            <w:tcW w:w="1276" w:type="dxa"/>
            <w:vAlign w:val="center"/>
          </w:tcPr>
          <w:p w14:paraId="53F71A0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21.2</w:t>
            </w:r>
          </w:p>
        </w:tc>
      </w:tr>
      <w:tr w:rsidR="00A57B35" w14:paraId="1498B276" w14:textId="77777777" w:rsidTr="00A57B35">
        <w:trPr>
          <w:jc w:val="center"/>
        </w:trPr>
        <w:tc>
          <w:tcPr>
            <w:tcW w:w="3553" w:type="dxa"/>
          </w:tcPr>
          <w:p w14:paraId="3EC3ED52" w14:textId="77777777" w:rsidR="00A57B35" w:rsidRPr="00F03C3C" w:rsidRDefault="00A57B35" w:rsidP="007C368B">
            <w:pPr>
              <w:spacing w:before="40" w:after="40" w:line="240" w:lineRule="auto"/>
              <w:ind w:left="174"/>
              <w:rPr>
                <w:rFonts w:ascii="Arial" w:hAnsi="Arial"/>
                <w:sz w:val="14"/>
                <w:szCs w:val="18"/>
              </w:rPr>
            </w:pPr>
            <w:r>
              <w:rPr>
                <w:rFonts w:ascii="Arial" w:hAnsi="Arial"/>
                <w:sz w:val="14"/>
                <w:szCs w:val="18"/>
              </w:rPr>
              <w:t>Q1 owned with mortgage, % with OTI &gt;40%</w:t>
            </w:r>
          </w:p>
        </w:tc>
        <w:tc>
          <w:tcPr>
            <w:tcW w:w="1370" w:type="dxa"/>
            <w:vAlign w:val="center"/>
          </w:tcPr>
          <w:p w14:paraId="6D32F61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32.4</w:t>
            </w:r>
          </w:p>
        </w:tc>
        <w:tc>
          <w:tcPr>
            <w:tcW w:w="1411" w:type="dxa"/>
            <w:vAlign w:val="center"/>
          </w:tcPr>
          <w:p w14:paraId="57177E9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30.7</w:t>
            </w:r>
          </w:p>
        </w:tc>
        <w:tc>
          <w:tcPr>
            <w:tcW w:w="1032" w:type="dxa"/>
            <w:vAlign w:val="center"/>
          </w:tcPr>
          <w:p w14:paraId="3B601D2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31</w:t>
            </w:r>
          </w:p>
        </w:tc>
        <w:tc>
          <w:tcPr>
            <w:tcW w:w="1276" w:type="dxa"/>
            <w:vAlign w:val="center"/>
          </w:tcPr>
          <w:p w14:paraId="714C3BA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32.1</w:t>
            </w:r>
          </w:p>
        </w:tc>
      </w:tr>
      <w:tr w:rsidR="00A57B35" w14:paraId="57C9C266" w14:textId="77777777" w:rsidTr="00A57B35">
        <w:trPr>
          <w:jc w:val="center"/>
        </w:trPr>
        <w:tc>
          <w:tcPr>
            <w:tcW w:w="3553" w:type="dxa"/>
          </w:tcPr>
          <w:p w14:paraId="41030F0A"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Q2 owned with mortgage, % with OTI &gt;40%</w:t>
            </w:r>
          </w:p>
        </w:tc>
        <w:tc>
          <w:tcPr>
            <w:tcW w:w="1370" w:type="dxa"/>
            <w:vAlign w:val="center"/>
          </w:tcPr>
          <w:p w14:paraId="10E51A0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13.4</w:t>
            </w:r>
          </w:p>
        </w:tc>
        <w:tc>
          <w:tcPr>
            <w:tcW w:w="1411" w:type="dxa"/>
            <w:vAlign w:val="center"/>
          </w:tcPr>
          <w:p w14:paraId="4024809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13.6</w:t>
            </w:r>
          </w:p>
        </w:tc>
        <w:tc>
          <w:tcPr>
            <w:tcW w:w="1032" w:type="dxa"/>
            <w:vAlign w:val="center"/>
          </w:tcPr>
          <w:p w14:paraId="536713D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13.8</w:t>
            </w:r>
          </w:p>
        </w:tc>
        <w:tc>
          <w:tcPr>
            <w:tcW w:w="1276" w:type="dxa"/>
            <w:vAlign w:val="center"/>
          </w:tcPr>
          <w:p w14:paraId="34706B1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12.9</w:t>
            </w:r>
          </w:p>
        </w:tc>
      </w:tr>
      <w:tr w:rsidR="00A57B35" w14:paraId="74F71CB2" w14:textId="77777777" w:rsidTr="00A57B35">
        <w:trPr>
          <w:jc w:val="center"/>
        </w:trPr>
        <w:tc>
          <w:tcPr>
            <w:tcW w:w="3553" w:type="dxa"/>
          </w:tcPr>
          <w:p w14:paraId="7233A9DB" w14:textId="77777777" w:rsidR="00A57B35" w:rsidRPr="00F03C3C" w:rsidRDefault="00A57B35" w:rsidP="007C368B">
            <w:pPr>
              <w:spacing w:before="40" w:after="40" w:line="240" w:lineRule="auto"/>
              <w:ind w:left="174"/>
              <w:rPr>
                <w:rFonts w:ascii="Arial" w:hAnsi="Arial"/>
                <w:sz w:val="14"/>
                <w:szCs w:val="18"/>
              </w:rPr>
            </w:pPr>
            <w:r>
              <w:rPr>
                <w:rFonts w:ascii="Arial" w:hAnsi="Arial"/>
                <w:sz w:val="14"/>
                <w:szCs w:val="18"/>
              </w:rPr>
              <w:t>ALL, private rent, % with OTI &gt; 40%</w:t>
            </w:r>
          </w:p>
        </w:tc>
        <w:tc>
          <w:tcPr>
            <w:tcW w:w="1370" w:type="dxa"/>
            <w:vAlign w:val="center"/>
          </w:tcPr>
          <w:p w14:paraId="28A05CD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19.9</w:t>
            </w:r>
          </w:p>
        </w:tc>
        <w:tc>
          <w:tcPr>
            <w:tcW w:w="1411" w:type="dxa"/>
            <w:vAlign w:val="center"/>
          </w:tcPr>
          <w:p w14:paraId="2B16470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19.7</w:t>
            </w:r>
          </w:p>
        </w:tc>
        <w:tc>
          <w:tcPr>
            <w:tcW w:w="1032" w:type="dxa"/>
            <w:vAlign w:val="center"/>
          </w:tcPr>
          <w:p w14:paraId="10AF7D6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19.5</w:t>
            </w:r>
          </w:p>
        </w:tc>
        <w:tc>
          <w:tcPr>
            <w:tcW w:w="1276" w:type="dxa"/>
            <w:vAlign w:val="center"/>
          </w:tcPr>
          <w:p w14:paraId="3769E80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19.8</w:t>
            </w:r>
          </w:p>
        </w:tc>
      </w:tr>
      <w:tr w:rsidR="00A57B35" w14:paraId="7AE05567" w14:textId="77777777" w:rsidTr="00A57B35">
        <w:trPr>
          <w:jc w:val="center"/>
        </w:trPr>
        <w:tc>
          <w:tcPr>
            <w:tcW w:w="3553" w:type="dxa"/>
          </w:tcPr>
          <w:p w14:paraId="4714D5CB" w14:textId="77777777" w:rsidR="00A57B35" w:rsidRPr="00F03C3C" w:rsidRDefault="00A57B35" w:rsidP="007C368B">
            <w:pPr>
              <w:spacing w:before="40" w:after="40" w:line="240" w:lineRule="auto"/>
              <w:ind w:left="174"/>
              <w:rPr>
                <w:rFonts w:ascii="Arial" w:hAnsi="Arial"/>
                <w:sz w:val="14"/>
                <w:szCs w:val="18"/>
              </w:rPr>
            </w:pPr>
            <w:r>
              <w:rPr>
                <w:rFonts w:ascii="Arial" w:hAnsi="Arial"/>
                <w:sz w:val="14"/>
                <w:szCs w:val="18"/>
              </w:rPr>
              <w:t>ALL, owned with mortgage, % with OTI &gt;40%</w:t>
            </w:r>
          </w:p>
        </w:tc>
        <w:tc>
          <w:tcPr>
            <w:tcW w:w="1370" w:type="dxa"/>
            <w:vAlign w:val="center"/>
          </w:tcPr>
          <w:p w14:paraId="03AF836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10.4</w:t>
            </w:r>
          </w:p>
        </w:tc>
        <w:tc>
          <w:tcPr>
            <w:tcW w:w="1411" w:type="dxa"/>
            <w:vAlign w:val="center"/>
          </w:tcPr>
          <w:p w14:paraId="7F50E36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10.3</w:t>
            </w:r>
          </w:p>
        </w:tc>
        <w:tc>
          <w:tcPr>
            <w:tcW w:w="1032" w:type="dxa"/>
            <w:vAlign w:val="center"/>
          </w:tcPr>
          <w:p w14:paraId="5D30D03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10.3</w:t>
            </w:r>
          </w:p>
        </w:tc>
        <w:tc>
          <w:tcPr>
            <w:tcW w:w="1276" w:type="dxa"/>
            <w:vAlign w:val="center"/>
          </w:tcPr>
          <w:p w14:paraId="34B0BA1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10.4</w:t>
            </w:r>
          </w:p>
        </w:tc>
      </w:tr>
      <w:tr w:rsidR="00A57B35" w14:paraId="65B0C912" w14:textId="77777777" w:rsidTr="00A57B35">
        <w:trPr>
          <w:jc w:val="center"/>
        </w:trPr>
        <w:tc>
          <w:tcPr>
            <w:tcW w:w="3553" w:type="dxa"/>
          </w:tcPr>
          <w:p w14:paraId="0B394815"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Median OTI for Q1 households paying rent</w:t>
            </w:r>
          </w:p>
        </w:tc>
        <w:tc>
          <w:tcPr>
            <w:tcW w:w="1370" w:type="dxa"/>
            <w:vAlign w:val="center"/>
          </w:tcPr>
          <w:p w14:paraId="1CA2F50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41.78%</w:t>
            </w:r>
          </w:p>
        </w:tc>
        <w:tc>
          <w:tcPr>
            <w:tcW w:w="1411" w:type="dxa"/>
            <w:vAlign w:val="center"/>
          </w:tcPr>
          <w:p w14:paraId="329FB97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40.15%</w:t>
            </w:r>
          </w:p>
        </w:tc>
        <w:tc>
          <w:tcPr>
            <w:tcW w:w="1032" w:type="dxa"/>
            <w:vAlign w:val="center"/>
          </w:tcPr>
          <w:p w14:paraId="349B81A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39.06%</w:t>
            </w:r>
          </w:p>
        </w:tc>
        <w:tc>
          <w:tcPr>
            <w:tcW w:w="1276" w:type="dxa"/>
            <w:vAlign w:val="center"/>
          </w:tcPr>
          <w:p w14:paraId="4CC9683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38.18%</w:t>
            </w:r>
          </w:p>
        </w:tc>
      </w:tr>
      <w:tr w:rsidR="00A57B35" w14:paraId="440D1D67" w14:textId="77777777" w:rsidTr="00A57B35">
        <w:trPr>
          <w:jc w:val="center"/>
        </w:trPr>
        <w:tc>
          <w:tcPr>
            <w:tcW w:w="3553" w:type="dxa"/>
          </w:tcPr>
          <w:p w14:paraId="4A1E9A5F"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Median OTI for Q1 households with a mortgage</w:t>
            </w:r>
          </w:p>
        </w:tc>
        <w:tc>
          <w:tcPr>
            <w:tcW w:w="1370" w:type="dxa"/>
            <w:vAlign w:val="center"/>
          </w:tcPr>
          <w:p w14:paraId="2689F1E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23.50%</w:t>
            </w:r>
          </w:p>
        </w:tc>
        <w:tc>
          <w:tcPr>
            <w:tcW w:w="1411" w:type="dxa"/>
            <w:vAlign w:val="center"/>
          </w:tcPr>
          <w:p w14:paraId="151272D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23.21%</w:t>
            </w:r>
          </w:p>
        </w:tc>
        <w:tc>
          <w:tcPr>
            <w:tcW w:w="1032" w:type="dxa"/>
            <w:vAlign w:val="center"/>
          </w:tcPr>
          <w:p w14:paraId="7FCBFA2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24.70%</w:t>
            </w:r>
          </w:p>
        </w:tc>
        <w:tc>
          <w:tcPr>
            <w:tcW w:w="1276" w:type="dxa"/>
            <w:vAlign w:val="center"/>
          </w:tcPr>
          <w:p w14:paraId="4F49249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21.05%</w:t>
            </w:r>
          </w:p>
        </w:tc>
      </w:tr>
      <w:tr w:rsidR="00A57B35" w14:paraId="24807C47" w14:textId="77777777" w:rsidTr="00A57B35">
        <w:trPr>
          <w:jc w:val="center"/>
        </w:trPr>
        <w:tc>
          <w:tcPr>
            <w:tcW w:w="3553" w:type="dxa"/>
          </w:tcPr>
          <w:p w14:paraId="462DD7E0" w14:textId="77777777" w:rsidR="00A57B35" w:rsidRDefault="00A57B35" w:rsidP="007C368B">
            <w:pPr>
              <w:spacing w:before="40" w:after="40" w:line="240" w:lineRule="auto"/>
              <w:rPr>
                <w:rFonts w:ascii="Arial" w:hAnsi="Arial"/>
                <w:sz w:val="14"/>
                <w:szCs w:val="18"/>
              </w:rPr>
            </w:pPr>
          </w:p>
        </w:tc>
        <w:tc>
          <w:tcPr>
            <w:tcW w:w="1370" w:type="dxa"/>
            <w:vAlign w:val="center"/>
          </w:tcPr>
          <w:p w14:paraId="3BE8627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5D17661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65B49D41"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5D01AE1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025FEB87" w14:textId="77777777" w:rsidTr="00A57B35">
        <w:trPr>
          <w:jc w:val="center"/>
        </w:trPr>
        <w:tc>
          <w:tcPr>
            <w:tcW w:w="3553" w:type="dxa"/>
          </w:tcPr>
          <w:p w14:paraId="702C740D" w14:textId="77777777" w:rsidR="00A57B35" w:rsidRDefault="00A57B35" w:rsidP="007C368B">
            <w:pPr>
              <w:spacing w:before="40" w:after="40" w:line="240" w:lineRule="auto"/>
              <w:rPr>
                <w:rFonts w:ascii="Arial" w:hAnsi="Arial"/>
                <w:sz w:val="14"/>
                <w:szCs w:val="18"/>
              </w:rPr>
            </w:pPr>
            <w:r w:rsidRPr="00F03C3C">
              <w:rPr>
                <w:rFonts w:ascii="Arial" w:hAnsi="Arial"/>
                <w:b/>
                <w:bCs/>
                <w:sz w:val="14"/>
                <w:szCs w:val="18"/>
              </w:rPr>
              <w:t>201</w:t>
            </w:r>
            <w:r>
              <w:rPr>
                <w:rFonts w:ascii="Arial" w:hAnsi="Arial"/>
                <w:b/>
                <w:bCs/>
                <w:sz w:val="14"/>
                <w:szCs w:val="18"/>
              </w:rPr>
              <w:t>7</w:t>
            </w:r>
            <w:r w:rsidRPr="00F03C3C">
              <w:rPr>
                <w:rFonts w:ascii="Arial" w:hAnsi="Arial"/>
                <w:b/>
                <w:bCs/>
                <w:sz w:val="14"/>
                <w:szCs w:val="18"/>
              </w:rPr>
              <w:t>-1</w:t>
            </w:r>
            <w:r>
              <w:rPr>
                <w:rFonts w:ascii="Arial" w:hAnsi="Arial"/>
                <w:b/>
                <w:bCs/>
                <w:sz w:val="14"/>
                <w:szCs w:val="18"/>
              </w:rPr>
              <w:t>8 - OECD</w:t>
            </w:r>
          </w:p>
        </w:tc>
        <w:tc>
          <w:tcPr>
            <w:tcW w:w="1370" w:type="dxa"/>
            <w:vAlign w:val="center"/>
          </w:tcPr>
          <w:p w14:paraId="151016B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25440130"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3CEE435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1B9A1D3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6057E73F" w14:textId="77777777" w:rsidTr="00A57B35">
        <w:trPr>
          <w:jc w:val="center"/>
        </w:trPr>
        <w:tc>
          <w:tcPr>
            <w:tcW w:w="3553" w:type="dxa"/>
          </w:tcPr>
          <w:p w14:paraId="34DB4906"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Q1 private rent, % with OTI &gt; 40%</w:t>
            </w:r>
          </w:p>
        </w:tc>
        <w:tc>
          <w:tcPr>
            <w:tcW w:w="1370" w:type="dxa"/>
            <w:vAlign w:val="center"/>
          </w:tcPr>
          <w:p w14:paraId="54F9E0D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60.8</w:t>
            </w:r>
          </w:p>
        </w:tc>
        <w:tc>
          <w:tcPr>
            <w:tcW w:w="1411" w:type="dxa"/>
            <w:vAlign w:val="center"/>
          </w:tcPr>
          <w:p w14:paraId="1134535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60</w:t>
            </w:r>
          </w:p>
        </w:tc>
        <w:tc>
          <w:tcPr>
            <w:tcW w:w="1032" w:type="dxa"/>
            <w:vAlign w:val="center"/>
          </w:tcPr>
          <w:p w14:paraId="1F6D9D9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59.1</w:t>
            </w:r>
          </w:p>
        </w:tc>
        <w:tc>
          <w:tcPr>
            <w:tcW w:w="1276" w:type="dxa"/>
            <w:vAlign w:val="center"/>
          </w:tcPr>
          <w:p w14:paraId="4B42E4F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61.1</w:t>
            </w:r>
          </w:p>
        </w:tc>
      </w:tr>
      <w:tr w:rsidR="00A57B35" w14:paraId="00EB8F93" w14:textId="77777777" w:rsidTr="00A57B35">
        <w:trPr>
          <w:jc w:val="center"/>
        </w:trPr>
        <w:tc>
          <w:tcPr>
            <w:tcW w:w="3553" w:type="dxa"/>
          </w:tcPr>
          <w:p w14:paraId="274F4935"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Q2 private rent, % with OTI &gt; 40%</w:t>
            </w:r>
          </w:p>
        </w:tc>
        <w:tc>
          <w:tcPr>
            <w:tcW w:w="1370" w:type="dxa"/>
            <w:vAlign w:val="center"/>
          </w:tcPr>
          <w:p w14:paraId="64F9997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22.3</w:t>
            </w:r>
          </w:p>
        </w:tc>
        <w:tc>
          <w:tcPr>
            <w:tcW w:w="1411" w:type="dxa"/>
            <w:vAlign w:val="center"/>
          </w:tcPr>
          <w:p w14:paraId="56820CF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22</w:t>
            </w:r>
          </w:p>
        </w:tc>
        <w:tc>
          <w:tcPr>
            <w:tcW w:w="1032" w:type="dxa"/>
            <w:vAlign w:val="center"/>
          </w:tcPr>
          <w:p w14:paraId="5637BD7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22.4</w:t>
            </w:r>
          </w:p>
        </w:tc>
        <w:tc>
          <w:tcPr>
            <w:tcW w:w="1276" w:type="dxa"/>
            <w:vAlign w:val="center"/>
          </w:tcPr>
          <w:p w14:paraId="336D3DE0"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22.9</w:t>
            </w:r>
          </w:p>
        </w:tc>
      </w:tr>
      <w:tr w:rsidR="00A57B35" w14:paraId="56217558" w14:textId="77777777" w:rsidTr="00A57B35">
        <w:trPr>
          <w:jc w:val="center"/>
        </w:trPr>
        <w:tc>
          <w:tcPr>
            <w:tcW w:w="3553" w:type="dxa"/>
          </w:tcPr>
          <w:p w14:paraId="67EF9BAB"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Q1 owned with mortgage, % with OTI &gt;40%</w:t>
            </w:r>
          </w:p>
        </w:tc>
        <w:tc>
          <w:tcPr>
            <w:tcW w:w="1370" w:type="dxa"/>
            <w:vAlign w:val="center"/>
          </w:tcPr>
          <w:p w14:paraId="576BB791"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30.4</w:t>
            </w:r>
          </w:p>
        </w:tc>
        <w:tc>
          <w:tcPr>
            <w:tcW w:w="1411" w:type="dxa"/>
            <w:vAlign w:val="center"/>
          </w:tcPr>
          <w:p w14:paraId="5A6E140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30.3</w:t>
            </w:r>
          </w:p>
        </w:tc>
        <w:tc>
          <w:tcPr>
            <w:tcW w:w="1032" w:type="dxa"/>
            <w:vAlign w:val="center"/>
          </w:tcPr>
          <w:p w14:paraId="4C0284D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29.9</w:t>
            </w:r>
          </w:p>
        </w:tc>
        <w:tc>
          <w:tcPr>
            <w:tcW w:w="1276" w:type="dxa"/>
            <w:vAlign w:val="center"/>
          </w:tcPr>
          <w:p w14:paraId="17B000F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30.6</w:t>
            </w:r>
          </w:p>
        </w:tc>
      </w:tr>
      <w:tr w:rsidR="00A57B35" w14:paraId="3237208D" w14:textId="77777777" w:rsidTr="00A57B35">
        <w:trPr>
          <w:jc w:val="center"/>
        </w:trPr>
        <w:tc>
          <w:tcPr>
            <w:tcW w:w="3553" w:type="dxa"/>
          </w:tcPr>
          <w:p w14:paraId="5C9F8F9A"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Q2 owned with mortgage, % with OTI &gt;40%</w:t>
            </w:r>
          </w:p>
        </w:tc>
        <w:tc>
          <w:tcPr>
            <w:tcW w:w="1370" w:type="dxa"/>
            <w:vAlign w:val="center"/>
          </w:tcPr>
          <w:p w14:paraId="059ED56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16.7</w:t>
            </w:r>
          </w:p>
        </w:tc>
        <w:tc>
          <w:tcPr>
            <w:tcW w:w="1411" w:type="dxa"/>
            <w:vAlign w:val="center"/>
          </w:tcPr>
          <w:p w14:paraId="396DB6B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16.6</w:t>
            </w:r>
          </w:p>
        </w:tc>
        <w:tc>
          <w:tcPr>
            <w:tcW w:w="1032" w:type="dxa"/>
            <w:vAlign w:val="center"/>
          </w:tcPr>
          <w:p w14:paraId="4106A22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16.2</w:t>
            </w:r>
          </w:p>
        </w:tc>
        <w:tc>
          <w:tcPr>
            <w:tcW w:w="1276" w:type="dxa"/>
            <w:vAlign w:val="center"/>
          </w:tcPr>
          <w:p w14:paraId="36889E8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16.7</w:t>
            </w:r>
          </w:p>
        </w:tc>
      </w:tr>
      <w:tr w:rsidR="00A57B35" w14:paraId="3702CD21" w14:textId="77777777" w:rsidTr="00A57B35">
        <w:trPr>
          <w:jc w:val="center"/>
        </w:trPr>
        <w:tc>
          <w:tcPr>
            <w:tcW w:w="3553" w:type="dxa"/>
          </w:tcPr>
          <w:p w14:paraId="07E883D6"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ALL, private rent, % with OTI &gt; 40%</w:t>
            </w:r>
          </w:p>
        </w:tc>
        <w:tc>
          <w:tcPr>
            <w:tcW w:w="1370" w:type="dxa"/>
            <w:vAlign w:val="center"/>
          </w:tcPr>
          <w:p w14:paraId="3D9CE25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23.8</w:t>
            </w:r>
          </w:p>
        </w:tc>
        <w:tc>
          <w:tcPr>
            <w:tcW w:w="1411" w:type="dxa"/>
            <w:vAlign w:val="center"/>
          </w:tcPr>
          <w:p w14:paraId="46A3A421"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23.6</w:t>
            </w:r>
          </w:p>
        </w:tc>
        <w:tc>
          <w:tcPr>
            <w:tcW w:w="1032" w:type="dxa"/>
            <w:vAlign w:val="center"/>
          </w:tcPr>
          <w:p w14:paraId="0EDC6A3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23.5</w:t>
            </w:r>
          </w:p>
        </w:tc>
        <w:tc>
          <w:tcPr>
            <w:tcW w:w="1276" w:type="dxa"/>
            <w:vAlign w:val="center"/>
          </w:tcPr>
          <w:p w14:paraId="38E4A7B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23.8</w:t>
            </w:r>
          </w:p>
        </w:tc>
      </w:tr>
      <w:tr w:rsidR="00A57B35" w14:paraId="6AAEF44B" w14:textId="77777777" w:rsidTr="00A57B35">
        <w:trPr>
          <w:jc w:val="center"/>
        </w:trPr>
        <w:tc>
          <w:tcPr>
            <w:tcW w:w="3553" w:type="dxa"/>
          </w:tcPr>
          <w:p w14:paraId="018446EE"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ALL, owned with mortgage, % with OTI &gt;40%</w:t>
            </w:r>
          </w:p>
        </w:tc>
        <w:tc>
          <w:tcPr>
            <w:tcW w:w="1370" w:type="dxa"/>
            <w:vAlign w:val="center"/>
          </w:tcPr>
          <w:p w14:paraId="3B5EB04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9.3</w:t>
            </w:r>
          </w:p>
        </w:tc>
        <w:tc>
          <w:tcPr>
            <w:tcW w:w="1411" w:type="dxa"/>
            <w:vAlign w:val="center"/>
          </w:tcPr>
          <w:p w14:paraId="3A9D04E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9.3</w:t>
            </w:r>
          </w:p>
        </w:tc>
        <w:tc>
          <w:tcPr>
            <w:tcW w:w="1032" w:type="dxa"/>
            <w:vAlign w:val="center"/>
          </w:tcPr>
          <w:p w14:paraId="34D1265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9.2</w:t>
            </w:r>
          </w:p>
        </w:tc>
        <w:tc>
          <w:tcPr>
            <w:tcW w:w="1276" w:type="dxa"/>
            <w:vAlign w:val="center"/>
          </w:tcPr>
          <w:p w14:paraId="56B7F7E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9.3</w:t>
            </w:r>
          </w:p>
        </w:tc>
      </w:tr>
      <w:tr w:rsidR="00A57B35" w14:paraId="2A0DF9B3" w14:textId="77777777" w:rsidTr="00A57B35">
        <w:trPr>
          <w:jc w:val="center"/>
        </w:trPr>
        <w:tc>
          <w:tcPr>
            <w:tcW w:w="3553" w:type="dxa"/>
          </w:tcPr>
          <w:p w14:paraId="54DEE019"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Median OTI for Q1 households paying rent</w:t>
            </w:r>
          </w:p>
        </w:tc>
        <w:tc>
          <w:tcPr>
            <w:tcW w:w="1370" w:type="dxa"/>
            <w:vAlign w:val="center"/>
          </w:tcPr>
          <w:p w14:paraId="381F0523" w14:textId="08E23372"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41.2%</w:t>
            </w:r>
          </w:p>
        </w:tc>
        <w:tc>
          <w:tcPr>
            <w:tcW w:w="1411" w:type="dxa"/>
            <w:vAlign w:val="center"/>
          </w:tcPr>
          <w:p w14:paraId="1914D733" w14:textId="4CBC0782"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39.6%</w:t>
            </w:r>
          </w:p>
        </w:tc>
        <w:tc>
          <w:tcPr>
            <w:tcW w:w="1032" w:type="dxa"/>
            <w:vAlign w:val="center"/>
          </w:tcPr>
          <w:p w14:paraId="4F907DF1" w14:textId="4319C354"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38.6%</w:t>
            </w:r>
          </w:p>
        </w:tc>
        <w:tc>
          <w:tcPr>
            <w:tcW w:w="1276" w:type="dxa"/>
            <w:vAlign w:val="center"/>
          </w:tcPr>
          <w:p w14:paraId="753C6C27" w14:textId="6BF8366B"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39.6%</w:t>
            </w:r>
          </w:p>
        </w:tc>
      </w:tr>
      <w:tr w:rsidR="00A57B35" w14:paraId="35B770AC" w14:textId="77777777" w:rsidTr="00A57B35">
        <w:trPr>
          <w:jc w:val="center"/>
        </w:trPr>
        <w:tc>
          <w:tcPr>
            <w:tcW w:w="3553" w:type="dxa"/>
          </w:tcPr>
          <w:p w14:paraId="7531004C" w14:textId="77777777" w:rsidR="00A57B35" w:rsidRDefault="00A57B35" w:rsidP="007C368B">
            <w:pPr>
              <w:spacing w:before="40" w:after="40" w:line="240" w:lineRule="auto"/>
              <w:ind w:firstLine="174"/>
              <w:rPr>
                <w:rFonts w:ascii="Arial" w:hAnsi="Arial"/>
                <w:sz w:val="14"/>
                <w:szCs w:val="18"/>
              </w:rPr>
            </w:pPr>
            <w:r>
              <w:rPr>
                <w:rFonts w:ascii="Arial" w:hAnsi="Arial"/>
                <w:sz w:val="14"/>
                <w:szCs w:val="18"/>
              </w:rPr>
              <w:t>Median OTI for Q1 households with a mortgage</w:t>
            </w:r>
          </w:p>
        </w:tc>
        <w:tc>
          <w:tcPr>
            <w:tcW w:w="1370" w:type="dxa"/>
            <w:vAlign w:val="center"/>
          </w:tcPr>
          <w:p w14:paraId="3ED1BB50" w14:textId="5EA25F81"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26.7%</w:t>
            </w:r>
          </w:p>
        </w:tc>
        <w:tc>
          <w:tcPr>
            <w:tcW w:w="1411" w:type="dxa"/>
            <w:vAlign w:val="center"/>
          </w:tcPr>
          <w:p w14:paraId="0F0BB9EB" w14:textId="0D976E13"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26.4%</w:t>
            </w:r>
          </w:p>
        </w:tc>
        <w:tc>
          <w:tcPr>
            <w:tcW w:w="1032" w:type="dxa"/>
            <w:vAlign w:val="center"/>
          </w:tcPr>
          <w:p w14:paraId="4FE81548" w14:textId="47F81CAB"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26.3%</w:t>
            </w:r>
          </w:p>
        </w:tc>
        <w:tc>
          <w:tcPr>
            <w:tcW w:w="1276" w:type="dxa"/>
            <w:vAlign w:val="center"/>
          </w:tcPr>
          <w:p w14:paraId="15854BBE" w14:textId="2C4C8A74"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26.4%</w:t>
            </w:r>
          </w:p>
        </w:tc>
      </w:tr>
      <w:tr w:rsidR="00A57B35" w14:paraId="57621A99" w14:textId="77777777" w:rsidTr="00A57B35">
        <w:trPr>
          <w:jc w:val="center"/>
        </w:trPr>
        <w:tc>
          <w:tcPr>
            <w:tcW w:w="3553" w:type="dxa"/>
          </w:tcPr>
          <w:p w14:paraId="596A363F" w14:textId="77777777" w:rsidR="00A57B35" w:rsidRDefault="00A57B35" w:rsidP="007C368B">
            <w:pPr>
              <w:spacing w:before="40" w:after="40" w:line="240" w:lineRule="auto"/>
              <w:rPr>
                <w:rFonts w:ascii="Arial" w:hAnsi="Arial"/>
                <w:sz w:val="14"/>
                <w:szCs w:val="18"/>
              </w:rPr>
            </w:pPr>
          </w:p>
        </w:tc>
        <w:tc>
          <w:tcPr>
            <w:tcW w:w="1370" w:type="dxa"/>
            <w:vAlign w:val="center"/>
          </w:tcPr>
          <w:p w14:paraId="2CCFF31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40AD9EA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5FAC830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782C526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33021271" w14:textId="77777777" w:rsidTr="00A57B35">
        <w:trPr>
          <w:jc w:val="center"/>
        </w:trPr>
        <w:tc>
          <w:tcPr>
            <w:tcW w:w="3553" w:type="dxa"/>
          </w:tcPr>
          <w:p w14:paraId="69A3500C" w14:textId="77777777" w:rsidR="00A57B35" w:rsidRDefault="00A57B35" w:rsidP="007C368B">
            <w:pPr>
              <w:spacing w:before="40" w:after="40" w:line="240" w:lineRule="auto"/>
              <w:rPr>
                <w:rFonts w:ascii="Arial" w:hAnsi="Arial"/>
                <w:sz w:val="14"/>
                <w:szCs w:val="18"/>
              </w:rPr>
            </w:pPr>
            <w:r>
              <w:rPr>
                <w:rFonts w:ascii="Arial" w:hAnsi="Arial"/>
                <w:b/>
                <w:bCs/>
                <w:sz w:val="14"/>
                <w:szCs w:val="18"/>
              </w:rPr>
              <w:t>2018-19 – OECD (not used in this report)</w:t>
            </w:r>
          </w:p>
        </w:tc>
        <w:tc>
          <w:tcPr>
            <w:tcW w:w="1370" w:type="dxa"/>
            <w:vAlign w:val="center"/>
          </w:tcPr>
          <w:p w14:paraId="530649A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334457F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5FEEB54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63AE5BB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528E3C6A" w14:textId="77777777" w:rsidTr="00A57B35">
        <w:trPr>
          <w:jc w:val="center"/>
        </w:trPr>
        <w:tc>
          <w:tcPr>
            <w:tcW w:w="3553" w:type="dxa"/>
          </w:tcPr>
          <w:p w14:paraId="718A360A"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Q1 private rent, % with OTI &gt; 40%</w:t>
            </w:r>
          </w:p>
        </w:tc>
        <w:tc>
          <w:tcPr>
            <w:tcW w:w="1370" w:type="dxa"/>
            <w:vAlign w:val="center"/>
          </w:tcPr>
          <w:p w14:paraId="0ED8B610"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72.4</w:t>
            </w:r>
          </w:p>
        </w:tc>
        <w:tc>
          <w:tcPr>
            <w:tcW w:w="1411" w:type="dxa"/>
            <w:vAlign w:val="center"/>
          </w:tcPr>
          <w:p w14:paraId="2ACD3BD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69.4</w:t>
            </w:r>
          </w:p>
        </w:tc>
        <w:tc>
          <w:tcPr>
            <w:tcW w:w="1032" w:type="dxa"/>
            <w:vAlign w:val="center"/>
          </w:tcPr>
          <w:p w14:paraId="1E7E3BA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68.5</w:t>
            </w:r>
          </w:p>
        </w:tc>
        <w:tc>
          <w:tcPr>
            <w:tcW w:w="1276" w:type="dxa"/>
            <w:vAlign w:val="center"/>
          </w:tcPr>
          <w:p w14:paraId="6BC3D34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71.3</w:t>
            </w:r>
          </w:p>
        </w:tc>
      </w:tr>
      <w:tr w:rsidR="00A57B35" w14:paraId="428B2BB8" w14:textId="77777777" w:rsidTr="00A57B35">
        <w:trPr>
          <w:jc w:val="center"/>
        </w:trPr>
        <w:tc>
          <w:tcPr>
            <w:tcW w:w="3553" w:type="dxa"/>
          </w:tcPr>
          <w:p w14:paraId="35B089B2"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Q2 private rent, % with OTI &gt; 40%</w:t>
            </w:r>
          </w:p>
        </w:tc>
        <w:tc>
          <w:tcPr>
            <w:tcW w:w="1370" w:type="dxa"/>
            <w:vAlign w:val="center"/>
          </w:tcPr>
          <w:p w14:paraId="0A73C1C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32.3</w:t>
            </w:r>
          </w:p>
        </w:tc>
        <w:tc>
          <w:tcPr>
            <w:tcW w:w="1411" w:type="dxa"/>
            <w:vAlign w:val="center"/>
          </w:tcPr>
          <w:p w14:paraId="15DE10F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31.4</w:t>
            </w:r>
          </w:p>
        </w:tc>
        <w:tc>
          <w:tcPr>
            <w:tcW w:w="1032" w:type="dxa"/>
            <w:vAlign w:val="center"/>
          </w:tcPr>
          <w:p w14:paraId="033E9301"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31.3</w:t>
            </w:r>
          </w:p>
        </w:tc>
        <w:tc>
          <w:tcPr>
            <w:tcW w:w="1276" w:type="dxa"/>
            <w:vAlign w:val="center"/>
          </w:tcPr>
          <w:p w14:paraId="129A3FB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32.6</w:t>
            </w:r>
          </w:p>
        </w:tc>
      </w:tr>
      <w:tr w:rsidR="00A57B35" w14:paraId="07F2EC18" w14:textId="77777777" w:rsidTr="00A57B35">
        <w:trPr>
          <w:jc w:val="center"/>
        </w:trPr>
        <w:tc>
          <w:tcPr>
            <w:tcW w:w="3553" w:type="dxa"/>
          </w:tcPr>
          <w:p w14:paraId="70191353"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Q1 owned with mortgage, % with OTI &gt;40%</w:t>
            </w:r>
          </w:p>
        </w:tc>
        <w:tc>
          <w:tcPr>
            <w:tcW w:w="1370" w:type="dxa"/>
            <w:vAlign w:val="center"/>
          </w:tcPr>
          <w:p w14:paraId="69BE1D1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46.4</w:t>
            </w:r>
          </w:p>
        </w:tc>
        <w:tc>
          <w:tcPr>
            <w:tcW w:w="1411" w:type="dxa"/>
            <w:vAlign w:val="center"/>
          </w:tcPr>
          <w:p w14:paraId="3D7022B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43.4</w:t>
            </w:r>
          </w:p>
        </w:tc>
        <w:tc>
          <w:tcPr>
            <w:tcW w:w="1032" w:type="dxa"/>
            <w:vAlign w:val="center"/>
          </w:tcPr>
          <w:p w14:paraId="11F01136"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43.1</w:t>
            </w:r>
          </w:p>
        </w:tc>
        <w:tc>
          <w:tcPr>
            <w:tcW w:w="1276" w:type="dxa"/>
            <w:vAlign w:val="center"/>
          </w:tcPr>
          <w:p w14:paraId="41D0F27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43.9</w:t>
            </w:r>
          </w:p>
        </w:tc>
      </w:tr>
      <w:tr w:rsidR="00A57B35" w14:paraId="28EBB8AF" w14:textId="77777777" w:rsidTr="00A57B35">
        <w:trPr>
          <w:jc w:val="center"/>
        </w:trPr>
        <w:tc>
          <w:tcPr>
            <w:tcW w:w="3553" w:type="dxa"/>
          </w:tcPr>
          <w:p w14:paraId="0D5809EC"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Q2 owned with mortgage, % with OTI &gt;40%</w:t>
            </w:r>
          </w:p>
        </w:tc>
        <w:tc>
          <w:tcPr>
            <w:tcW w:w="1370" w:type="dxa"/>
            <w:vAlign w:val="center"/>
          </w:tcPr>
          <w:p w14:paraId="4DA1699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13.7</w:t>
            </w:r>
          </w:p>
        </w:tc>
        <w:tc>
          <w:tcPr>
            <w:tcW w:w="1411" w:type="dxa"/>
            <w:vAlign w:val="center"/>
          </w:tcPr>
          <w:p w14:paraId="445DA93E"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13.5</w:t>
            </w:r>
          </w:p>
        </w:tc>
        <w:tc>
          <w:tcPr>
            <w:tcW w:w="1032" w:type="dxa"/>
            <w:vAlign w:val="center"/>
          </w:tcPr>
          <w:p w14:paraId="58327701"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13.1</w:t>
            </w:r>
          </w:p>
        </w:tc>
        <w:tc>
          <w:tcPr>
            <w:tcW w:w="1276" w:type="dxa"/>
            <w:vAlign w:val="center"/>
          </w:tcPr>
          <w:p w14:paraId="230C4625"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13.9</w:t>
            </w:r>
          </w:p>
        </w:tc>
      </w:tr>
      <w:tr w:rsidR="00A57B35" w14:paraId="1E009D5A" w14:textId="77777777" w:rsidTr="00A57B35">
        <w:trPr>
          <w:jc w:val="center"/>
        </w:trPr>
        <w:tc>
          <w:tcPr>
            <w:tcW w:w="3553" w:type="dxa"/>
          </w:tcPr>
          <w:p w14:paraId="7618D0BC"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ALL, private rent, % with OTI &gt; 40%</w:t>
            </w:r>
          </w:p>
        </w:tc>
        <w:tc>
          <w:tcPr>
            <w:tcW w:w="1370" w:type="dxa"/>
            <w:vAlign w:val="center"/>
          </w:tcPr>
          <w:p w14:paraId="515D642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27</w:t>
            </w:r>
          </w:p>
        </w:tc>
        <w:tc>
          <w:tcPr>
            <w:tcW w:w="1411" w:type="dxa"/>
            <w:vAlign w:val="center"/>
          </w:tcPr>
          <w:p w14:paraId="06D8DC3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26.2</w:t>
            </w:r>
          </w:p>
        </w:tc>
        <w:tc>
          <w:tcPr>
            <w:tcW w:w="1032" w:type="dxa"/>
            <w:vAlign w:val="center"/>
          </w:tcPr>
          <w:p w14:paraId="48857AA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25.8</w:t>
            </w:r>
          </w:p>
        </w:tc>
        <w:tc>
          <w:tcPr>
            <w:tcW w:w="1276" w:type="dxa"/>
            <w:vAlign w:val="center"/>
          </w:tcPr>
          <w:p w14:paraId="43BF53D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26.9</w:t>
            </w:r>
          </w:p>
        </w:tc>
      </w:tr>
      <w:tr w:rsidR="00A57B35" w14:paraId="0294AC4B" w14:textId="77777777" w:rsidTr="00A57B35">
        <w:trPr>
          <w:jc w:val="center"/>
        </w:trPr>
        <w:tc>
          <w:tcPr>
            <w:tcW w:w="3553" w:type="dxa"/>
          </w:tcPr>
          <w:p w14:paraId="18A1404B"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ALL, owned with mortgage, % with OTI &gt;40%</w:t>
            </w:r>
          </w:p>
        </w:tc>
        <w:tc>
          <w:tcPr>
            <w:tcW w:w="1370" w:type="dxa"/>
            <w:vAlign w:val="center"/>
          </w:tcPr>
          <w:p w14:paraId="2395380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10.7</w:t>
            </w:r>
          </w:p>
        </w:tc>
        <w:tc>
          <w:tcPr>
            <w:tcW w:w="1411" w:type="dxa"/>
            <w:vAlign w:val="center"/>
          </w:tcPr>
          <w:p w14:paraId="2E937CB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10.3</w:t>
            </w:r>
          </w:p>
        </w:tc>
        <w:tc>
          <w:tcPr>
            <w:tcW w:w="1032" w:type="dxa"/>
            <w:vAlign w:val="center"/>
          </w:tcPr>
          <w:p w14:paraId="6B249BAC"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10.2</w:t>
            </w:r>
          </w:p>
        </w:tc>
        <w:tc>
          <w:tcPr>
            <w:tcW w:w="1276" w:type="dxa"/>
            <w:vAlign w:val="center"/>
          </w:tcPr>
          <w:p w14:paraId="767506D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10.6</w:t>
            </w:r>
          </w:p>
        </w:tc>
      </w:tr>
      <w:tr w:rsidR="00A57B35" w14:paraId="7356DF80" w14:textId="77777777" w:rsidTr="00A57B35">
        <w:trPr>
          <w:jc w:val="center"/>
        </w:trPr>
        <w:tc>
          <w:tcPr>
            <w:tcW w:w="3553" w:type="dxa"/>
          </w:tcPr>
          <w:p w14:paraId="1CA27DA8"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Median OTI for Q1 households paying rent</w:t>
            </w:r>
          </w:p>
        </w:tc>
        <w:tc>
          <w:tcPr>
            <w:tcW w:w="1370" w:type="dxa"/>
            <w:vAlign w:val="center"/>
          </w:tcPr>
          <w:p w14:paraId="50D1116B" w14:textId="01CF4BF2"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46.5%</w:t>
            </w:r>
          </w:p>
        </w:tc>
        <w:tc>
          <w:tcPr>
            <w:tcW w:w="1411" w:type="dxa"/>
            <w:vAlign w:val="center"/>
          </w:tcPr>
          <w:p w14:paraId="7F962955" w14:textId="5FC28A80"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43.5%</w:t>
            </w:r>
          </w:p>
        </w:tc>
        <w:tc>
          <w:tcPr>
            <w:tcW w:w="1032" w:type="dxa"/>
            <w:vAlign w:val="center"/>
          </w:tcPr>
          <w:p w14:paraId="3EBC9E8F" w14:textId="7EA0E559"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44.1%</w:t>
            </w:r>
          </w:p>
        </w:tc>
        <w:tc>
          <w:tcPr>
            <w:tcW w:w="1276" w:type="dxa"/>
            <w:vAlign w:val="center"/>
          </w:tcPr>
          <w:p w14:paraId="651BB761" w14:textId="21E943CF"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44.9%</w:t>
            </w:r>
          </w:p>
        </w:tc>
      </w:tr>
      <w:tr w:rsidR="00A57B35" w14:paraId="3728A97E" w14:textId="77777777" w:rsidTr="00A57B35">
        <w:trPr>
          <w:jc w:val="center"/>
        </w:trPr>
        <w:tc>
          <w:tcPr>
            <w:tcW w:w="3553" w:type="dxa"/>
          </w:tcPr>
          <w:p w14:paraId="66C9147A" w14:textId="77777777" w:rsidR="00A57B35" w:rsidRDefault="00A57B35" w:rsidP="007C368B">
            <w:pPr>
              <w:spacing w:before="40" w:after="40" w:line="240" w:lineRule="auto"/>
              <w:ind w:left="174"/>
              <w:rPr>
                <w:rFonts w:ascii="Arial" w:hAnsi="Arial"/>
                <w:sz w:val="14"/>
                <w:szCs w:val="18"/>
              </w:rPr>
            </w:pPr>
            <w:r>
              <w:rPr>
                <w:rFonts w:ascii="Arial" w:hAnsi="Arial"/>
                <w:sz w:val="14"/>
                <w:szCs w:val="18"/>
              </w:rPr>
              <w:t>Median OTI for Q1 households with a mortgage</w:t>
            </w:r>
          </w:p>
        </w:tc>
        <w:tc>
          <w:tcPr>
            <w:tcW w:w="1370" w:type="dxa"/>
            <w:vAlign w:val="center"/>
          </w:tcPr>
          <w:p w14:paraId="2D8805B7" w14:textId="28A28F2E"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42.6%</w:t>
            </w:r>
          </w:p>
        </w:tc>
        <w:tc>
          <w:tcPr>
            <w:tcW w:w="1411" w:type="dxa"/>
            <w:vAlign w:val="center"/>
          </w:tcPr>
          <w:p w14:paraId="56500EED" w14:textId="7A9A50B8"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35.6%</w:t>
            </w:r>
          </w:p>
        </w:tc>
        <w:tc>
          <w:tcPr>
            <w:tcW w:w="1032" w:type="dxa"/>
            <w:vAlign w:val="center"/>
          </w:tcPr>
          <w:p w14:paraId="585984F2" w14:textId="6D84FCF5"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30.8%</w:t>
            </w:r>
          </w:p>
        </w:tc>
        <w:tc>
          <w:tcPr>
            <w:tcW w:w="1276" w:type="dxa"/>
            <w:vAlign w:val="center"/>
          </w:tcPr>
          <w:p w14:paraId="7D4E1280" w14:textId="7C8307B0"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34.0%</w:t>
            </w:r>
          </w:p>
        </w:tc>
      </w:tr>
      <w:tr w:rsidR="00A57B35" w14:paraId="19D8C0C9" w14:textId="77777777" w:rsidTr="00A57B35">
        <w:trPr>
          <w:jc w:val="center"/>
        </w:trPr>
        <w:tc>
          <w:tcPr>
            <w:tcW w:w="3553" w:type="dxa"/>
          </w:tcPr>
          <w:p w14:paraId="2DFB1D51" w14:textId="77777777" w:rsidR="00A57B35" w:rsidRDefault="00A57B35" w:rsidP="007C368B">
            <w:pPr>
              <w:spacing w:before="40" w:after="40" w:line="240" w:lineRule="auto"/>
              <w:rPr>
                <w:rFonts w:ascii="Arial" w:hAnsi="Arial"/>
                <w:sz w:val="14"/>
                <w:szCs w:val="18"/>
              </w:rPr>
            </w:pPr>
          </w:p>
        </w:tc>
        <w:tc>
          <w:tcPr>
            <w:tcW w:w="1370" w:type="dxa"/>
            <w:vAlign w:val="center"/>
          </w:tcPr>
          <w:p w14:paraId="491DDDF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19D8BDB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2AF415A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70EEF277"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1C7CEB28" w14:textId="77777777" w:rsidTr="00A57B35">
        <w:trPr>
          <w:jc w:val="center"/>
        </w:trPr>
        <w:tc>
          <w:tcPr>
            <w:tcW w:w="3553" w:type="dxa"/>
          </w:tcPr>
          <w:p w14:paraId="2B6894BF" w14:textId="77777777" w:rsidR="00A57B35" w:rsidRDefault="00A57B35" w:rsidP="007C368B">
            <w:pPr>
              <w:spacing w:before="40" w:after="40" w:line="240" w:lineRule="auto"/>
              <w:rPr>
                <w:rFonts w:ascii="Arial" w:hAnsi="Arial"/>
                <w:sz w:val="14"/>
                <w:szCs w:val="18"/>
              </w:rPr>
            </w:pPr>
            <w:r w:rsidRPr="00F03C3C">
              <w:rPr>
                <w:rFonts w:ascii="Arial" w:hAnsi="Arial"/>
                <w:b/>
                <w:bCs/>
                <w:sz w:val="14"/>
                <w:szCs w:val="18"/>
              </w:rPr>
              <w:t>201</w:t>
            </w:r>
            <w:r>
              <w:rPr>
                <w:rFonts w:ascii="Arial" w:hAnsi="Arial"/>
                <w:b/>
                <w:bCs/>
                <w:sz w:val="14"/>
                <w:szCs w:val="18"/>
              </w:rPr>
              <w:t>8</w:t>
            </w:r>
            <w:r w:rsidRPr="00F03C3C">
              <w:rPr>
                <w:rFonts w:ascii="Arial" w:hAnsi="Arial"/>
                <w:b/>
                <w:bCs/>
                <w:sz w:val="14"/>
                <w:szCs w:val="18"/>
              </w:rPr>
              <w:t>-1</w:t>
            </w:r>
            <w:r>
              <w:rPr>
                <w:rFonts w:ascii="Arial" w:hAnsi="Arial"/>
                <w:b/>
                <w:bCs/>
                <w:sz w:val="14"/>
                <w:szCs w:val="18"/>
              </w:rPr>
              <w:t>9 - Eurostat</w:t>
            </w:r>
          </w:p>
        </w:tc>
        <w:tc>
          <w:tcPr>
            <w:tcW w:w="1370" w:type="dxa"/>
            <w:vAlign w:val="center"/>
          </w:tcPr>
          <w:p w14:paraId="5318BE4F"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411" w:type="dxa"/>
            <w:vAlign w:val="center"/>
          </w:tcPr>
          <w:p w14:paraId="7749B62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32" w:type="dxa"/>
            <w:vAlign w:val="center"/>
          </w:tcPr>
          <w:p w14:paraId="61DE3E7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260EAFD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 </w:t>
            </w:r>
          </w:p>
        </w:tc>
      </w:tr>
      <w:tr w:rsidR="00A57B35" w14:paraId="2BB1FEF2" w14:textId="77777777" w:rsidTr="00A57B35">
        <w:trPr>
          <w:jc w:val="center"/>
        </w:trPr>
        <w:tc>
          <w:tcPr>
            <w:tcW w:w="3553" w:type="dxa"/>
          </w:tcPr>
          <w:p w14:paraId="7F561067" w14:textId="77777777" w:rsidR="00A57B35" w:rsidRDefault="00A57B35" w:rsidP="007C368B">
            <w:pPr>
              <w:spacing w:before="40" w:after="40" w:line="240" w:lineRule="auto"/>
              <w:rPr>
                <w:rFonts w:ascii="Arial" w:hAnsi="Arial"/>
                <w:sz w:val="14"/>
                <w:szCs w:val="18"/>
              </w:rPr>
            </w:pPr>
            <w:r>
              <w:rPr>
                <w:rFonts w:ascii="Arial" w:hAnsi="Arial"/>
                <w:sz w:val="14"/>
                <w:szCs w:val="18"/>
              </w:rPr>
              <w:t>Q1, % with HCO &gt; 40%</w:t>
            </w:r>
          </w:p>
        </w:tc>
        <w:tc>
          <w:tcPr>
            <w:tcW w:w="1370" w:type="dxa"/>
            <w:vAlign w:val="center"/>
          </w:tcPr>
          <w:p w14:paraId="2341127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28.1</w:t>
            </w:r>
          </w:p>
        </w:tc>
        <w:tc>
          <w:tcPr>
            <w:tcW w:w="1411" w:type="dxa"/>
            <w:vAlign w:val="center"/>
          </w:tcPr>
          <w:p w14:paraId="126E5EC3" w14:textId="10C7D68D"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25.0</w:t>
            </w:r>
          </w:p>
        </w:tc>
        <w:tc>
          <w:tcPr>
            <w:tcW w:w="1032" w:type="dxa"/>
            <w:vAlign w:val="center"/>
          </w:tcPr>
          <w:p w14:paraId="2F361829"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23.8</w:t>
            </w:r>
          </w:p>
        </w:tc>
        <w:tc>
          <w:tcPr>
            <w:tcW w:w="1276" w:type="dxa"/>
            <w:vAlign w:val="center"/>
          </w:tcPr>
          <w:p w14:paraId="4949B503"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24.7</w:t>
            </w:r>
          </w:p>
        </w:tc>
      </w:tr>
      <w:tr w:rsidR="00A57B35" w14:paraId="5298AB4F" w14:textId="77777777" w:rsidTr="00A57B35">
        <w:trPr>
          <w:jc w:val="center"/>
        </w:trPr>
        <w:tc>
          <w:tcPr>
            <w:tcW w:w="3553" w:type="dxa"/>
          </w:tcPr>
          <w:p w14:paraId="668E4EFF" w14:textId="77777777" w:rsidR="00A57B35" w:rsidRDefault="00A57B35" w:rsidP="007C368B">
            <w:pPr>
              <w:spacing w:before="40" w:after="40" w:line="240" w:lineRule="auto"/>
              <w:rPr>
                <w:rFonts w:ascii="Arial" w:hAnsi="Arial"/>
                <w:sz w:val="14"/>
                <w:szCs w:val="18"/>
              </w:rPr>
            </w:pPr>
            <w:r>
              <w:rPr>
                <w:rFonts w:ascii="Arial" w:hAnsi="Arial"/>
                <w:sz w:val="14"/>
                <w:szCs w:val="18"/>
              </w:rPr>
              <w:t>Q2, % with HCO &gt; 40%</w:t>
            </w:r>
          </w:p>
        </w:tc>
        <w:tc>
          <w:tcPr>
            <w:tcW w:w="1370" w:type="dxa"/>
            <w:vAlign w:val="center"/>
          </w:tcPr>
          <w:p w14:paraId="5B14C8B2"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11.4</w:t>
            </w:r>
          </w:p>
        </w:tc>
        <w:tc>
          <w:tcPr>
            <w:tcW w:w="1411" w:type="dxa"/>
            <w:vAlign w:val="center"/>
          </w:tcPr>
          <w:p w14:paraId="47642E3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11.1</w:t>
            </w:r>
          </w:p>
        </w:tc>
        <w:tc>
          <w:tcPr>
            <w:tcW w:w="1032" w:type="dxa"/>
            <w:vAlign w:val="center"/>
          </w:tcPr>
          <w:p w14:paraId="694D5D0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10.9</w:t>
            </w:r>
          </w:p>
        </w:tc>
        <w:tc>
          <w:tcPr>
            <w:tcW w:w="1276" w:type="dxa"/>
            <w:vAlign w:val="center"/>
          </w:tcPr>
          <w:p w14:paraId="57F7A598"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14.3</w:t>
            </w:r>
          </w:p>
        </w:tc>
      </w:tr>
      <w:tr w:rsidR="00A57B35" w14:paraId="73A96CB8" w14:textId="77777777" w:rsidTr="00A57B35">
        <w:trPr>
          <w:jc w:val="center"/>
        </w:trPr>
        <w:tc>
          <w:tcPr>
            <w:tcW w:w="3553" w:type="dxa"/>
          </w:tcPr>
          <w:p w14:paraId="45F0CF8A" w14:textId="77777777" w:rsidR="00A57B35" w:rsidRDefault="00A57B35" w:rsidP="007C368B">
            <w:pPr>
              <w:spacing w:before="40" w:after="40" w:line="240" w:lineRule="auto"/>
              <w:rPr>
                <w:rFonts w:ascii="Arial" w:hAnsi="Arial"/>
                <w:sz w:val="14"/>
                <w:szCs w:val="18"/>
              </w:rPr>
            </w:pPr>
            <w:r>
              <w:rPr>
                <w:rFonts w:ascii="Arial" w:hAnsi="Arial"/>
                <w:sz w:val="14"/>
                <w:szCs w:val="18"/>
              </w:rPr>
              <w:t>Under 18s, % with HCO &gt; 40%</w:t>
            </w:r>
          </w:p>
        </w:tc>
        <w:tc>
          <w:tcPr>
            <w:tcW w:w="1370" w:type="dxa"/>
            <w:vAlign w:val="center"/>
          </w:tcPr>
          <w:p w14:paraId="1316623A"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9.4</w:t>
            </w:r>
          </w:p>
        </w:tc>
        <w:tc>
          <w:tcPr>
            <w:tcW w:w="1411" w:type="dxa"/>
            <w:vAlign w:val="center"/>
          </w:tcPr>
          <w:p w14:paraId="5CC3194B"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8.8</w:t>
            </w:r>
          </w:p>
        </w:tc>
        <w:tc>
          <w:tcPr>
            <w:tcW w:w="1032" w:type="dxa"/>
            <w:vAlign w:val="center"/>
          </w:tcPr>
          <w:p w14:paraId="43AE445D"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8.5</w:t>
            </w:r>
          </w:p>
        </w:tc>
        <w:tc>
          <w:tcPr>
            <w:tcW w:w="1276" w:type="dxa"/>
            <w:vAlign w:val="center"/>
          </w:tcPr>
          <w:p w14:paraId="0F816FC4" w14:textId="77777777" w:rsidR="00A57B35" w:rsidRPr="00F03C3C" w:rsidRDefault="00A57B35" w:rsidP="007C368B">
            <w:pPr>
              <w:spacing w:before="40" w:after="40" w:line="240" w:lineRule="auto"/>
              <w:jc w:val="center"/>
              <w:rPr>
                <w:rFonts w:ascii="Arial" w:hAnsi="Arial"/>
                <w:sz w:val="14"/>
                <w:szCs w:val="18"/>
              </w:rPr>
            </w:pPr>
            <w:r>
              <w:rPr>
                <w:rFonts w:ascii="Arial" w:hAnsi="Arial"/>
                <w:color w:val="000000"/>
                <w:sz w:val="14"/>
                <w:szCs w:val="14"/>
              </w:rPr>
              <w:t>9.4</w:t>
            </w:r>
          </w:p>
        </w:tc>
      </w:tr>
    </w:tbl>
    <w:p w14:paraId="45BCC9BA" w14:textId="2558B51B" w:rsidR="009B715C" w:rsidRPr="00585BE7" w:rsidRDefault="00585BE7" w:rsidP="001555C3">
      <w:pPr>
        <w:spacing w:before="120" w:after="0"/>
        <w:ind w:left="142"/>
        <w:rPr>
          <w:rFonts w:ascii="Arial" w:hAnsi="Arial"/>
          <w:sz w:val="16"/>
          <w:szCs w:val="16"/>
        </w:rPr>
      </w:pPr>
      <w:r w:rsidRPr="00585BE7">
        <w:rPr>
          <w:rFonts w:ascii="Arial" w:hAnsi="Arial"/>
          <w:sz w:val="16"/>
          <w:szCs w:val="16"/>
        </w:rPr>
        <w:t>Note: see under Table 2.2 for definition of treatments</w:t>
      </w:r>
    </w:p>
    <w:p w14:paraId="1C5B9B10" w14:textId="6706913F" w:rsidR="009B715C" w:rsidRPr="00F526A8" w:rsidRDefault="009B715C" w:rsidP="009B715C">
      <w:pPr>
        <w:spacing w:after="0" w:line="240" w:lineRule="auto"/>
        <w:jc w:val="center"/>
        <w:rPr>
          <w:rFonts w:ascii="Arial" w:hAnsi="Arial"/>
          <w:b/>
          <w:bCs/>
          <w:sz w:val="18"/>
          <w:szCs w:val="18"/>
        </w:rPr>
      </w:pPr>
      <w:r>
        <w:br w:type="page"/>
      </w:r>
      <w:r w:rsidRPr="00F526A8">
        <w:rPr>
          <w:rFonts w:ascii="Arial" w:hAnsi="Arial"/>
          <w:b/>
          <w:bCs/>
          <w:sz w:val="18"/>
          <w:szCs w:val="18"/>
        </w:rPr>
        <w:lastRenderedPageBreak/>
        <w:t>Table 5.</w:t>
      </w:r>
      <w:r>
        <w:rPr>
          <w:rFonts w:ascii="Arial" w:hAnsi="Arial"/>
          <w:b/>
          <w:bCs/>
          <w:sz w:val="18"/>
          <w:szCs w:val="18"/>
        </w:rPr>
        <w:t>2</w:t>
      </w:r>
    </w:p>
    <w:p w14:paraId="01586898" w14:textId="4F22A525" w:rsidR="009B715C" w:rsidRPr="00F526A8" w:rsidRDefault="009B6B20" w:rsidP="007C368B">
      <w:pPr>
        <w:spacing w:line="240" w:lineRule="auto"/>
        <w:jc w:val="center"/>
        <w:rPr>
          <w:rFonts w:ascii="Arial" w:hAnsi="Arial"/>
          <w:b/>
          <w:bCs/>
          <w:sz w:val="18"/>
          <w:szCs w:val="18"/>
        </w:rPr>
      </w:pPr>
      <w:r>
        <w:rPr>
          <w:rFonts w:ascii="Arial" w:hAnsi="Arial"/>
          <w:b/>
          <w:bCs/>
          <w:sz w:val="18"/>
          <w:szCs w:val="18"/>
        </w:rPr>
        <w:t>Impact of selected ‘treatments’ on VLI numbers and proportions</w:t>
      </w:r>
    </w:p>
    <w:tbl>
      <w:tblPr>
        <w:tblStyle w:val="TableGrid"/>
        <w:tblW w:w="7792" w:type="dxa"/>
        <w:jc w:val="center"/>
        <w:tblLook w:val="04A0" w:firstRow="1" w:lastRow="0" w:firstColumn="1" w:lastColumn="0" w:noHBand="0" w:noVBand="1"/>
      </w:tblPr>
      <w:tblGrid>
        <w:gridCol w:w="2590"/>
        <w:gridCol w:w="854"/>
        <w:gridCol w:w="1026"/>
        <w:gridCol w:w="1022"/>
        <w:gridCol w:w="1024"/>
        <w:gridCol w:w="1276"/>
      </w:tblGrid>
      <w:tr w:rsidR="009B715C" w14:paraId="5FBEFCA0" w14:textId="77777777" w:rsidTr="00585BE7">
        <w:trPr>
          <w:trHeight w:val="714"/>
          <w:jc w:val="center"/>
        </w:trPr>
        <w:tc>
          <w:tcPr>
            <w:tcW w:w="2590" w:type="dxa"/>
            <w:vAlign w:val="center"/>
          </w:tcPr>
          <w:p w14:paraId="37B1300A" w14:textId="77777777" w:rsidR="009B715C" w:rsidRPr="008A2506" w:rsidRDefault="009B715C" w:rsidP="007C368B">
            <w:pPr>
              <w:spacing w:before="40" w:after="40" w:line="240" w:lineRule="auto"/>
              <w:jc w:val="center"/>
              <w:rPr>
                <w:rFonts w:ascii="Arial" w:hAnsi="Arial"/>
                <w:b/>
                <w:bCs/>
                <w:sz w:val="14"/>
                <w:szCs w:val="18"/>
              </w:rPr>
            </w:pPr>
            <w:r>
              <w:rPr>
                <w:rFonts w:ascii="Arial" w:hAnsi="Arial"/>
                <w:b/>
                <w:bCs/>
                <w:color w:val="000000"/>
                <w:sz w:val="14"/>
                <w:szCs w:val="14"/>
              </w:rPr>
              <w:t> </w:t>
            </w:r>
          </w:p>
        </w:tc>
        <w:tc>
          <w:tcPr>
            <w:tcW w:w="854" w:type="dxa"/>
            <w:vAlign w:val="center"/>
          </w:tcPr>
          <w:p w14:paraId="238CB88B" w14:textId="77777777" w:rsidR="009B715C" w:rsidRPr="008A2506" w:rsidRDefault="009B715C" w:rsidP="007C368B">
            <w:pPr>
              <w:spacing w:before="40" w:after="40" w:line="240" w:lineRule="auto"/>
              <w:jc w:val="center"/>
              <w:rPr>
                <w:rFonts w:ascii="Arial" w:hAnsi="Arial"/>
                <w:b/>
                <w:bCs/>
                <w:sz w:val="14"/>
                <w:szCs w:val="18"/>
              </w:rPr>
            </w:pPr>
            <w:r>
              <w:rPr>
                <w:rFonts w:ascii="Arial" w:hAnsi="Arial"/>
                <w:b/>
                <w:bCs/>
                <w:color w:val="000000"/>
                <w:sz w:val="14"/>
                <w:szCs w:val="14"/>
              </w:rPr>
              <w:t>No treatment</w:t>
            </w:r>
          </w:p>
        </w:tc>
        <w:tc>
          <w:tcPr>
            <w:tcW w:w="1026" w:type="dxa"/>
            <w:vAlign w:val="center"/>
          </w:tcPr>
          <w:p w14:paraId="68906152" w14:textId="65EEB12C" w:rsidR="009B715C" w:rsidRPr="008A2506" w:rsidRDefault="009B715C" w:rsidP="007C368B">
            <w:pPr>
              <w:spacing w:before="40" w:after="40" w:line="240" w:lineRule="auto"/>
              <w:jc w:val="center"/>
              <w:rPr>
                <w:rFonts w:ascii="Arial" w:hAnsi="Arial"/>
                <w:b/>
                <w:bCs/>
                <w:sz w:val="14"/>
                <w:szCs w:val="18"/>
              </w:rPr>
            </w:pPr>
            <w:r>
              <w:rPr>
                <w:rFonts w:ascii="Arial" w:hAnsi="Arial"/>
                <w:b/>
                <w:bCs/>
                <w:color w:val="000000"/>
                <w:sz w:val="14"/>
                <w:szCs w:val="14"/>
              </w:rPr>
              <w:t xml:space="preserve">Delete negatives and zeroes to allow OTI calculations </w:t>
            </w:r>
          </w:p>
        </w:tc>
        <w:tc>
          <w:tcPr>
            <w:tcW w:w="1022" w:type="dxa"/>
            <w:vAlign w:val="center"/>
          </w:tcPr>
          <w:p w14:paraId="05F262CE" w14:textId="7D5FFB31" w:rsidR="00585BE7" w:rsidRPr="00585BE7" w:rsidRDefault="009B715C" w:rsidP="00585BE7">
            <w:pPr>
              <w:spacing w:before="40" w:after="40" w:line="240" w:lineRule="auto"/>
              <w:jc w:val="center"/>
              <w:rPr>
                <w:rFonts w:ascii="Arial" w:hAnsi="Arial"/>
                <w:b/>
                <w:bCs/>
                <w:color w:val="000000"/>
                <w:sz w:val="14"/>
                <w:szCs w:val="14"/>
              </w:rPr>
            </w:pPr>
            <w:r>
              <w:rPr>
                <w:rFonts w:ascii="Arial" w:hAnsi="Arial"/>
                <w:b/>
                <w:bCs/>
                <w:color w:val="000000"/>
                <w:sz w:val="14"/>
                <w:szCs w:val="14"/>
              </w:rPr>
              <w:t xml:space="preserve">Treatment 1 Delete VLIs with good living standards </w:t>
            </w:r>
          </w:p>
        </w:tc>
        <w:tc>
          <w:tcPr>
            <w:tcW w:w="1024" w:type="dxa"/>
            <w:vAlign w:val="center"/>
          </w:tcPr>
          <w:p w14:paraId="3EC52E69" w14:textId="66348461" w:rsidR="009B715C" w:rsidRPr="008A2506" w:rsidRDefault="009B715C" w:rsidP="007C368B">
            <w:pPr>
              <w:spacing w:before="40" w:after="40" w:line="240" w:lineRule="auto"/>
              <w:jc w:val="center"/>
              <w:rPr>
                <w:rFonts w:ascii="Arial" w:hAnsi="Arial"/>
                <w:b/>
                <w:bCs/>
                <w:sz w:val="14"/>
                <w:szCs w:val="18"/>
              </w:rPr>
            </w:pPr>
            <w:r>
              <w:rPr>
                <w:rFonts w:ascii="Arial" w:hAnsi="Arial"/>
                <w:b/>
                <w:bCs/>
                <w:color w:val="000000"/>
                <w:sz w:val="14"/>
                <w:szCs w:val="14"/>
              </w:rPr>
              <w:t xml:space="preserve">Treatment 2 Delete VLIs </w:t>
            </w:r>
          </w:p>
        </w:tc>
        <w:tc>
          <w:tcPr>
            <w:tcW w:w="1276" w:type="dxa"/>
            <w:vAlign w:val="center"/>
          </w:tcPr>
          <w:p w14:paraId="2D92471D" w14:textId="07C76791" w:rsidR="009B715C" w:rsidRDefault="009B715C" w:rsidP="007C368B">
            <w:pPr>
              <w:spacing w:before="40" w:after="40" w:line="240" w:lineRule="auto"/>
              <w:jc w:val="center"/>
              <w:rPr>
                <w:rFonts w:ascii="Arial" w:hAnsi="Arial"/>
                <w:b/>
                <w:bCs/>
                <w:color w:val="000000"/>
                <w:sz w:val="14"/>
                <w:szCs w:val="14"/>
              </w:rPr>
            </w:pPr>
            <w:r>
              <w:rPr>
                <w:rFonts w:ascii="Arial" w:hAnsi="Arial"/>
                <w:b/>
                <w:bCs/>
                <w:color w:val="000000"/>
                <w:sz w:val="14"/>
                <w:szCs w:val="14"/>
              </w:rPr>
              <w:t xml:space="preserve">Treatment 3 Imputation </w:t>
            </w:r>
          </w:p>
        </w:tc>
      </w:tr>
      <w:tr w:rsidR="009B715C" w14:paraId="462ED50D" w14:textId="77777777" w:rsidTr="00585BE7">
        <w:trPr>
          <w:jc w:val="center"/>
        </w:trPr>
        <w:tc>
          <w:tcPr>
            <w:tcW w:w="2590" w:type="dxa"/>
            <w:vAlign w:val="center"/>
          </w:tcPr>
          <w:p w14:paraId="3CEE5ED7" w14:textId="77777777" w:rsidR="009B715C" w:rsidRPr="00F03C3C" w:rsidRDefault="009B715C" w:rsidP="007C368B">
            <w:pPr>
              <w:spacing w:before="40" w:after="40" w:line="240" w:lineRule="auto"/>
              <w:rPr>
                <w:rFonts w:ascii="Arial" w:hAnsi="Arial"/>
                <w:b/>
                <w:bCs/>
                <w:sz w:val="14"/>
                <w:szCs w:val="18"/>
              </w:rPr>
            </w:pPr>
            <w:r>
              <w:rPr>
                <w:rFonts w:ascii="Arial" w:hAnsi="Arial"/>
                <w:b/>
                <w:bCs/>
                <w:color w:val="000000"/>
                <w:sz w:val="14"/>
                <w:szCs w:val="14"/>
              </w:rPr>
              <w:t>Sample HHs</w:t>
            </w:r>
          </w:p>
        </w:tc>
        <w:tc>
          <w:tcPr>
            <w:tcW w:w="854" w:type="dxa"/>
          </w:tcPr>
          <w:p w14:paraId="1FB93A58" w14:textId="77777777" w:rsidR="009B715C" w:rsidRPr="00F03C3C" w:rsidRDefault="009B715C" w:rsidP="007C368B">
            <w:pPr>
              <w:spacing w:before="40" w:after="40" w:line="240" w:lineRule="auto"/>
              <w:rPr>
                <w:rFonts w:ascii="Arial" w:hAnsi="Arial"/>
                <w:sz w:val="14"/>
                <w:szCs w:val="18"/>
              </w:rPr>
            </w:pPr>
          </w:p>
        </w:tc>
        <w:tc>
          <w:tcPr>
            <w:tcW w:w="1026" w:type="dxa"/>
          </w:tcPr>
          <w:p w14:paraId="20000C73" w14:textId="77777777" w:rsidR="009B715C" w:rsidRPr="00F03C3C" w:rsidRDefault="009B715C" w:rsidP="007C368B">
            <w:pPr>
              <w:spacing w:before="40" w:after="40" w:line="240" w:lineRule="auto"/>
              <w:rPr>
                <w:rFonts w:ascii="Arial" w:hAnsi="Arial"/>
                <w:sz w:val="14"/>
                <w:szCs w:val="18"/>
              </w:rPr>
            </w:pPr>
          </w:p>
        </w:tc>
        <w:tc>
          <w:tcPr>
            <w:tcW w:w="1022" w:type="dxa"/>
          </w:tcPr>
          <w:p w14:paraId="3CEA6062" w14:textId="77777777" w:rsidR="009B715C" w:rsidRPr="00F03C3C" w:rsidRDefault="009B715C" w:rsidP="007C368B">
            <w:pPr>
              <w:spacing w:before="40" w:after="40" w:line="240" w:lineRule="auto"/>
              <w:rPr>
                <w:rFonts w:ascii="Arial" w:hAnsi="Arial"/>
                <w:sz w:val="14"/>
                <w:szCs w:val="18"/>
              </w:rPr>
            </w:pPr>
          </w:p>
        </w:tc>
        <w:tc>
          <w:tcPr>
            <w:tcW w:w="1024" w:type="dxa"/>
          </w:tcPr>
          <w:p w14:paraId="068069D2" w14:textId="77777777" w:rsidR="009B715C" w:rsidRPr="00F03C3C" w:rsidRDefault="009B715C" w:rsidP="007C368B">
            <w:pPr>
              <w:spacing w:before="40" w:after="40" w:line="240" w:lineRule="auto"/>
              <w:rPr>
                <w:rFonts w:ascii="Arial" w:hAnsi="Arial"/>
                <w:sz w:val="14"/>
                <w:szCs w:val="18"/>
              </w:rPr>
            </w:pPr>
          </w:p>
        </w:tc>
        <w:tc>
          <w:tcPr>
            <w:tcW w:w="1276" w:type="dxa"/>
          </w:tcPr>
          <w:p w14:paraId="07684514" w14:textId="77777777" w:rsidR="009B715C" w:rsidRPr="00F03C3C" w:rsidRDefault="009B715C" w:rsidP="007C368B">
            <w:pPr>
              <w:spacing w:before="40" w:after="40" w:line="240" w:lineRule="auto"/>
              <w:rPr>
                <w:rFonts w:ascii="Arial" w:hAnsi="Arial"/>
                <w:sz w:val="14"/>
                <w:szCs w:val="18"/>
              </w:rPr>
            </w:pPr>
          </w:p>
        </w:tc>
      </w:tr>
      <w:tr w:rsidR="009B715C" w14:paraId="6EDFBB02" w14:textId="77777777" w:rsidTr="00585BE7">
        <w:trPr>
          <w:jc w:val="center"/>
        </w:trPr>
        <w:tc>
          <w:tcPr>
            <w:tcW w:w="2590" w:type="dxa"/>
            <w:vAlign w:val="center"/>
          </w:tcPr>
          <w:p w14:paraId="0DB023D3" w14:textId="77777777" w:rsidR="009B715C" w:rsidRPr="00F03C3C" w:rsidRDefault="009B715C" w:rsidP="007C368B">
            <w:pPr>
              <w:spacing w:before="40" w:after="40" w:line="240" w:lineRule="auto"/>
              <w:ind w:left="174"/>
              <w:rPr>
                <w:rFonts w:ascii="Arial" w:hAnsi="Arial"/>
                <w:sz w:val="14"/>
                <w:szCs w:val="18"/>
              </w:rPr>
            </w:pPr>
            <w:r>
              <w:rPr>
                <w:rFonts w:ascii="Arial" w:hAnsi="Arial"/>
                <w:color w:val="000000"/>
                <w:sz w:val="14"/>
                <w:szCs w:val="14"/>
              </w:rPr>
              <w:t>2016-17</w:t>
            </w:r>
          </w:p>
        </w:tc>
        <w:tc>
          <w:tcPr>
            <w:tcW w:w="854" w:type="dxa"/>
            <w:vAlign w:val="center"/>
          </w:tcPr>
          <w:p w14:paraId="395B0FC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3,703</w:t>
            </w:r>
          </w:p>
        </w:tc>
        <w:tc>
          <w:tcPr>
            <w:tcW w:w="1026" w:type="dxa"/>
            <w:vAlign w:val="center"/>
          </w:tcPr>
          <w:p w14:paraId="7579DD2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3,679</w:t>
            </w:r>
          </w:p>
        </w:tc>
        <w:tc>
          <w:tcPr>
            <w:tcW w:w="1022" w:type="dxa"/>
            <w:vAlign w:val="center"/>
          </w:tcPr>
          <w:p w14:paraId="5F25E50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3,664</w:t>
            </w:r>
          </w:p>
        </w:tc>
        <w:tc>
          <w:tcPr>
            <w:tcW w:w="1024" w:type="dxa"/>
            <w:vAlign w:val="center"/>
          </w:tcPr>
          <w:p w14:paraId="4BD11371"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3,640</w:t>
            </w:r>
          </w:p>
        </w:tc>
        <w:tc>
          <w:tcPr>
            <w:tcW w:w="1276" w:type="dxa"/>
            <w:vAlign w:val="center"/>
          </w:tcPr>
          <w:p w14:paraId="2EE3A93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3,703</w:t>
            </w:r>
          </w:p>
        </w:tc>
      </w:tr>
      <w:tr w:rsidR="009B715C" w14:paraId="519CDECF" w14:textId="77777777" w:rsidTr="00585BE7">
        <w:trPr>
          <w:jc w:val="center"/>
        </w:trPr>
        <w:tc>
          <w:tcPr>
            <w:tcW w:w="2590" w:type="dxa"/>
            <w:vAlign w:val="center"/>
          </w:tcPr>
          <w:p w14:paraId="18162AA0" w14:textId="77777777" w:rsidR="009B715C" w:rsidRDefault="009B715C" w:rsidP="007C368B">
            <w:pPr>
              <w:spacing w:before="40" w:after="40" w:line="240" w:lineRule="auto"/>
              <w:ind w:left="174"/>
              <w:rPr>
                <w:rFonts w:ascii="Arial" w:hAnsi="Arial"/>
                <w:sz w:val="14"/>
                <w:szCs w:val="18"/>
              </w:rPr>
            </w:pPr>
            <w:r>
              <w:rPr>
                <w:rFonts w:ascii="Arial" w:hAnsi="Arial"/>
                <w:color w:val="000000"/>
                <w:sz w:val="14"/>
                <w:szCs w:val="14"/>
              </w:rPr>
              <w:t>2017-18</w:t>
            </w:r>
          </w:p>
        </w:tc>
        <w:tc>
          <w:tcPr>
            <w:tcW w:w="854" w:type="dxa"/>
            <w:vAlign w:val="center"/>
          </w:tcPr>
          <w:p w14:paraId="256DE902"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5,482</w:t>
            </w:r>
          </w:p>
        </w:tc>
        <w:tc>
          <w:tcPr>
            <w:tcW w:w="1026" w:type="dxa"/>
            <w:vAlign w:val="center"/>
          </w:tcPr>
          <w:p w14:paraId="0490C40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5,457</w:t>
            </w:r>
          </w:p>
        </w:tc>
        <w:tc>
          <w:tcPr>
            <w:tcW w:w="1022" w:type="dxa"/>
            <w:vAlign w:val="center"/>
          </w:tcPr>
          <w:p w14:paraId="40BBF86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5,429</w:t>
            </w:r>
          </w:p>
        </w:tc>
        <w:tc>
          <w:tcPr>
            <w:tcW w:w="1024" w:type="dxa"/>
            <w:vAlign w:val="center"/>
          </w:tcPr>
          <w:p w14:paraId="0635A7C5"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5,392</w:t>
            </w:r>
          </w:p>
        </w:tc>
        <w:tc>
          <w:tcPr>
            <w:tcW w:w="1276" w:type="dxa"/>
            <w:vAlign w:val="center"/>
          </w:tcPr>
          <w:p w14:paraId="5371D8F4"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5,482</w:t>
            </w:r>
          </w:p>
        </w:tc>
      </w:tr>
      <w:tr w:rsidR="009B715C" w14:paraId="46A399C6" w14:textId="77777777" w:rsidTr="00585BE7">
        <w:trPr>
          <w:jc w:val="center"/>
        </w:trPr>
        <w:tc>
          <w:tcPr>
            <w:tcW w:w="2590" w:type="dxa"/>
            <w:vAlign w:val="center"/>
          </w:tcPr>
          <w:p w14:paraId="0A1C80B2" w14:textId="77777777" w:rsidR="009B715C" w:rsidRPr="00F03C3C" w:rsidRDefault="009B715C" w:rsidP="007C368B">
            <w:pPr>
              <w:spacing w:before="40" w:after="40" w:line="240" w:lineRule="auto"/>
              <w:ind w:left="174"/>
              <w:rPr>
                <w:rFonts w:ascii="Arial" w:hAnsi="Arial"/>
                <w:sz w:val="14"/>
                <w:szCs w:val="18"/>
              </w:rPr>
            </w:pPr>
            <w:r>
              <w:rPr>
                <w:rFonts w:ascii="Arial" w:hAnsi="Arial"/>
                <w:color w:val="000000"/>
                <w:sz w:val="14"/>
                <w:szCs w:val="14"/>
              </w:rPr>
              <w:t>2018-19</w:t>
            </w:r>
          </w:p>
        </w:tc>
        <w:tc>
          <w:tcPr>
            <w:tcW w:w="854" w:type="dxa"/>
            <w:vAlign w:val="center"/>
          </w:tcPr>
          <w:p w14:paraId="0281E9C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21,163</w:t>
            </w:r>
          </w:p>
        </w:tc>
        <w:tc>
          <w:tcPr>
            <w:tcW w:w="1026" w:type="dxa"/>
            <w:vAlign w:val="center"/>
          </w:tcPr>
          <w:p w14:paraId="4CF36611"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20,964</w:t>
            </w:r>
          </w:p>
        </w:tc>
        <w:tc>
          <w:tcPr>
            <w:tcW w:w="1022" w:type="dxa"/>
            <w:vAlign w:val="center"/>
          </w:tcPr>
          <w:p w14:paraId="309F790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20,867</w:t>
            </w:r>
          </w:p>
        </w:tc>
        <w:tc>
          <w:tcPr>
            <w:tcW w:w="1024" w:type="dxa"/>
            <w:vAlign w:val="center"/>
          </w:tcPr>
          <w:p w14:paraId="70F33D7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20,708</w:t>
            </w:r>
          </w:p>
        </w:tc>
        <w:tc>
          <w:tcPr>
            <w:tcW w:w="1276" w:type="dxa"/>
            <w:vAlign w:val="center"/>
          </w:tcPr>
          <w:p w14:paraId="3E89C6F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21,163</w:t>
            </w:r>
          </w:p>
        </w:tc>
      </w:tr>
      <w:tr w:rsidR="009B715C" w14:paraId="63E92486" w14:textId="77777777" w:rsidTr="00585BE7">
        <w:trPr>
          <w:jc w:val="center"/>
        </w:trPr>
        <w:tc>
          <w:tcPr>
            <w:tcW w:w="2590" w:type="dxa"/>
            <w:vAlign w:val="center"/>
          </w:tcPr>
          <w:p w14:paraId="0D4F0DCF" w14:textId="77777777" w:rsidR="009B715C" w:rsidRPr="00B6465B" w:rsidRDefault="009B715C" w:rsidP="007C368B">
            <w:pPr>
              <w:spacing w:before="40" w:after="40" w:line="240" w:lineRule="auto"/>
              <w:rPr>
                <w:rFonts w:ascii="Arial" w:hAnsi="Arial"/>
                <w:b/>
                <w:bCs/>
                <w:color w:val="000000"/>
                <w:sz w:val="14"/>
                <w:szCs w:val="14"/>
              </w:rPr>
            </w:pPr>
            <w:r>
              <w:rPr>
                <w:rFonts w:ascii="Arial" w:hAnsi="Arial"/>
                <w:b/>
                <w:bCs/>
                <w:color w:val="000000"/>
                <w:sz w:val="14"/>
                <w:szCs w:val="14"/>
              </w:rPr>
              <w:t>VLI sample HHs removed</w:t>
            </w:r>
          </w:p>
        </w:tc>
        <w:tc>
          <w:tcPr>
            <w:tcW w:w="854" w:type="dxa"/>
            <w:vAlign w:val="center"/>
          </w:tcPr>
          <w:p w14:paraId="2CD17F9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7C19737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776F765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0A1CE1C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110E1285"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6CA812D7" w14:textId="77777777" w:rsidTr="00585BE7">
        <w:trPr>
          <w:jc w:val="center"/>
        </w:trPr>
        <w:tc>
          <w:tcPr>
            <w:tcW w:w="2590" w:type="dxa"/>
            <w:vAlign w:val="center"/>
          </w:tcPr>
          <w:p w14:paraId="022B08F7" w14:textId="77777777" w:rsidR="009B715C" w:rsidRPr="00F03C3C" w:rsidRDefault="009B715C" w:rsidP="007C368B">
            <w:pPr>
              <w:spacing w:before="40" w:after="40" w:line="240" w:lineRule="auto"/>
              <w:ind w:left="174"/>
              <w:rPr>
                <w:rFonts w:ascii="Arial" w:hAnsi="Arial"/>
                <w:sz w:val="14"/>
                <w:szCs w:val="18"/>
              </w:rPr>
            </w:pPr>
            <w:r>
              <w:rPr>
                <w:rFonts w:ascii="Arial" w:hAnsi="Arial"/>
                <w:color w:val="000000"/>
                <w:sz w:val="14"/>
                <w:szCs w:val="14"/>
              </w:rPr>
              <w:t>2016-17</w:t>
            </w:r>
          </w:p>
        </w:tc>
        <w:tc>
          <w:tcPr>
            <w:tcW w:w="854" w:type="dxa"/>
            <w:vAlign w:val="center"/>
          </w:tcPr>
          <w:p w14:paraId="4803AED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50584AE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24</w:t>
            </w:r>
          </w:p>
        </w:tc>
        <w:tc>
          <w:tcPr>
            <w:tcW w:w="1022" w:type="dxa"/>
            <w:vAlign w:val="center"/>
          </w:tcPr>
          <w:p w14:paraId="663E38A3"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39</w:t>
            </w:r>
          </w:p>
        </w:tc>
        <w:tc>
          <w:tcPr>
            <w:tcW w:w="1024" w:type="dxa"/>
            <w:vAlign w:val="center"/>
          </w:tcPr>
          <w:p w14:paraId="7C0FB24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63</w:t>
            </w:r>
          </w:p>
        </w:tc>
        <w:tc>
          <w:tcPr>
            <w:tcW w:w="1276" w:type="dxa"/>
            <w:vAlign w:val="center"/>
          </w:tcPr>
          <w:p w14:paraId="01386C8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3DBDFF76" w14:textId="77777777" w:rsidTr="00585BE7">
        <w:trPr>
          <w:jc w:val="center"/>
        </w:trPr>
        <w:tc>
          <w:tcPr>
            <w:tcW w:w="2590" w:type="dxa"/>
            <w:vAlign w:val="center"/>
          </w:tcPr>
          <w:p w14:paraId="06E7AADC" w14:textId="77777777" w:rsidR="009B715C" w:rsidRPr="00F03C3C" w:rsidRDefault="009B715C" w:rsidP="007C368B">
            <w:pPr>
              <w:spacing w:before="40" w:after="40" w:line="240" w:lineRule="auto"/>
              <w:ind w:left="174"/>
              <w:rPr>
                <w:rFonts w:ascii="Arial" w:hAnsi="Arial"/>
                <w:sz w:val="14"/>
                <w:szCs w:val="18"/>
              </w:rPr>
            </w:pPr>
            <w:r>
              <w:rPr>
                <w:rFonts w:ascii="Arial" w:hAnsi="Arial"/>
                <w:color w:val="000000"/>
                <w:sz w:val="14"/>
                <w:szCs w:val="14"/>
              </w:rPr>
              <w:t>2017-18</w:t>
            </w:r>
          </w:p>
        </w:tc>
        <w:tc>
          <w:tcPr>
            <w:tcW w:w="854" w:type="dxa"/>
            <w:vAlign w:val="center"/>
          </w:tcPr>
          <w:p w14:paraId="00927665"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0DD4A43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25</w:t>
            </w:r>
          </w:p>
        </w:tc>
        <w:tc>
          <w:tcPr>
            <w:tcW w:w="1022" w:type="dxa"/>
            <w:vAlign w:val="center"/>
          </w:tcPr>
          <w:p w14:paraId="31AC62D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53</w:t>
            </w:r>
          </w:p>
        </w:tc>
        <w:tc>
          <w:tcPr>
            <w:tcW w:w="1024" w:type="dxa"/>
            <w:vAlign w:val="center"/>
          </w:tcPr>
          <w:p w14:paraId="3D58B26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90</w:t>
            </w:r>
          </w:p>
        </w:tc>
        <w:tc>
          <w:tcPr>
            <w:tcW w:w="1276" w:type="dxa"/>
            <w:vAlign w:val="center"/>
          </w:tcPr>
          <w:p w14:paraId="0EC1D96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4A00B7A0" w14:textId="77777777" w:rsidTr="00585BE7">
        <w:trPr>
          <w:jc w:val="center"/>
        </w:trPr>
        <w:tc>
          <w:tcPr>
            <w:tcW w:w="2590" w:type="dxa"/>
            <w:vAlign w:val="center"/>
          </w:tcPr>
          <w:p w14:paraId="3CFE30CD" w14:textId="77777777" w:rsidR="009B715C" w:rsidRDefault="009B715C" w:rsidP="007C368B">
            <w:pPr>
              <w:spacing w:before="40" w:after="40" w:line="240" w:lineRule="auto"/>
              <w:ind w:left="174"/>
              <w:rPr>
                <w:rFonts w:ascii="Arial" w:hAnsi="Arial"/>
                <w:sz w:val="14"/>
                <w:szCs w:val="18"/>
              </w:rPr>
            </w:pPr>
            <w:r>
              <w:rPr>
                <w:rFonts w:ascii="Arial" w:hAnsi="Arial"/>
                <w:color w:val="000000"/>
                <w:sz w:val="14"/>
                <w:szCs w:val="14"/>
              </w:rPr>
              <w:t>2018-19</w:t>
            </w:r>
          </w:p>
        </w:tc>
        <w:tc>
          <w:tcPr>
            <w:tcW w:w="854" w:type="dxa"/>
            <w:vAlign w:val="center"/>
          </w:tcPr>
          <w:p w14:paraId="7EA307A1"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4F689F8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199</w:t>
            </w:r>
          </w:p>
        </w:tc>
        <w:tc>
          <w:tcPr>
            <w:tcW w:w="1022" w:type="dxa"/>
            <w:vAlign w:val="center"/>
          </w:tcPr>
          <w:p w14:paraId="7BBDCBF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296</w:t>
            </w:r>
          </w:p>
        </w:tc>
        <w:tc>
          <w:tcPr>
            <w:tcW w:w="1024" w:type="dxa"/>
            <w:vAlign w:val="center"/>
          </w:tcPr>
          <w:p w14:paraId="3B47E56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455</w:t>
            </w:r>
          </w:p>
        </w:tc>
        <w:tc>
          <w:tcPr>
            <w:tcW w:w="1276" w:type="dxa"/>
            <w:vAlign w:val="center"/>
          </w:tcPr>
          <w:p w14:paraId="5039871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7DAE1A8A" w14:textId="77777777" w:rsidTr="00585BE7">
        <w:trPr>
          <w:jc w:val="center"/>
        </w:trPr>
        <w:tc>
          <w:tcPr>
            <w:tcW w:w="2590" w:type="dxa"/>
            <w:vAlign w:val="center"/>
          </w:tcPr>
          <w:p w14:paraId="18916465" w14:textId="77777777" w:rsidR="009B715C" w:rsidRDefault="009B715C" w:rsidP="007C368B">
            <w:pPr>
              <w:spacing w:before="40" w:after="40" w:line="240" w:lineRule="auto"/>
              <w:rPr>
                <w:rFonts w:ascii="Arial" w:hAnsi="Arial"/>
                <w:sz w:val="14"/>
                <w:szCs w:val="18"/>
              </w:rPr>
            </w:pPr>
            <w:r>
              <w:rPr>
                <w:rFonts w:ascii="Arial" w:hAnsi="Arial"/>
                <w:b/>
                <w:bCs/>
                <w:color w:val="000000"/>
                <w:sz w:val="14"/>
                <w:szCs w:val="14"/>
              </w:rPr>
              <w:t>% VLI sample HHs removed</w:t>
            </w:r>
          </w:p>
        </w:tc>
        <w:tc>
          <w:tcPr>
            <w:tcW w:w="854" w:type="dxa"/>
            <w:vAlign w:val="center"/>
          </w:tcPr>
          <w:p w14:paraId="1CC5466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572B348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2F8B586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0FCBC2E3"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170032E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689AB62C" w14:textId="77777777" w:rsidTr="00585BE7">
        <w:trPr>
          <w:jc w:val="center"/>
        </w:trPr>
        <w:tc>
          <w:tcPr>
            <w:tcW w:w="2590" w:type="dxa"/>
            <w:vAlign w:val="center"/>
          </w:tcPr>
          <w:p w14:paraId="1B3D10AD" w14:textId="77777777" w:rsidR="009B715C" w:rsidRPr="00B6465B" w:rsidRDefault="009B715C" w:rsidP="007C368B">
            <w:pPr>
              <w:spacing w:before="40" w:after="40" w:line="240" w:lineRule="auto"/>
              <w:ind w:left="174"/>
              <w:rPr>
                <w:rFonts w:ascii="Arial" w:hAnsi="Arial"/>
                <w:color w:val="000000"/>
                <w:sz w:val="14"/>
                <w:szCs w:val="14"/>
              </w:rPr>
            </w:pPr>
            <w:r>
              <w:rPr>
                <w:rFonts w:ascii="Arial" w:hAnsi="Arial"/>
                <w:color w:val="000000"/>
                <w:sz w:val="14"/>
                <w:szCs w:val="14"/>
              </w:rPr>
              <w:t>2016-17</w:t>
            </w:r>
          </w:p>
        </w:tc>
        <w:tc>
          <w:tcPr>
            <w:tcW w:w="854" w:type="dxa"/>
            <w:vAlign w:val="center"/>
          </w:tcPr>
          <w:p w14:paraId="10B5901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c>
          <w:tcPr>
            <w:tcW w:w="1026" w:type="dxa"/>
            <w:vAlign w:val="center"/>
          </w:tcPr>
          <w:p w14:paraId="2065BAF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0.7</w:t>
            </w:r>
          </w:p>
        </w:tc>
        <w:tc>
          <w:tcPr>
            <w:tcW w:w="1022" w:type="dxa"/>
            <w:vAlign w:val="center"/>
          </w:tcPr>
          <w:p w14:paraId="79C366A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1.1</w:t>
            </w:r>
          </w:p>
        </w:tc>
        <w:tc>
          <w:tcPr>
            <w:tcW w:w="1024" w:type="dxa"/>
            <w:vAlign w:val="center"/>
          </w:tcPr>
          <w:p w14:paraId="58471B31"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w:t>
            </w:r>
          </w:p>
        </w:tc>
        <w:tc>
          <w:tcPr>
            <w:tcW w:w="1276" w:type="dxa"/>
            <w:vAlign w:val="center"/>
          </w:tcPr>
          <w:p w14:paraId="3AEB1BE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r>
      <w:tr w:rsidR="009B715C" w14:paraId="6F0E1B12" w14:textId="77777777" w:rsidTr="00585BE7">
        <w:trPr>
          <w:jc w:val="center"/>
        </w:trPr>
        <w:tc>
          <w:tcPr>
            <w:tcW w:w="2590" w:type="dxa"/>
            <w:vAlign w:val="center"/>
          </w:tcPr>
          <w:p w14:paraId="124BB1D8" w14:textId="77777777" w:rsidR="009B715C" w:rsidRPr="00B6465B" w:rsidRDefault="009B715C" w:rsidP="007C368B">
            <w:pPr>
              <w:spacing w:before="40" w:after="40" w:line="240" w:lineRule="auto"/>
              <w:ind w:left="174"/>
              <w:rPr>
                <w:rFonts w:ascii="Arial" w:hAnsi="Arial"/>
                <w:color w:val="000000"/>
                <w:sz w:val="14"/>
                <w:szCs w:val="14"/>
              </w:rPr>
            </w:pPr>
            <w:r>
              <w:rPr>
                <w:rFonts w:ascii="Arial" w:hAnsi="Arial"/>
                <w:color w:val="000000"/>
                <w:sz w:val="14"/>
                <w:szCs w:val="14"/>
              </w:rPr>
              <w:t>2017-18</w:t>
            </w:r>
          </w:p>
        </w:tc>
        <w:tc>
          <w:tcPr>
            <w:tcW w:w="854" w:type="dxa"/>
            <w:vAlign w:val="center"/>
          </w:tcPr>
          <w:p w14:paraId="7CF2689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c>
          <w:tcPr>
            <w:tcW w:w="1026" w:type="dxa"/>
            <w:vAlign w:val="center"/>
          </w:tcPr>
          <w:p w14:paraId="7AA40AE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0.5</w:t>
            </w:r>
          </w:p>
        </w:tc>
        <w:tc>
          <w:tcPr>
            <w:tcW w:w="1022" w:type="dxa"/>
            <w:vAlign w:val="center"/>
          </w:tcPr>
          <w:p w14:paraId="02431ED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1.0</w:t>
            </w:r>
          </w:p>
        </w:tc>
        <w:tc>
          <w:tcPr>
            <w:tcW w:w="1024" w:type="dxa"/>
            <w:vAlign w:val="center"/>
          </w:tcPr>
          <w:p w14:paraId="6403706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w:t>
            </w:r>
          </w:p>
        </w:tc>
        <w:tc>
          <w:tcPr>
            <w:tcW w:w="1276" w:type="dxa"/>
            <w:vAlign w:val="center"/>
          </w:tcPr>
          <w:p w14:paraId="72FD00A1"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r>
      <w:tr w:rsidR="009B715C" w14:paraId="36963DBE" w14:textId="77777777" w:rsidTr="00585BE7">
        <w:trPr>
          <w:jc w:val="center"/>
        </w:trPr>
        <w:tc>
          <w:tcPr>
            <w:tcW w:w="2590" w:type="dxa"/>
            <w:vAlign w:val="center"/>
          </w:tcPr>
          <w:p w14:paraId="0B3161AD" w14:textId="77777777" w:rsidR="009B715C" w:rsidRPr="00B6465B" w:rsidRDefault="009B715C" w:rsidP="007C368B">
            <w:pPr>
              <w:spacing w:before="40" w:after="40" w:line="240" w:lineRule="auto"/>
              <w:ind w:left="174"/>
              <w:rPr>
                <w:rFonts w:ascii="Arial" w:hAnsi="Arial"/>
                <w:color w:val="000000"/>
                <w:sz w:val="14"/>
                <w:szCs w:val="14"/>
              </w:rPr>
            </w:pPr>
            <w:r>
              <w:rPr>
                <w:rFonts w:ascii="Arial" w:hAnsi="Arial"/>
                <w:color w:val="000000"/>
                <w:sz w:val="14"/>
                <w:szCs w:val="14"/>
              </w:rPr>
              <w:t>2018-19</w:t>
            </w:r>
          </w:p>
        </w:tc>
        <w:tc>
          <w:tcPr>
            <w:tcW w:w="854" w:type="dxa"/>
            <w:vAlign w:val="center"/>
          </w:tcPr>
          <w:p w14:paraId="007CDF2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c>
          <w:tcPr>
            <w:tcW w:w="1026" w:type="dxa"/>
            <w:vAlign w:val="center"/>
          </w:tcPr>
          <w:p w14:paraId="518887B8"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0.9</w:t>
            </w:r>
          </w:p>
        </w:tc>
        <w:tc>
          <w:tcPr>
            <w:tcW w:w="1022" w:type="dxa"/>
            <w:vAlign w:val="center"/>
          </w:tcPr>
          <w:p w14:paraId="7DCB876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1.4</w:t>
            </w:r>
          </w:p>
        </w:tc>
        <w:tc>
          <w:tcPr>
            <w:tcW w:w="1024" w:type="dxa"/>
            <w:vAlign w:val="center"/>
          </w:tcPr>
          <w:p w14:paraId="0416F68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2.2</w:t>
            </w:r>
          </w:p>
        </w:tc>
        <w:tc>
          <w:tcPr>
            <w:tcW w:w="1276" w:type="dxa"/>
            <w:vAlign w:val="center"/>
          </w:tcPr>
          <w:p w14:paraId="7FFD619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r>
      <w:tr w:rsidR="009B715C" w14:paraId="6F739C70" w14:textId="77777777" w:rsidTr="00585BE7">
        <w:trPr>
          <w:jc w:val="center"/>
        </w:trPr>
        <w:tc>
          <w:tcPr>
            <w:tcW w:w="2590" w:type="dxa"/>
            <w:vAlign w:val="center"/>
          </w:tcPr>
          <w:p w14:paraId="3CCB71F9" w14:textId="77777777" w:rsidR="009B715C" w:rsidRDefault="009B715C" w:rsidP="007C368B">
            <w:pPr>
              <w:spacing w:before="40" w:after="40" w:line="240" w:lineRule="auto"/>
              <w:ind w:firstLine="174"/>
              <w:rPr>
                <w:rFonts w:ascii="Arial" w:hAnsi="Arial"/>
                <w:sz w:val="14"/>
                <w:szCs w:val="18"/>
              </w:rPr>
            </w:pPr>
            <w:r>
              <w:rPr>
                <w:rFonts w:ascii="Arial" w:hAnsi="Arial"/>
                <w:color w:val="000000"/>
                <w:sz w:val="14"/>
                <w:szCs w:val="14"/>
              </w:rPr>
              <w:t> </w:t>
            </w:r>
          </w:p>
        </w:tc>
        <w:tc>
          <w:tcPr>
            <w:tcW w:w="854" w:type="dxa"/>
            <w:vAlign w:val="center"/>
          </w:tcPr>
          <w:p w14:paraId="63E0300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2A9F5CD4"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3EB8F42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587B4C6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0D2F6CF5"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551846E0" w14:textId="77777777" w:rsidTr="00585BE7">
        <w:trPr>
          <w:jc w:val="center"/>
        </w:trPr>
        <w:tc>
          <w:tcPr>
            <w:tcW w:w="2590" w:type="dxa"/>
            <w:vAlign w:val="center"/>
          </w:tcPr>
          <w:p w14:paraId="41455FAF" w14:textId="77777777" w:rsidR="009B715C" w:rsidRDefault="009B715C" w:rsidP="007C368B">
            <w:pPr>
              <w:spacing w:before="40" w:after="40" w:line="240" w:lineRule="auto"/>
              <w:rPr>
                <w:rFonts w:ascii="Arial" w:hAnsi="Arial"/>
                <w:sz w:val="14"/>
                <w:szCs w:val="18"/>
              </w:rPr>
            </w:pPr>
            <w:r>
              <w:rPr>
                <w:rFonts w:ascii="Arial" w:hAnsi="Arial"/>
                <w:b/>
                <w:bCs/>
                <w:color w:val="000000"/>
                <w:sz w:val="14"/>
                <w:szCs w:val="14"/>
              </w:rPr>
              <w:t>Weighted HHs</w:t>
            </w:r>
          </w:p>
        </w:tc>
        <w:tc>
          <w:tcPr>
            <w:tcW w:w="854" w:type="dxa"/>
            <w:vAlign w:val="center"/>
          </w:tcPr>
          <w:p w14:paraId="1D74A51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1EEE98D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4269FAA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76C2636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1A6CA59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2CF62999" w14:textId="77777777" w:rsidTr="00585BE7">
        <w:trPr>
          <w:jc w:val="center"/>
        </w:trPr>
        <w:tc>
          <w:tcPr>
            <w:tcW w:w="2590" w:type="dxa"/>
            <w:vAlign w:val="center"/>
          </w:tcPr>
          <w:p w14:paraId="1F63D6BE" w14:textId="77777777" w:rsidR="009B715C" w:rsidRDefault="009B715C" w:rsidP="007C368B">
            <w:pPr>
              <w:spacing w:before="40" w:after="40" w:line="240" w:lineRule="auto"/>
              <w:ind w:firstLine="174"/>
              <w:rPr>
                <w:rFonts w:ascii="Arial" w:hAnsi="Arial"/>
                <w:sz w:val="14"/>
                <w:szCs w:val="18"/>
              </w:rPr>
            </w:pPr>
            <w:r>
              <w:rPr>
                <w:rFonts w:ascii="Arial" w:hAnsi="Arial"/>
                <w:color w:val="000000"/>
                <w:sz w:val="14"/>
                <w:szCs w:val="14"/>
              </w:rPr>
              <w:t>2016-17</w:t>
            </w:r>
          </w:p>
        </w:tc>
        <w:tc>
          <w:tcPr>
            <w:tcW w:w="854" w:type="dxa"/>
            <w:vAlign w:val="center"/>
          </w:tcPr>
          <w:p w14:paraId="543208E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1,711,552</w:t>
            </w:r>
          </w:p>
        </w:tc>
        <w:tc>
          <w:tcPr>
            <w:tcW w:w="1026" w:type="dxa"/>
            <w:vAlign w:val="center"/>
          </w:tcPr>
          <w:p w14:paraId="1E8D0DA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1,699,954</w:t>
            </w:r>
          </w:p>
        </w:tc>
        <w:tc>
          <w:tcPr>
            <w:tcW w:w="1022" w:type="dxa"/>
            <w:vAlign w:val="center"/>
          </w:tcPr>
          <w:p w14:paraId="24521AF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1,693,787</w:t>
            </w:r>
          </w:p>
        </w:tc>
        <w:tc>
          <w:tcPr>
            <w:tcW w:w="1024" w:type="dxa"/>
            <w:vAlign w:val="center"/>
          </w:tcPr>
          <w:p w14:paraId="7CE2026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1,684,149</w:t>
            </w:r>
          </w:p>
        </w:tc>
        <w:tc>
          <w:tcPr>
            <w:tcW w:w="1276" w:type="dxa"/>
            <w:vAlign w:val="center"/>
          </w:tcPr>
          <w:p w14:paraId="0583D104"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1,711,552</w:t>
            </w:r>
          </w:p>
        </w:tc>
      </w:tr>
      <w:tr w:rsidR="009B715C" w14:paraId="364AF610" w14:textId="77777777" w:rsidTr="00585BE7">
        <w:trPr>
          <w:jc w:val="center"/>
        </w:trPr>
        <w:tc>
          <w:tcPr>
            <w:tcW w:w="2590" w:type="dxa"/>
            <w:vAlign w:val="center"/>
          </w:tcPr>
          <w:p w14:paraId="7AA68D53" w14:textId="77777777" w:rsidR="009B715C" w:rsidRDefault="009B715C" w:rsidP="007C368B">
            <w:pPr>
              <w:spacing w:before="40" w:after="40" w:line="240" w:lineRule="auto"/>
              <w:ind w:firstLine="174"/>
              <w:rPr>
                <w:rFonts w:ascii="Arial" w:hAnsi="Arial"/>
                <w:sz w:val="14"/>
                <w:szCs w:val="18"/>
              </w:rPr>
            </w:pPr>
            <w:r>
              <w:rPr>
                <w:rFonts w:ascii="Arial" w:hAnsi="Arial"/>
                <w:color w:val="000000"/>
                <w:sz w:val="14"/>
                <w:szCs w:val="14"/>
              </w:rPr>
              <w:t>2017-18</w:t>
            </w:r>
          </w:p>
        </w:tc>
        <w:tc>
          <w:tcPr>
            <w:tcW w:w="854" w:type="dxa"/>
            <w:vAlign w:val="center"/>
          </w:tcPr>
          <w:p w14:paraId="62889293"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1,734,025</w:t>
            </w:r>
          </w:p>
        </w:tc>
        <w:tc>
          <w:tcPr>
            <w:tcW w:w="1026" w:type="dxa"/>
            <w:vAlign w:val="center"/>
          </w:tcPr>
          <w:p w14:paraId="2C6C011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1,724,647</w:t>
            </w:r>
          </w:p>
        </w:tc>
        <w:tc>
          <w:tcPr>
            <w:tcW w:w="1022" w:type="dxa"/>
            <w:vAlign w:val="center"/>
          </w:tcPr>
          <w:p w14:paraId="4673D56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1,714,118</w:t>
            </w:r>
          </w:p>
        </w:tc>
        <w:tc>
          <w:tcPr>
            <w:tcW w:w="1024" w:type="dxa"/>
            <w:vAlign w:val="center"/>
          </w:tcPr>
          <w:p w14:paraId="64CFCEA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1,705,541</w:t>
            </w:r>
          </w:p>
        </w:tc>
        <w:tc>
          <w:tcPr>
            <w:tcW w:w="1276" w:type="dxa"/>
            <w:vAlign w:val="center"/>
          </w:tcPr>
          <w:p w14:paraId="1336BF0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1,734,025</w:t>
            </w:r>
          </w:p>
        </w:tc>
      </w:tr>
      <w:tr w:rsidR="009B715C" w14:paraId="674C30D3" w14:textId="77777777" w:rsidTr="00585BE7">
        <w:trPr>
          <w:jc w:val="center"/>
        </w:trPr>
        <w:tc>
          <w:tcPr>
            <w:tcW w:w="2590" w:type="dxa"/>
            <w:vAlign w:val="center"/>
          </w:tcPr>
          <w:p w14:paraId="74CE9615" w14:textId="77777777" w:rsidR="009B715C" w:rsidRDefault="009B715C" w:rsidP="007C368B">
            <w:pPr>
              <w:spacing w:before="40" w:after="40" w:line="240" w:lineRule="auto"/>
              <w:ind w:firstLine="174"/>
              <w:rPr>
                <w:rFonts w:ascii="Arial" w:hAnsi="Arial"/>
                <w:sz w:val="14"/>
                <w:szCs w:val="18"/>
              </w:rPr>
            </w:pPr>
            <w:r>
              <w:rPr>
                <w:rFonts w:ascii="Arial" w:hAnsi="Arial"/>
                <w:color w:val="000000"/>
                <w:sz w:val="14"/>
                <w:szCs w:val="14"/>
              </w:rPr>
              <w:t>2018-19</w:t>
            </w:r>
          </w:p>
        </w:tc>
        <w:tc>
          <w:tcPr>
            <w:tcW w:w="854" w:type="dxa"/>
            <w:vAlign w:val="center"/>
          </w:tcPr>
          <w:p w14:paraId="34608E6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1,755,131</w:t>
            </w:r>
          </w:p>
        </w:tc>
        <w:tc>
          <w:tcPr>
            <w:tcW w:w="1026" w:type="dxa"/>
            <w:vAlign w:val="center"/>
          </w:tcPr>
          <w:p w14:paraId="7743D91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1,735,378</w:t>
            </w:r>
          </w:p>
        </w:tc>
        <w:tc>
          <w:tcPr>
            <w:tcW w:w="1022" w:type="dxa"/>
            <w:vAlign w:val="center"/>
          </w:tcPr>
          <w:p w14:paraId="00ED0342"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1,721,198</w:t>
            </w:r>
          </w:p>
        </w:tc>
        <w:tc>
          <w:tcPr>
            <w:tcW w:w="1024" w:type="dxa"/>
            <w:vAlign w:val="center"/>
          </w:tcPr>
          <w:p w14:paraId="1FA2A6A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1,706,668</w:t>
            </w:r>
          </w:p>
        </w:tc>
        <w:tc>
          <w:tcPr>
            <w:tcW w:w="1276" w:type="dxa"/>
            <w:vAlign w:val="center"/>
          </w:tcPr>
          <w:p w14:paraId="3DE07744"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1,755,131</w:t>
            </w:r>
          </w:p>
        </w:tc>
      </w:tr>
      <w:tr w:rsidR="009B715C" w14:paraId="56E4B904" w14:textId="77777777" w:rsidTr="00585BE7">
        <w:trPr>
          <w:jc w:val="center"/>
        </w:trPr>
        <w:tc>
          <w:tcPr>
            <w:tcW w:w="2590" w:type="dxa"/>
            <w:vAlign w:val="center"/>
          </w:tcPr>
          <w:p w14:paraId="70F9EAF6" w14:textId="77777777" w:rsidR="009B715C" w:rsidRDefault="009B715C" w:rsidP="007C368B">
            <w:pPr>
              <w:spacing w:before="40" w:after="40" w:line="240" w:lineRule="auto"/>
              <w:rPr>
                <w:rFonts w:ascii="Arial" w:hAnsi="Arial"/>
                <w:sz w:val="14"/>
                <w:szCs w:val="18"/>
              </w:rPr>
            </w:pPr>
            <w:r>
              <w:rPr>
                <w:rFonts w:ascii="Arial" w:hAnsi="Arial"/>
                <w:b/>
                <w:bCs/>
                <w:color w:val="000000"/>
                <w:sz w:val="14"/>
                <w:szCs w:val="14"/>
              </w:rPr>
              <w:t>VLI weighted HHs removed</w:t>
            </w:r>
          </w:p>
        </w:tc>
        <w:tc>
          <w:tcPr>
            <w:tcW w:w="854" w:type="dxa"/>
            <w:vAlign w:val="center"/>
          </w:tcPr>
          <w:p w14:paraId="3EB7D72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2DC6C446"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3D646CA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50A7FCA2"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5793A9C4"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5E01B5A0" w14:textId="77777777" w:rsidTr="00585BE7">
        <w:trPr>
          <w:jc w:val="center"/>
        </w:trPr>
        <w:tc>
          <w:tcPr>
            <w:tcW w:w="2590" w:type="dxa"/>
            <w:vAlign w:val="center"/>
          </w:tcPr>
          <w:p w14:paraId="1F9AAF1D" w14:textId="77777777" w:rsidR="009B715C" w:rsidRPr="00B6465B" w:rsidRDefault="009B715C" w:rsidP="007C368B">
            <w:pPr>
              <w:spacing w:before="40" w:after="40" w:line="240" w:lineRule="auto"/>
              <w:ind w:firstLine="174"/>
              <w:rPr>
                <w:rFonts w:ascii="Arial" w:hAnsi="Arial"/>
                <w:color w:val="000000"/>
                <w:sz w:val="14"/>
                <w:szCs w:val="14"/>
              </w:rPr>
            </w:pPr>
            <w:r>
              <w:rPr>
                <w:rFonts w:ascii="Arial" w:hAnsi="Arial"/>
                <w:color w:val="000000"/>
                <w:sz w:val="14"/>
                <w:szCs w:val="14"/>
              </w:rPr>
              <w:t>2016-17</w:t>
            </w:r>
          </w:p>
        </w:tc>
        <w:tc>
          <w:tcPr>
            <w:tcW w:w="854" w:type="dxa"/>
            <w:vAlign w:val="center"/>
          </w:tcPr>
          <w:p w14:paraId="0C3CAB2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0E7EB2D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11,598</w:t>
            </w:r>
          </w:p>
        </w:tc>
        <w:tc>
          <w:tcPr>
            <w:tcW w:w="1022" w:type="dxa"/>
            <w:vAlign w:val="center"/>
          </w:tcPr>
          <w:p w14:paraId="2D9E9F85"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17,765</w:t>
            </w:r>
          </w:p>
        </w:tc>
        <w:tc>
          <w:tcPr>
            <w:tcW w:w="1024" w:type="dxa"/>
            <w:vAlign w:val="center"/>
          </w:tcPr>
          <w:p w14:paraId="395A6F82"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27,403</w:t>
            </w:r>
          </w:p>
        </w:tc>
        <w:tc>
          <w:tcPr>
            <w:tcW w:w="1276" w:type="dxa"/>
            <w:vAlign w:val="center"/>
          </w:tcPr>
          <w:p w14:paraId="5D749EE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7D9A884B" w14:textId="77777777" w:rsidTr="00585BE7">
        <w:trPr>
          <w:jc w:val="center"/>
        </w:trPr>
        <w:tc>
          <w:tcPr>
            <w:tcW w:w="2590" w:type="dxa"/>
            <w:vAlign w:val="center"/>
          </w:tcPr>
          <w:p w14:paraId="02A19891" w14:textId="77777777" w:rsidR="009B715C" w:rsidRPr="00B6465B" w:rsidRDefault="009B715C" w:rsidP="007C368B">
            <w:pPr>
              <w:spacing w:before="40" w:after="40" w:line="240" w:lineRule="auto"/>
              <w:ind w:firstLine="174"/>
              <w:rPr>
                <w:rFonts w:ascii="Arial" w:hAnsi="Arial"/>
                <w:color w:val="000000"/>
                <w:sz w:val="14"/>
                <w:szCs w:val="14"/>
              </w:rPr>
            </w:pPr>
            <w:r>
              <w:rPr>
                <w:rFonts w:ascii="Arial" w:hAnsi="Arial"/>
                <w:color w:val="000000"/>
                <w:sz w:val="14"/>
                <w:szCs w:val="14"/>
              </w:rPr>
              <w:t>2017-18</w:t>
            </w:r>
          </w:p>
        </w:tc>
        <w:tc>
          <w:tcPr>
            <w:tcW w:w="854" w:type="dxa"/>
            <w:vAlign w:val="center"/>
          </w:tcPr>
          <w:p w14:paraId="0C669333"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5629B89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9,378</w:t>
            </w:r>
          </w:p>
        </w:tc>
        <w:tc>
          <w:tcPr>
            <w:tcW w:w="1022" w:type="dxa"/>
            <w:vAlign w:val="center"/>
          </w:tcPr>
          <w:p w14:paraId="199A3D2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19,907</w:t>
            </w:r>
          </w:p>
        </w:tc>
        <w:tc>
          <w:tcPr>
            <w:tcW w:w="1024" w:type="dxa"/>
            <w:vAlign w:val="center"/>
          </w:tcPr>
          <w:p w14:paraId="4D28CB5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28,484</w:t>
            </w:r>
          </w:p>
        </w:tc>
        <w:tc>
          <w:tcPr>
            <w:tcW w:w="1276" w:type="dxa"/>
            <w:vAlign w:val="center"/>
          </w:tcPr>
          <w:p w14:paraId="310DE86E"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3BA4C833" w14:textId="77777777" w:rsidTr="00585BE7">
        <w:trPr>
          <w:jc w:val="center"/>
        </w:trPr>
        <w:tc>
          <w:tcPr>
            <w:tcW w:w="2590" w:type="dxa"/>
            <w:vAlign w:val="center"/>
          </w:tcPr>
          <w:p w14:paraId="2C6B9843" w14:textId="77777777" w:rsidR="009B715C" w:rsidRPr="00B6465B" w:rsidRDefault="009B715C" w:rsidP="007C368B">
            <w:pPr>
              <w:spacing w:before="40" w:after="40" w:line="240" w:lineRule="auto"/>
              <w:ind w:firstLine="174"/>
              <w:rPr>
                <w:rFonts w:ascii="Arial" w:hAnsi="Arial"/>
                <w:color w:val="000000"/>
                <w:sz w:val="14"/>
                <w:szCs w:val="14"/>
              </w:rPr>
            </w:pPr>
            <w:r>
              <w:rPr>
                <w:rFonts w:ascii="Arial" w:hAnsi="Arial"/>
                <w:color w:val="000000"/>
                <w:sz w:val="14"/>
                <w:szCs w:val="14"/>
              </w:rPr>
              <w:t>2018-19</w:t>
            </w:r>
          </w:p>
        </w:tc>
        <w:tc>
          <w:tcPr>
            <w:tcW w:w="854" w:type="dxa"/>
            <w:vAlign w:val="center"/>
          </w:tcPr>
          <w:p w14:paraId="36BD154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c>
          <w:tcPr>
            <w:tcW w:w="1026" w:type="dxa"/>
            <w:vAlign w:val="center"/>
          </w:tcPr>
          <w:p w14:paraId="0EE66E4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19,753</w:t>
            </w:r>
          </w:p>
        </w:tc>
        <w:tc>
          <w:tcPr>
            <w:tcW w:w="1022" w:type="dxa"/>
            <w:vAlign w:val="center"/>
          </w:tcPr>
          <w:p w14:paraId="3921950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33,933</w:t>
            </w:r>
          </w:p>
        </w:tc>
        <w:tc>
          <w:tcPr>
            <w:tcW w:w="1024" w:type="dxa"/>
            <w:vAlign w:val="center"/>
          </w:tcPr>
          <w:p w14:paraId="585FE5D8"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48,463</w:t>
            </w:r>
          </w:p>
        </w:tc>
        <w:tc>
          <w:tcPr>
            <w:tcW w:w="1276" w:type="dxa"/>
            <w:vAlign w:val="center"/>
          </w:tcPr>
          <w:p w14:paraId="72016C4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w:t>
            </w:r>
          </w:p>
        </w:tc>
      </w:tr>
      <w:tr w:rsidR="009B715C" w14:paraId="43EFEF33" w14:textId="77777777" w:rsidTr="00585BE7">
        <w:trPr>
          <w:jc w:val="center"/>
        </w:trPr>
        <w:tc>
          <w:tcPr>
            <w:tcW w:w="2590" w:type="dxa"/>
            <w:vAlign w:val="center"/>
          </w:tcPr>
          <w:p w14:paraId="3BA11AAE" w14:textId="77777777" w:rsidR="009B715C" w:rsidRDefault="009B715C" w:rsidP="007C368B">
            <w:pPr>
              <w:spacing w:before="40" w:after="40" w:line="240" w:lineRule="auto"/>
              <w:rPr>
                <w:rFonts w:ascii="Arial" w:hAnsi="Arial"/>
                <w:sz w:val="14"/>
                <w:szCs w:val="18"/>
              </w:rPr>
            </w:pPr>
            <w:r>
              <w:rPr>
                <w:rFonts w:ascii="Arial" w:hAnsi="Arial"/>
                <w:b/>
                <w:bCs/>
                <w:color w:val="000000"/>
                <w:sz w:val="14"/>
                <w:szCs w:val="14"/>
              </w:rPr>
              <w:t>% VLI weighted HHs removed</w:t>
            </w:r>
          </w:p>
        </w:tc>
        <w:tc>
          <w:tcPr>
            <w:tcW w:w="854" w:type="dxa"/>
            <w:vAlign w:val="center"/>
          </w:tcPr>
          <w:p w14:paraId="2E8949F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6" w:type="dxa"/>
            <w:vAlign w:val="center"/>
          </w:tcPr>
          <w:p w14:paraId="63E88BB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2" w:type="dxa"/>
            <w:vAlign w:val="center"/>
          </w:tcPr>
          <w:p w14:paraId="6B458BCD"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024" w:type="dxa"/>
            <w:vAlign w:val="center"/>
          </w:tcPr>
          <w:p w14:paraId="661135E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c>
          <w:tcPr>
            <w:tcW w:w="1276" w:type="dxa"/>
            <w:vAlign w:val="center"/>
          </w:tcPr>
          <w:p w14:paraId="3D4CBCB3"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 </w:t>
            </w:r>
          </w:p>
        </w:tc>
      </w:tr>
      <w:tr w:rsidR="009B715C" w14:paraId="27F86ED6" w14:textId="77777777" w:rsidTr="00585BE7">
        <w:trPr>
          <w:jc w:val="center"/>
        </w:trPr>
        <w:tc>
          <w:tcPr>
            <w:tcW w:w="2590" w:type="dxa"/>
            <w:vAlign w:val="center"/>
          </w:tcPr>
          <w:p w14:paraId="66B85F00" w14:textId="77777777" w:rsidR="009B715C" w:rsidRDefault="009B715C" w:rsidP="007C368B">
            <w:pPr>
              <w:spacing w:before="40" w:after="40" w:line="240" w:lineRule="auto"/>
              <w:ind w:left="174"/>
              <w:rPr>
                <w:rFonts w:ascii="Arial" w:hAnsi="Arial"/>
                <w:sz w:val="14"/>
                <w:szCs w:val="18"/>
              </w:rPr>
            </w:pPr>
            <w:r>
              <w:rPr>
                <w:rFonts w:ascii="Arial" w:hAnsi="Arial"/>
                <w:color w:val="000000"/>
                <w:sz w:val="14"/>
                <w:szCs w:val="14"/>
              </w:rPr>
              <w:t>2016-17</w:t>
            </w:r>
          </w:p>
        </w:tc>
        <w:tc>
          <w:tcPr>
            <w:tcW w:w="854" w:type="dxa"/>
            <w:vAlign w:val="center"/>
          </w:tcPr>
          <w:p w14:paraId="4A217D48"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c>
          <w:tcPr>
            <w:tcW w:w="1026" w:type="dxa"/>
            <w:vAlign w:val="center"/>
          </w:tcPr>
          <w:p w14:paraId="01D01DC9"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0.7</w:t>
            </w:r>
          </w:p>
        </w:tc>
        <w:tc>
          <w:tcPr>
            <w:tcW w:w="1022" w:type="dxa"/>
            <w:vAlign w:val="center"/>
          </w:tcPr>
          <w:p w14:paraId="28134757"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1.0</w:t>
            </w:r>
          </w:p>
        </w:tc>
        <w:tc>
          <w:tcPr>
            <w:tcW w:w="1024" w:type="dxa"/>
            <w:vAlign w:val="center"/>
          </w:tcPr>
          <w:p w14:paraId="06A4AB9A"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1.6</w:t>
            </w:r>
          </w:p>
        </w:tc>
        <w:tc>
          <w:tcPr>
            <w:tcW w:w="1276" w:type="dxa"/>
            <w:vAlign w:val="center"/>
          </w:tcPr>
          <w:p w14:paraId="7657F90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r>
      <w:tr w:rsidR="009B715C" w14:paraId="44A67BF2" w14:textId="77777777" w:rsidTr="00585BE7">
        <w:trPr>
          <w:jc w:val="center"/>
        </w:trPr>
        <w:tc>
          <w:tcPr>
            <w:tcW w:w="2590" w:type="dxa"/>
            <w:vAlign w:val="center"/>
          </w:tcPr>
          <w:p w14:paraId="00C0C8B6" w14:textId="77777777" w:rsidR="009B715C" w:rsidRDefault="009B715C" w:rsidP="007C368B">
            <w:pPr>
              <w:spacing w:before="40" w:after="40" w:line="240" w:lineRule="auto"/>
              <w:ind w:left="174"/>
              <w:rPr>
                <w:rFonts w:ascii="Arial" w:hAnsi="Arial"/>
                <w:sz w:val="14"/>
                <w:szCs w:val="18"/>
              </w:rPr>
            </w:pPr>
            <w:r>
              <w:rPr>
                <w:rFonts w:ascii="Arial" w:hAnsi="Arial"/>
                <w:color w:val="000000"/>
                <w:sz w:val="14"/>
                <w:szCs w:val="14"/>
              </w:rPr>
              <w:t>2017-18</w:t>
            </w:r>
          </w:p>
        </w:tc>
        <w:tc>
          <w:tcPr>
            <w:tcW w:w="854" w:type="dxa"/>
            <w:vAlign w:val="center"/>
          </w:tcPr>
          <w:p w14:paraId="7EE08DBC"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c>
          <w:tcPr>
            <w:tcW w:w="1026" w:type="dxa"/>
            <w:vAlign w:val="center"/>
          </w:tcPr>
          <w:p w14:paraId="07AA582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0.5</w:t>
            </w:r>
          </w:p>
        </w:tc>
        <w:tc>
          <w:tcPr>
            <w:tcW w:w="1022" w:type="dxa"/>
            <w:vAlign w:val="center"/>
          </w:tcPr>
          <w:p w14:paraId="2D0513CF"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1.2</w:t>
            </w:r>
          </w:p>
        </w:tc>
        <w:tc>
          <w:tcPr>
            <w:tcW w:w="1024" w:type="dxa"/>
            <w:vAlign w:val="center"/>
          </w:tcPr>
          <w:p w14:paraId="36D5A9CB"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1.7</w:t>
            </w:r>
          </w:p>
        </w:tc>
        <w:tc>
          <w:tcPr>
            <w:tcW w:w="1276" w:type="dxa"/>
            <w:vAlign w:val="center"/>
          </w:tcPr>
          <w:p w14:paraId="3DDF9010" w14:textId="77777777" w:rsidR="009B715C" w:rsidRPr="00F03C3C" w:rsidRDefault="009B715C" w:rsidP="007C368B">
            <w:pPr>
              <w:spacing w:before="40" w:after="40" w:line="240" w:lineRule="auto"/>
              <w:jc w:val="center"/>
              <w:rPr>
                <w:rFonts w:ascii="Arial" w:hAnsi="Arial"/>
                <w:sz w:val="14"/>
                <w:szCs w:val="18"/>
              </w:rPr>
            </w:pPr>
            <w:r>
              <w:rPr>
                <w:rFonts w:ascii="Arial" w:hAnsi="Arial"/>
                <w:color w:val="000000"/>
                <w:sz w:val="14"/>
                <w:szCs w:val="14"/>
              </w:rPr>
              <w:t>0.0</w:t>
            </w:r>
          </w:p>
        </w:tc>
      </w:tr>
      <w:tr w:rsidR="009B715C" w:rsidRPr="001555C3" w14:paraId="5753D854" w14:textId="77777777" w:rsidTr="00585BE7">
        <w:trPr>
          <w:jc w:val="center"/>
        </w:trPr>
        <w:tc>
          <w:tcPr>
            <w:tcW w:w="2590" w:type="dxa"/>
            <w:vAlign w:val="center"/>
          </w:tcPr>
          <w:p w14:paraId="41EDCD5A" w14:textId="77777777" w:rsidR="009B715C" w:rsidRPr="001555C3" w:rsidRDefault="009B715C" w:rsidP="007C368B">
            <w:pPr>
              <w:spacing w:before="40" w:after="40" w:line="240" w:lineRule="auto"/>
              <w:ind w:left="174"/>
              <w:rPr>
                <w:rFonts w:ascii="Arial" w:hAnsi="Arial"/>
                <w:color w:val="000000" w:themeColor="text1"/>
                <w:sz w:val="14"/>
                <w:szCs w:val="18"/>
              </w:rPr>
            </w:pPr>
            <w:r w:rsidRPr="001555C3">
              <w:rPr>
                <w:rFonts w:ascii="Arial" w:hAnsi="Arial"/>
                <w:color w:val="000000" w:themeColor="text1"/>
                <w:sz w:val="14"/>
                <w:szCs w:val="14"/>
              </w:rPr>
              <w:t>2018-19</w:t>
            </w:r>
          </w:p>
        </w:tc>
        <w:tc>
          <w:tcPr>
            <w:tcW w:w="854" w:type="dxa"/>
            <w:vAlign w:val="center"/>
          </w:tcPr>
          <w:p w14:paraId="5AEBD8C0" w14:textId="77777777" w:rsidR="009B715C" w:rsidRPr="001555C3" w:rsidRDefault="009B715C" w:rsidP="007C368B">
            <w:pPr>
              <w:spacing w:before="40" w:after="40" w:line="240" w:lineRule="auto"/>
              <w:jc w:val="center"/>
              <w:rPr>
                <w:rFonts w:ascii="Arial" w:hAnsi="Arial"/>
                <w:color w:val="000000" w:themeColor="text1"/>
                <w:sz w:val="14"/>
                <w:szCs w:val="18"/>
              </w:rPr>
            </w:pPr>
            <w:r w:rsidRPr="001555C3">
              <w:rPr>
                <w:rFonts w:ascii="Arial" w:hAnsi="Arial"/>
                <w:color w:val="000000" w:themeColor="text1"/>
                <w:sz w:val="14"/>
                <w:szCs w:val="14"/>
              </w:rPr>
              <w:t>0.0</w:t>
            </w:r>
          </w:p>
        </w:tc>
        <w:tc>
          <w:tcPr>
            <w:tcW w:w="1026" w:type="dxa"/>
            <w:vAlign w:val="center"/>
          </w:tcPr>
          <w:p w14:paraId="24E71C89" w14:textId="77777777" w:rsidR="009B715C" w:rsidRPr="001555C3" w:rsidRDefault="009B715C" w:rsidP="007C368B">
            <w:pPr>
              <w:spacing w:before="40" w:after="40" w:line="240" w:lineRule="auto"/>
              <w:jc w:val="center"/>
              <w:rPr>
                <w:rFonts w:ascii="Arial" w:hAnsi="Arial"/>
                <w:color w:val="000000" w:themeColor="text1"/>
                <w:sz w:val="14"/>
                <w:szCs w:val="18"/>
              </w:rPr>
            </w:pPr>
            <w:r w:rsidRPr="001555C3">
              <w:rPr>
                <w:rFonts w:ascii="Arial" w:hAnsi="Arial"/>
                <w:color w:val="000000" w:themeColor="text1"/>
                <w:sz w:val="14"/>
                <w:szCs w:val="14"/>
              </w:rPr>
              <w:t>1.1</w:t>
            </w:r>
          </w:p>
        </w:tc>
        <w:tc>
          <w:tcPr>
            <w:tcW w:w="1022" w:type="dxa"/>
            <w:vAlign w:val="center"/>
          </w:tcPr>
          <w:p w14:paraId="513E84FE" w14:textId="77777777" w:rsidR="009B715C" w:rsidRPr="001555C3" w:rsidRDefault="009B715C" w:rsidP="007C368B">
            <w:pPr>
              <w:spacing w:before="40" w:after="40" w:line="240" w:lineRule="auto"/>
              <w:jc w:val="center"/>
              <w:rPr>
                <w:rFonts w:ascii="Arial" w:hAnsi="Arial"/>
                <w:color w:val="000000" w:themeColor="text1"/>
                <w:sz w:val="14"/>
                <w:szCs w:val="18"/>
              </w:rPr>
            </w:pPr>
            <w:r w:rsidRPr="001555C3">
              <w:rPr>
                <w:rFonts w:ascii="Arial" w:hAnsi="Arial"/>
                <w:color w:val="000000" w:themeColor="text1"/>
                <w:sz w:val="14"/>
                <w:szCs w:val="14"/>
              </w:rPr>
              <w:t>2.0</w:t>
            </w:r>
          </w:p>
        </w:tc>
        <w:tc>
          <w:tcPr>
            <w:tcW w:w="1024" w:type="dxa"/>
            <w:vAlign w:val="center"/>
          </w:tcPr>
          <w:p w14:paraId="6680DA37" w14:textId="77777777" w:rsidR="009B715C" w:rsidRPr="001555C3" w:rsidRDefault="009B715C" w:rsidP="007C368B">
            <w:pPr>
              <w:spacing w:before="40" w:after="40" w:line="240" w:lineRule="auto"/>
              <w:jc w:val="center"/>
              <w:rPr>
                <w:rFonts w:ascii="Arial" w:hAnsi="Arial"/>
                <w:color w:val="000000" w:themeColor="text1"/>
                <w:sz w:val="14"/>
                <w:szCs w:val="18"/>
              </w:rPr>
            </w:pPr>
            <w:r w:rsidRPr="001555C3">
              <w:rPr>
                <w:rFonts w:ascii="Arial" w:hAnsi="Arial"/>
                <w:color w:val="000000" w:themeColor="text1"/>
                <w:sz w:val="14"/>
                <w:szCs w:val="14"/>
              </w:rPr>
              <w:t>2.8</w:t>
            </w:r>
          </w:p>
        </w:tc>
        <w:tc>
          <w:tcPr>
            <w:tcW w:w="1276" w:type="dxa"/>
            <w:vAlign w:val="center"/>
          </w:tcPr>
          <w:p w14:paraId="784056EE" w14:textId="77777777" w:rsidR="009B715C" w:rsidRPr="001555C3" w:rsidRDefault="009B715C" w:rsidP="007C368B">
            <w:pPr>
              <w:spacing w:before="40" w:after="40" w:line="240" w:lineRule="auto"/>
              <w:jc w:val="center"/>
              <w:rPr>
                <w:rFonts w:ascii="Arial" w:hAnsi="Arial"/>
                <w:color w:val="000000" w:themeColor="text1"/>
                <w:sz w:val="14"/>
                <w:szCs w:val="18"/>
              </w:rPr>
            </w:pPr>
            <w:r w:rsidRPr="001555C3">
              <w:rPr>
                <w:rFonts w:ascii="Arial" w:hAnsi="Arial"/>
                <w:color w:val="000000" w:themeColor="text1"/>
                <w:sz w:val="14"/>
                <w:szCs w:val="14"/>
              </w:rPr>
              <w:t>0.0</w:t>
            </w:r>
          </w:p>
        </w:tc>
      </w:tr>
    </w:tbl>
    <w:p w14:paraId="49EC6853" w14:textId="0DEEBC22" w:rsidR="007C368B" w:rsidRPr="001555C3" w:rsidRDefault="007C368B" w:rsidP="0038172A">
      <w:pPr>
        <w:spacing w:before="120" w:after="0" w:line="240" w:lineRule="auto"/>
        <w:ind w:left="993" w:right="663" w:hanging="426"/>
        <w:rPr>
          <w:rFonts w:ascii="Arial" w:hAnsi="Arial"/>
          <w:bCs/>
          <w:color w:val="000000" w:themeColor="text1"/>
          <w:sz w:val="16"/>
          <w:szCs w:val="16"/>
          <w:u w:val="single"/>
        </w:rPr>
      </w:pPr>
      <w:r w:rsidRPr="001555C3">
        <w:rPr>
          <w:rFonts w:ascii="Arial" w:hAnsi="Arial"/>
          <w:bCs/>
          <w:color w:val="000000" w:themeColor="text1"/>
          <w:sz w:val="16"/>
          <w:szCs w:val="16"/>
          <w:u w:val="single"/>
        </w:rPr>
        <w:t xml:space="preserve">Treatment descriptions for Tables </w:t>
      </w:r>
      <w:r w:rsidR="00276812">
        <w:rPr>
          <w:rFonts w:ascii="Arial" w:hAnsi="Arial"/>
          <w:bCs/>
          <w:color w:val="000000" w:themeColor="text1"/>
          <w:sz w:val="16"/>
          <w:szCs w:val="16"/>
          <w:u w:val="single"/>
        </w:rPr>
        <w:t>5</w:t>
      </w:r>
      <w:r w:rsidRPr="001555C3">
        <w:rPr>
          <w:rFonts w:ascii="Arial" w:hAnsi="Arial"/>
          <w:bCs/>
          <w:color w:val="000000" w:themeColor="text1"/>
          <w:sz w:val="16"/>
          <w:szCs w:val="16"/>
          <w:u w:val="single"/>
        </w:rPr>
        <w:t xml:space="preserve">.1 and </w:t>
      </w:r>
      <w:r w:rsidR="00276812">
        <w:rPr>
          <w:rFonts w:ascii="Arial" w:hAnsi="Arial"/>
          <w:bCs/>
          <w:color w:val="000000" w:themeColor="text1"/>
          <w:sz w:val="16"/>
          <w:szCs w:val="16"/>
          <w:u w:val="single"/>
        </w:rPr>
        <w:t>5</w:t>
      </w:r>
      <w:r w:rsidRPr="001555C3">
        <w:rPr>
          <w:rFonts w:ascii="Arial" w:hAnsi="Arial"/>
          <w:bCs/>
          <w:color w:val="000000" w:themeColor="text1"/>
          <w:sz w:val="16"/>
          <w:szCs w:val="16"/>
          <w:u w:val="single"/>
        </w:rPr>
        <w:t>.2:</w:t>
      </w:r>
    </w:p>
    <w:p w14:paraId="0D6B1CA2" w14:textId="7EEB443C" w:rsidR="007C368B" w:rsidRPr="001555C3" w:rsidRDefault="007C368B" w:rsidP="007C368B">
      <w:pPr>
        <w:numPr>
          <w:ilvl w:val="0"/>
          <w:numId w:val="39"/>
        </w:numPr>
        <w:spacing w:before="60" w:after="0" w:line="240" w:lineRule="auto"/>
        <w:ind w:left="993" w:right="662" w:hanging="283"/>
        <w:rPr>
          <w:rFonts w:ascii="Arial" w:hAnsi="Arial"/>
          <w:bCs/>
          <w:color w:val="000000" w:themeColor="text1"/>
          <w:sz w:val="16"/>
          <w:szCs w:val="16"/>
        </w:rPr>
      </w:pPr>
      <w:r w:rsidRPr="001555C3">
        <w:rPr>
          <w:rFonts w:ascii="Arial" w:hAnsi="Arial"/>
          <w:bCs/>
          <w:color w:val="000000" w:themeColor="text1"/>
          <w:sz w:val="16"/>
          <w:szCs w:val="16"/>
        </w:rPr>
        <w:t>Removes all with BHC incomes below $5000 (in $2007) who report enough/more than enough for income adequacy or who have a DEP-17score of zero. No re-weighting.</w:t>
      </w:r>
      <w:r w:rsidR="0059084F" w:rsidRPr="001555C3">
        <w:rPr>
          <w:rFonts w:ascii="Arial" w:hAnsi="Arial"/>
          <w:bCs/>
          <w:color w:val="000000" w:themeColor="text1"/>
          <w:sz w:val="16"/>
          <w:szCs w:val="16"/>
        </w:rPr>
        <w:t xml:space="preserve"> This is the treatment used in this report for the EU comparisons. The VLI threshold is $6000 for HES 2016-17, $6100 for HES 17-18 and $6200 for HES 2018-19.</w:t>
      </w:r>
    </w:p>
    <w:p w14:paraId="78BEEFC6" w14:textId="3A5294ED" w:rsidR="007C368B" w:rsidRPr="001555C3" w:rsidRDefault="0059084F" w:rsidP="007C368B">
      <w:pPr>
        <w:numPr>
          <w:ilvl w:val="0"/>
          <w:numId w:val="39"/>
        </w:numPr>
        <w:spacing w:before="60" w:after="0" w:line="240" w:lineRule="auto"/>
        <w:ind w:left="993" w:right="662" w:hanging="283"/>
        <w:rPr>
          <w:rFonts w:ascii="Arial" w:hAnsi="Arial"/>
          <w:bCs/>
          <w:color w:val="000000" w:themeColor="text1"/>
          <w:sz w:val="16"/>
          <w:szCs w:val="16"/>
        </w:rPr>
      </w:pPr>
      <w:r w:rsidRPr="001555C3">
        <w:rPr>
          <w:rFonts w:ascii="Arial" w:hAnsi="Arial"/>
          <w:bCs/>
          <w:color w:val="000000" w:themeColor="text1"/>
          <w:sz w:val="16"/>
          <w:szCs w:val="16"/>
        </w:rPr>
        <w:t xml:space="preserve">Removes all with BHC incomes below $5000 (in $2007) </w:t>
      </w:r>
      <w:r w:rsidR="007C368B" w:rsidRPr="001555C3">
        <w:rPr>
          <w:rFonts w:ascii="Arial" w:hAnsi="Arial"/>
          <w:bCs/>
          <w:color w:val="000000" w:themeColor="text1"/>
          <w:sz w:val="16"/>
          <w:szCs w:val="16"/>
        </w:rPr>
        <w:t>No re-weighting.</w:t>
      </w:r>
    </w:p>
    <w:p w14:paraId="13433F5A" w14:textId="5976CBA6" w:rsidR="007C368B" w:rsidRPr="001555C3" w:rsidRDefault="007C368B" w:rsidP="0059084F">
      <w:pPr>
        <w:numPr>
          <w:ilvl w:val="0"/>
          <w:numId w:val="39"/>
        </w:numPr>
        <w:spacing w:before="60" w:after="0" w:line="240" w:lineRule="auto"/>
        <w:ind w:left="993" w:right="662" w:hanging="283"/>
        <w:rPr>
          <w:rFonts w:ascii="Arial" w:hAnsi="Arial"/>
          <w:bCs/>
          <w:color w:val="000000" w:themeColor="text1"/>
          <w:sz w:val="16"/>
          <w:szCs w:val="16"/>
        </w:rPr>
      </w:pPr>
      <w:r w:rsidRPr="001555C3">
        <w:rPr>
          <w:rFonts w:ascii="Arial" w:hAnsi="Arial"/>
          <w:bCs/>
          <w:color w:val="000000" w:themeColor="text1"/>
          <w:sz w:val="16"/>
          <w:szCs w:val="16"/>
        </w:rPr>
        <w:t xml:space="preserve">The main alternative to deletion as a treatment approach is </w:t>
      </w:r>
      <w:r w:rsidR="0038172A" w:rsidRPr="001555C3">
        <w:rPr>
          <w:rFonts w:ascii="Arial" w:hAnsi="Arial"/>
          <w:bCs/>
          <w:color w:val="000000" w:themeColor="text1"/>
          <w:sz w:val="16"/>
          <w:szCs w:val="16"/>
        </w:rPr>
        <w:t>imputation</w:t>
      </w:r>
      <w:r w:rsidRPr="001555C3">
        <w:rPr>
          <w:rFonts w:ascii="Arial" w:hAnsi="Arial"/>
          <w:bCs/>
          <w:color w:val="000000" w:themeColor="text1"/>
          <w:sz w:val="16"/>
          <w:szCs w:val="16"/>
        </w:rPr>
        <w:t xml:space="preserve">. As a part of the investigation into possible treatments MSD increased the equivalised disposable income of the VLI households by $25,000, taking their incomes above the BHC 60 poverty line but below the median – this is the region on the income distribution where there </w:t>
      </w:r>
      <w:r w:rsidR="0059084F" w:rsidRPr="001555C3">
        <w:rPr>
          <w:rFonts w:ascii="Arial" w:hAnsi="Arial"/>
          <w:bCs/>
          <w:color w:val="000000" w:themeColor="text1"/>
          <w:sz w:val="16"/>
          <w:szCs w:val="16"/>
        </w:rPr>
        <w:t>are</w:t>
      </w:r>
      <w:r w:rsidRPr="001555C3">
        <w:rPr>
          <w:rFonts w:ascii="Arial" w:hAnsi="Arial"/>
          <w:bCs/>
          <w:color w:val="000000" w:themeColor="text1"/>
          <w:sz w:val="16"/>
          <w:szCs w:val="16"/>
        </w:rPr>
        <w:t xml:space="preserve"> similarities with the VLI households average expenditure and material wellbeing scores.</w:t>
      </w:r>
      <w:r w:rsidR="0059084F" w:rsidRPr="001555C3">
        <w:rPr>
          <w:rFonts w:ascii="Arial" w:hAnsi="Arial"/>
          <w:bCs/>
          <w:color w:val="000000" w:themeColor="text1"/>
          <w:sz w:val="16"/>
          <w:szCs w:val="16"/>
        </w:rPr>
        <w:t xml:space="preserve"> These numbers are reported for illustrative purposes only and are not used in the body of the report.</w:t>
      </w:r>
      <w:r w:rsidRPr="001555C3">
        <w:rPr>
          <w:rFonts w:ascii="Arial" w:hAnsi="Arial"/>
          <w:bCs/>
          <w:color w:val="000000" w:themeColor="text1"/>
          <w:sz w:val="16"/>
          <w:szCs w:val="16"/>
        </w:rPr>
        <w:t xml:space="preserve"> </w:t>
      </w:r>
    </w:p>
    <w:p w14:paraId="5001825A" w14:textId="5E8714D8" w:rsidR="007C368B" w:rsidRPr="00715221" w:rsidRDefault="007C368B" w:rsidP="007C368B">
      <w:pPr>
        <w:spacing w:before="60" w:after="0" w:line="240" w:lineRule="auto"/>
        <w:ind w:right="662"/>
        <w:rPr>
          <w:rFonts w:ascii="Arial" w:hAnsi="Arial"/>
          <w:bCs/>
          <w:color w:val="0000FF"/>
          <w:sz w:val="16"/>
          <w:szCs w:val="16"/>
        </w:rPr>
      </w:pPr>
      <w:r w:rsidRPr="00715221">
        <w:rPr>
          <w:rFonts w:ascii="Arial" w:hAnsi="Arial"/>
          <w:bCs/>
          <w:color w:val="0000FF"/>
          <w:sz w:val="16"/>
          <w:szCs w:val="16"/>
        </w:rPr>
        <w:t xml:space="preserve"> </w:t>
      </w:r>
    </w:p>
    <w:p w14:paraId="64F2A79C" w14:textId="77777777" w:rsidR="007C368B" w:rsidRPr="00715221" w:rsidRDefault="007C368B" w:rsidP="007C368B">
      <w:pPr>
        <w:spacing w:before="60" w:after="0" w:line="240" w:lineRule="auto"/>
        <w:ind w:right="662"/>
        <w:rPr>
          <w:rFonts w:ascii="Arial" w:hAnsi="Arial"/>
          <w:bCs/>
          <w:color w:val="0000FF"/>
          <w:sz w:val="16"/>
          <w:szCs w:val="16"/>
        </w:rPr>
      </w:pPr>
    </w:p>
    <w:p w14:paraId="759073F1" w14:textId="132C6632" w:rsidR="00023CF5" w:rsidRDefault="00023CF5">
      <w:pPr>
        <w:spacing w:after="0" w:line="240" w:lineRule="auto"/>
        <w:rPr>
          <w:rFonts w:ascii="Arial" w:hAnsi="Arial"/>
        </w:rPr>
      </w:pPr>
      <w:r>
        <w:rPr>
          <w:rFonts w:ascii="Arial" w:hAnsi="Arial"/>
        </w:rPr>
        <w:br w:type="page"/>
      </w:r>
    </w:p>
    <w:p w14:paraId="6FDC5066" w14:textId="24D5EDCC" w:rsidR="00023CF5" w:rsidRPr="00BD48A8" w:rsidRDefault="00023CF5" w:rsidP="00023CF5">
      <w:pPr>
        <w:spacing w:after="0" w:line="240" w:lineRule="auto"/>
        <w:rPr>
          <w:rFonts w:ascii="Arial" w:hAnsi="Arial"/>
          <w:b/>
          <w:sz w:val="28"/>
        </w:rPr>
      </w:pPr>
      <w:r w:rsidRPr="00BD48A8">
        <w:rPr>
          <w:rFonts w:ascii="Arial" w:hAnsi="Arial"/>
          <w:b/>
          <w:sz w:val="28"/>
        </w:rPr>
        <w:lastRenderedPageBreak/>
        <w:t xml:space="preserve">Appendix </w:t>
      </w:r>
      <w:r>
        <w:rPr>
          <w:rFonts w:ascii="Arial" w:hAnsi="Arial"/>
          <w:b/>
          <w:sz w:val="28"/>
        </w:rPr>
        <w:t>6</w:t>
      </w:r>
    </w:p>
    <w:p w14:paraId="720554D5" w14:textId="77777777" w:rsidR="00023CF5" w:rsidRPr="00BD48A8" w:rsidRDefault="00023CF5" w:rsidP="00023CF5">
      <w:pPr>
        <w:spacing w:after="0" w:line="240" w:lineRule="auto"/>
        <w:rPr>
          <w:rFonts w:ascii="Arial" w:hAnsi="Arial"/>
        </w:rPr>
      </w:pPr>
    </w:p>
    <w:p w14:paraId="51947247" w14:textId="71EDE6D7" w:rsidR="00023CF5" w:rsidRDefault="00DD2EDB" w:rsidP="00023CF5">
      <w:pPr>
        <w:spacing w:after="0" w:line="240" w:lineRule="auto"/>
        <w:rPr>
          <w:rFonts w:ascii="Arial" w:hAnsi="Arial"/>
          <w:b/>
          <w:sz w:val="22"/>
        </w:rPr>
      </w:pPr>
      <w:r>
        <w:rPr>
          <w:rFonts w:ascii="Arial" w:hAnsi="Arial"/>
          <w:b/>
          <w:sz w:val="22"/>
        </w:rPr>
        <w:t>Upper q</w:t>
      </w:r>
      <w:r w:rsidR="00023CF5">
        <w:rPr>
          <w:rFonts w:ascii="Arial" w:hAnsi="Arial"/>
          <w:b/>
          <w:sz w:val="22"/>
        </w:rPr>
        <w:t>uintile boundaries</w:t>
      </w:r>
    </w:p>
    <w:p w14:paraId="7D6BE757" w14:textId="2F96F1E4" w:rsidR="00DD2EDB" w:rsidRDefault="00DD2EDB" w:rsidP="00023CF5">
      <w:pPr>
        <w:spacing w:after="0" w:line="240" w:lineRule="auto"/>
        <w:rPr>
          <w:rFonts w:ascii="Arial" w:hAnsi="Arial"/>
          <w:bCs/>
          <w:sz w:val="18"/>
          <w:szCs w:val="18"/>
        </w:rPr>
      </w:pPr>
    </w:p>
    <w:p w14:paraId="4CCA76FE" w14:textId="77777777" w:rsidR="00DD2EDB" w:rsidRPr="000B34BA" w:rsidRDefault="00DD2EDB" w:rsidP="00023CF5">
      <w:pPr>
        <w:spacing w:after="0" w:line="240" w:lineRule="auto"/>
        <w:rPr>
          <w:rFonts w:ascii="Arial" w:hAnsi="Arial"/>
          <w:bCs/>
          <w:sz w:val="18"/>
          <w:szCs w:val="18"/>
        </w:rPr>
      </w:pPr>
    </w:p>
    <w:p w14:paraId="620A8FCE" w14:textId="77777777" w:rsidR="00023CF5" w:rsidRPr="00940309" w:rsidRDefault="00023CF5" w:rsidP="00023CF5">
      <w:pPr>
        <w:spacing w:after="0" w:line="240" w:lineRule="auto"/>
        <w:jc w:val="center"/>
        <w:rPr>
          <w:rFonts w:ascii="Arial" w:eastAsia="Times New Roman" w:hAnsi="Arial" w:cs="Times New Roman"/>
          <w:b/>
          <w:bCs/>
          <w:color w:val="000000" w:themeColor="text1"/>
          <w:szCs w:val="20"/>
        </w:rPr>
      </w:pPr>
      <w:r w:rsidRPr="00940309">
        <w:rPr>
          <w:rFonts w:ascii="Arial" w:eastAsia="Times New Roman" w:hAnsi="Arial" w:cs="Times New Roman"/>
          <w:b/>
          <w:bCs/>
          <w:color w:val="000000" w:themeColor="text1"/>
          <w:szCs w:val="20"/>
        </w:rPr>
        <w:t>Household Quintiles</w:t>
      </w:r>
    </w:p>
    <w:p w14:paraId="4A3BC5F9"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7226D020" w14:textId="77777777" w:rsidR="00023CF5" w:rsidRPr="00871D67" w:rsidRDefault="00023CF5" w:rsidP="00023CF5">
      <w:pPr>
        <w:spacing w:after="0" w:line="240" w:lineRule="auto"/>
        <w:jc w:val="center"/>
        <w:rPr>
          <w:rFonts w:ascii="Arial" w:eastAsia="Times New Roman" w:hAnsi="Arial" w:cs="Times New Roman"/>
          <w:b/>
          <w:bCs/>
          <w:color w:val="000000" w:themeColor="text1"/>
          <w:sz w:val="18"/>
          <w:szCs w:val="18"/>
        </w:rPr>
      </w:pPr>
      <w:r w:rsidRPr="00871D67">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6.1</w:t>
      </w:r>
    </w:p>
    <w:p w14:paraId="1A5DE415"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Upper boundaries for household income quintiles (BHC) for selected household types</w:t>
      </w:r>
      <w:r w:rsidRPr="00E222C2">
        <w:rPr>
          <w:rFonts w:ascii="Arial" w:eastAsia="Times New Roman" w:hAnsi="Arial" w:cs="Times New Roman"/>
          <w:b/>
          <w:bCs/>
          <w:color w:val="000000" w:themeColor="text1"/>
          <w:sz w:val="18"/>
          <w:szCs w:val="18"/>
        </w:rPr>
        <w:t xml:space="preserve">, </w:t>
      </w:r>
    </w:p>
    <w:p w14:paraId="1F03CB61" w14:textId="48CC3F68"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 xml:space="preserve">square root scale, </w:t>
      </w:r>
      <w:r w:rsidRPr="00E222C2">
        <w:rPr>
          <w:rFonts w:ascii="Arial" w:eastAsia="Times New Roman" w:hAnsi="Arial" w:cs="Times New Roman"/>
          <w:b/>
          <w:bCs/>
          <w:color w:val="000000" w:themeColor="text1"/>
          <w:sz w:val="18"/>
          <w:szCs w:val="18"/>
        </w:rPr>
        <w:t>HES 201</w:t>
      </w:r>
      <w:r>
        <w:rPr>
          <w:rFonts w:ascii="Arial" w:eastAsia="Times New Roman" w:hAnsi="Arial" w:cs="Times New Roman"/>
          <w:b/>
          <w:bCs/>
          <w:color w:val="000000" w:themeColor="text1"/>
          <w:sz w:val="18"/>
          <w:szCs w:val="18"/>
        </w:rPr>
        <w:t>7</w:t>
      </w:r>
      <w:r w:rsidRPr="00E222C2">
        <w:rPr>
          <w:rFonts w:ascii="Arial" w:eastAsia="Times New Roman" w:hAnsi="Arial" w:cs="Times New Roman"/>
          <w:b/>
          <w:bCs/>
          <w:color w:val="000000" w:themeColor="text1"/>
          <w:sz w:val="18"/>
          <w:szCs w:val="18"/>
        </w:rPr>
        <w:t>-1</w:t>
      </w:r>
      <w:r>
        <w:rPr>
          <w:rFonts w:ascii="Arial" w:eastAsia="Times New Roman" w:hAnsi="Arial" w:cs="Times New Roman"/>
          <w:b/>
          <w:bCs/>
          <w:color w:val="000000" w:themeColor="text1"/>
          <w:sz w:val="18"/>
          <w:szCs w:val="18"/>
        </w:rPr>
        <w:t>8</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2CBC3B05" w14:textId="77777777" w:rsidTr="00023CF5">
        <w:trPr>
          <w:jc w:val="center"/>
        </w:trPr>
        <w:tc>
          <w:tcPr>
            <w:tcW w:w="967" w:type="dxa"/>
            <w:vAlign w:val="bottom"/>
          </w:tcPr>
          <w:p w14:paraId="08AFB527"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57C55C74"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4978AC53"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3577D25B"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50CDBD9B"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7FEFC742"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5BB0B82F" w14:textId="77777777" w:rsidTr="00023CF5">
        <w:trPr>
          <w:jc w:val="center"/>
        </w:trPr>
        <w:tc>
          <w:tcPr>
            <w:tcW w:w="967" w:type="dxa"/>
            <w:vAlign w:val="bottom"/>
          </w:tcPr>
          <w:p w14:paraId="4C30F506"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0D34C897"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3D00016D"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24,300</w:t>
            </w:r>
          </w:p>
        </w:tc>
        <w:tc>
          <w:tcPr>
            <w:tcW w:w="968" w:type="dxa"/>
            <w:shd w:val="clear" w:color="auto" w:fill="auto"/>
            <w:noWrap/>
            <w:tcMar>
              <w:right w:w="255" w:type="dxa"/>
            </w:tcMar>
            <w:vAlign w:val="center"/>
          </w:tcPr>
          <w:p w14:paraId="444391C2"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36,700</w:t>
            </w:r>
          </w:p>
        </w:tc>
        <w:tc>
          <w:tcPr>
            <w:tcW w:w="968" w:type="dxa"/>
            <w:shd w:val="clear" w:color="auto" w:fill="auto"/>
            <w:noWrap/>
            <w:tcMar>
              <w:right w:w="255" w:type="dxa"/>
            </w:tcMar>
            <w:vAlign w:val="center"/>
          </w:tcPr>
          <w:p w14:paraId="6F3B8D2D"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51,100</w:t>
            </w:r>
          </w:p>
        </w:tc>
        <w:tc>
          <w:tcPr>
            <w:tcW w:w="968" w:type="dxa"/>
            <w:shd w:val="clear" w:color="auto" w:fill="auto"/>
            <w:noWrap/>
            <w:tcMar>
              <w:right w:w="255" w:type="dxa"/>
            </w:tcMar>
            <w:vAlign w:val="center"/>
          </w:tcPr>
          <w:p w14:paraId="5AA3DF0C"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72,100</w:t>
            </w:r>
          </w:p>
        </w:tc>
      </w:tr>
      <w:tr w:rsidR="00023CF5" w:rsidRPr="00245A71" w14:paraId="4C63E449" w14:textId="77777777" w:rsidTr="00023CF5">
        <w:trPr>
          <w:jc w:val="center"/>
        </w:trPr>
        <w:tc>
          <w:tcPr>
            <w:tcW w:w="967" w:type="dxa"/>
            <w:vAlign w:val="bottom"/>
          </w:tcPr>
          <w:p w14:paraId="2596C156"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2383C70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1.41</w:t>
            </w:r>
          </w:p>
        </w:tc>
        <w:tc>
          <w:tcPr>
            <w:tcW w:w="968" w:type="dxa"/>
            <w:shd w:val="clear" w:color="auto" w:fill="auto"/>
            <w:noWrap/>
            <w:tcMar>
              <w:right w:w="255" w:type="dxa"/>
            </w:tcMar>
            <w:vAlign w:val="center"/>
          </w:tcPr>
          <w:p w14:paraId="11780A2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34,200</w:t>
            </w:r>
          </w:p>
        </w:tc>
        <w:tc>
          <w:tcPr>
            <w:tcW w:w="968" w:type="dxa"/>
            <w:shd w:val="clear" w:color="auto" w:fill="auto"/>
            <w:noWrap/>
            <w:tcMar>
              <w:right w:w="255" w:type="dxa"/>
            </w:tcMar>
            <w:vAlign w:val="center"/>
          </w:tcPr>
          <w:p w14:paraId="452A382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51,800</w:t>
            </w:r>
          </w:p>
        </w:tc>
        <w:tc>
          <w:tcPr>
            <w:tcW w:w="968" w:type="dxa"/>
            <w:shd w:val="clear" w:color="auto" w:fill="auto"/>
            <w:noWrap/>
            <w:tcMar>
              <w:right w:w="255" w:type="dxa"/>
            </w:tcMar>
            <w:vAlign w:val="center"/>
          </w:tcPr>
          <w:p w14:paraId="7FB8528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72,100</w:t>
            </w:r>
          </w:p>
        </w:tc>
        <w:tc>
          <w:tcPr>
            <w:tcW w:w="968" w:type="dxa"/>
            <w:shd w:val="clear" w:color="auto" w:fill="auto"/>
            <w:noWrap/>
            <w:tcMar>
              <w:right w:w="255" w:type="dxa"/>
            </w:tcMar>
            <w:vAlign w:val="center"/>
          </w:tcPr>
          <w:p w14:paraId="5D421D1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101,600</w:t>
            </w:r>
          </w:p>
        </w:tc>
      </w:tr>
      <w:tr w:rsidR="00023CF5" w:rsidRPr="00245A71" w14:paraId="0C5FFC60" w14:textId="77777777" w:rsidTr="00023CF5">
        <w:trPr>
          <w:jc w:val="center"/>
        </w:trPr>
        <w:tc>
          <w:tcPr>
            <w:tcW w:w="967" w:type="dxa"/>
            <w:vAlign w:val="bottom"/>
          </w:tcPr>
          <w:p w14:paraId="2F399CF0"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5046638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3765F33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42,000</w:t>
            </w:r>
          </w:p>
        </w:tc>
        <w:tc>
          <w:tcPr>
            <w:tcW w:w="968" w:type="dxa"/>
            <w:shd w:val="clear" w:color="auto" w:fill="auto"/>
            <w:noWrap/>
            <w:tcMar>
              <w:right w:w="255" w:type="dxa"/>
            </w:tcMar>
            <w:vAlign w:val="center"/>
          </w:tcPr>
          <w:p w14:paraId="5D2F3F8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63,500</w:t>
            </w:r>
          </w:p>
        </w:tc>
        <w:tc>
          <w:tcPr>
            <w:tcW w:w="968" w:type="dxa"/>
            <w:shd w:val="clear" w:color="auto" w:fill="auto"/>
            <w:noWrap/>
            <w:tcMar>
              <w:right w:w="255" w:type="dxa"/>
            </w:tcMar>
            <w:vAlign w:val="center"/>
          </w:tcPr>
          <w:p w14:paraId="78A59FC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88,500</w:t>
            </w:r>
          </w:p>
        </w:tc>
        <w:tc>
          <w:tcPr>
            <w:tcW w:w="968" w:type="dxa"/>
            <w:shd w:val="clear" w:color="auto" w:fill="auto"/>
            <w:noWrap/>
            <w:tcMar>
              <w:right w:w="255" w:type="dxa"/>
            </w:tcMar>
            <w:vAlign w:val="center"/>
          </w:tcPr>
          <w:p w14:paraId="04F028F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124,700</w:t>
            </w:r>
          </w:p>
        </w:tc>
      </w:tr>
      <w:tr w:rsidR="00023CF5" w:rsidRPr="00245A71" w14:paraId="1E383059" w14:textId="77777777" w:rsidTr="00023CF5">
        <w:trPr>
          <w:jc w:val="center"/>
        </w:trPr>
        <w:tc>
          <w:tcPr>
            <w:tcW w:w="967" w:type="dxa"/>
            <w:vAlign w:val="bottom"/>
          </w:tcPr>
          <w:p w14:paraId="59619948"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10425805"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2.00</w:t>
            </w:r>
          </w:p>
        </w:tc>
        <w:tc>
          <w:tcPr>
            <w:tcW w:w="968" w:type="dxa"/>
            <w:shd w:val="clear" w:color="auto" w:fill="auto"/>
            <w:noWrap/>
            <w:tcMar>
              <w:right w:w="255" w:type="dxa"/>
            </w:tcMar>
            <w:vAlign w:val="center"/>
          </w:tcPr>
          <w:p w14:paraId="5C376AC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48,500</w:t>
            </w:r>
          </w:p>
        </w:tc>
        <w:tc>
          <w:tcPr>
            <w:tcW w:w="968" w:type="dxa"/>
            <w:shd w:val="clear" w:color="auto" w:fill="auto"/>
            <w:noWrap/>
            <w:tcMar>
              <w:right w:w="255" w:type="dxa"/>
            </w:tcMar>
            <w:vAlign w:val="center"/>
          </w:tcPr>
          <w:p w14:paraId="5507CED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73,400</w:t>
            </w:r>
          </w:p>
        </w:tc>
        <w:tc>
          <w:tcPr>
            <w:tcW w:w="968" w:type="dxa"/>
            <w:shd w:val="clear" w:color="auto" w:fill="auto"/>
            <w:noWrap/>
            <w:tcMar>
              <w:right w:w="255" w:type="dxa"/>
            </w:tcMar>
            <w:vAlign w:val="center"/>
          </w:tcPr>
          <w:p w14:paraId="2796448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102,300</w:t>
            </w:r>
          </w:p>
        </w:tc>
        <w:tc>
          <w:tcPr>
            <w:tcW w:w="968" w:type="dxa"/>
            <w:shd w:val="clear" w:color="auto" w:fill="auto"/>
            <w:noWrap/>
            <w:tcMar>
              <w:right w:w="255" w:type="dxa"/>
            </w:tcMar>
            <w:vAlign w:val="center"/>
          </w:tcPr>
          <w:p w14:paraId="4ACFBAA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144,100</w:t>
            </w:r>
          </w:p>
        </w:tc>
      </w:tr>
      <w:tr w:rsidR="00023CF5" w:rsidRPr="00245A71" w14:paraId="7917EBB4" w14:textId="77777777" w:rsidTr="00023CF5">
        <w:trPr>
          <w:jc w:val="center"/>
        </w:trPr>
        <w:tc>
          <w:tcPr>
            <w:tcW w:w="967" w:type="dxa"/>
            <w:vAlign w:val="bottom"/>
          </w:tcPr>
          <w:p w14:paraId="6CA38917"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58CF317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1.41</w:t>
            </w:r>
          </w:p>
        </w:tc>
        <w:tc>
          <w:tcPr>
            <w:tcW w:w="968" w:type="dxa"/>
            <w:shd w:val="clear" w:color="auto" w:fill="auto"/>
            <w:noWrap/>
            <w:tcMar>
              <w:right w:w="255" w:type="dxa"/>
            </w:tcMar>
            <w:vAlign w:val="center"/>
          </w:tcPr>
          <w:p w14:paraId="1FAA654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34,200</w:t>
            </w:r>
          </w:p>
        </w:tc>
        <w:tc>
          <w:tcPr>
            <w:tcW w:w="968" w:type="dxa"/>
            <w:shd w:val="clear" w:color="auto" w:fill="auto"/>
            <w:noWrap/>
            <w:tcMar>
              <w:right w:w="255" w:type="dxa"/>
            </w:tcMar>
            <w:vAlign w:val="center"/>
          </w:tcPr>
          <w:p w14:paraId="66FAFDB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51,800</w:t>
            </w:r>
          </w:p>
        </w:tc>
        <w:tc>
          <w:tcPr>
            <w:tcW w:w="968" w:type="dxa"/>
            <w:shd w:val="clear" w:color="auto" w:fill="auto"/>
            <w:noWrap/>
            <w:tcMar>
              <w:right w:w="255" w:type="dxa"/>
            </w:tcMar>
            <w:vAlign w:val="center"/>
          </w:tcPr>
          <w:p w14:paraId="45E57CC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72,100</w:t>
            </w:r>
          </w:p>
        </w:tc>
        <w:tc>
          <w:tcPr>
            <w:tcW w:w="968" w:type="dxa"/>
            <w:shd w:val="clear" w:color="auto" w:fill="auto"/>
            <w:noWrap/>
            <w:tcMar>
              <w:right w:w="255" w:type="dxa"/>
            </w:tcMar>
            <w:vAlign w:val="center"/>
          </w:tcPr>
          <w:p w14:paraId="0FEFAEF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101,600</w:t>
            </w:r>
          </w:p>
        </w:tc>
      </w:tr>
      <w:tr w:rsidR="00023CF5" w:rsidRPr="00245A71" w14:paraId="7CC5A182" w14:textId="77777777" w:rsidTr="00023CF5">
        <w:trPr>
          <w:jc w:val="center"/>
        </w:trPr>
        <w:tc>
          <w:tcPr>
            <w:tcW w:w="967" w:type="dxa"/>
            <w:vAlign w:val="bottom"/>
          </w:tcPr>
          <w:p w14:paraId="25BA5E84"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79C8A6D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21B4C15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42,000</w:t>
            </w:r>
          </w:p>
        </w:tc>
        <w:tc>
          <w:tcPr>
            <w:tcW w:w="968" w:type="dxa"/>
            <w:shd w:val="clear" w:color="auto" w:fill="auto"/>
            <w:noWrap/>
            <w:tcMar>
              <w:right w:w="255" w:type="dxa"/>
            </w:tcMar>
            <w:vAlign w:val="center"/>
          </w:tcPr>
          <w:p w14:paraId="2E694A8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63,500</w:t>
            </w:r>
          </w:p>
        </w:tc>
        <w:tc>
          <w:tcPr>
            <w:tcW w:w="968" w:type="dxa"/>
            <w:shd w:val="clear" w:color="auto" w:fill="auto"/>
            <w:noWrap/>
            <w:tcMar>
              <w:right w:w="255" w:type="dxa"/>
            </w:tcMar>
            <w:vAlign w:val="center"/>
          </w:tcPr>
          <w:p w14:paraId="185CA11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88,500</w:t>
            </w:r>
          </w:p>
        </w:tc>
        <w:tc>
          <w:tcPr>
            <w:tcW w:w="968" w:type="dxa"/>
            <w:shd w:val="clear" w:color="auto" w:fill="auto"/>
            <w:noWrap/>
            <w:tcMar>
              <w:right w:w="255" w:type="dxa"/>
            </w:tcMar>
            <w:vAlign w:val="center"/>
          </w:tcPr>
          <w:p w14:paraId="349CC1D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124,700</w:t>
            </w:r>
          </w:p>
        </w:tc>
      </w:tr>
      <w:tr w:rsidR="00023CF5" w:rsidRPr="00245A71" w14:paraId="439FC7AA" w14:textId="77777777" w:rsidTr="00023CF5">
        <w:trPr>
          <w:jc w:val="center"/>
        </w:trPr>
        <w:tc>
          <w:tcPr>
            <w:tcW w:w="967" w:type="dxa"/>
            <w:vAlign w:val="bottom"/>
          </w:tcPr>
          <w:p w14:paraId="44D1E5D9"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436B85C8"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2.00</w:t>
            </w:r>
          </w:p>
        </w:tc>
        <w:tc>
          <w:tcPr>
            <w:tcW w:w="968" w:type="dxa"/>
            <w:shd w:val="clear" w:color="auto" w:fill="auto"/>
            <w:noWrap/>
            <w:tcMar>
              <w:right w:w="255" w:type="dxa"/>
            </w:tcMar>
            <w:vAlign w:val="center"/>
          </w:tcPr>
          <w:p w14:paraId="0EF81C3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48,500</w:t>
            </w:r>
          </w:p>
        </w:tc>
        <w:tc>
          <w:tcPr>
            <w:tcW w:w="968" w:type="dxa"/>
            <w:shd w:val="clear" w:color="auto" w:fill="auto"/>
            <w:noWrap/>
            <w:tcMar>
              <w:right w:w="255" w:type="dxa"/>
            </w:tcMar>
            <w:vAlign w:val="center"/>
          </w:tcPr>
          <w:p w14:paraId="5F5FBD5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73,400</w:t>
            </w:r>
          </w:p>
        </w:tc>
        <w:tc>
          <w:tcPr>
            <w:tcW w:w="968" w:type="dxa"/>
            <w:shd w:val="clear" w:color="auto" w:fill="auto"/>
            <w:noWrap/>
            <w:tcMar>
              <w:right w:w="255" w:type="dxa"/>
            </w:tcMar>
            <w:vAlign w:val="center"/>
          </w:tcPr>
          <w:p w14:paraId="76F00F3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102,300</w:t>
            </w:r>
          </w:p>
        </w:tc>
        <w:tc>
          <w:tcPr>
            <w:tcW w:w="968" w:type="dxa"/>
            <w:shd w:val="clear" w:color="auto" w:fill="auto"/>
            <w:noWrap/>
            <w:tcMar>
              <w:right w:w="255" w:type="dxa"/>
            </w:tcMar>
            <w:vAlign w:val="center"/>
          </w:tcPr>
          <w:p w14:paraId="7283C16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144,100</w:t>
            </w:r>
          </w:p>
        </w:tc>
      </w:tr>
      <w:tr w:rsidR="00023CF5" w:rsidRPr="00245A71" w14:paraId="7040CF28" w14:textId="77777777" w:rsidTr="00023CF5">
        <w:trPr>
          <w:jc w:val="center"/>
        </w:trPr>
        <w:tc>
          <w:tcPr>
            <w:tcW w:w="967" w:type="dxa"/>
            <w:vAlign w:val="bottom"/>
          </w:tcPr>
          <w:p w14:paraId="63BB9B99"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2F4D2A6E"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2.24</w:t>
            </w:r>
          </w:p>
        </w:tc>
        <w:tc>
          <w:tcPr>
            <w:tcW w:w="968" w:type="dxa"/>
            <w:shd w:val="clear" w:color="auto" w:fill="auto"/>
            <w:noWrap/>
            <w:tcMar>
              <w:right w:w="255" w:type="dxa"/>
            </w:tcMar>
            <w:vAlign w:val="center"/>
          </w:tcPr>
          <w:p w14:paraId="3E617C6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54,300</w:t>
            </w:r>
          </w:p>
        </w:tc>
        <w:tc>
          <w:tcPr>
            <w:tcW w:w="968" w:type="dxa"/>
            <w:shd w:val="clear" w:color="auto" w:fill="auto"/>
            <w:noWrap/>
            <w:tcMar>
              <w:right w:w="255" w:type="dxa"/>
            </w:tcMar>
            <w:vAlign w:val="center"/>
          </w:tcPr>
          <w:p w14:paraId="3CED547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82,200</w:t>
            </w:r>
          </w:p>
        </w:tc>
        <w:tc>
          <w:tcPr>
            <w:tcW w:w="968" w:type="dxa"/>
            <w:shd w:val="clear" w:color="auto" w:fill="auto"/>
            <w:noWrap/>
            <w:tcMar>
              <w:right w:w="255" w:type="dxa"/>
            </w:tcMar>
            <w:vAlign w:val="center"/>
          </w:tcPr>
          <w:p w14:paraId="77CEB1D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114,600</w:t>
            </w:r>
          </w:p>
        </w:tc>
        <w:tc>
          <w:tcPr>
            <w:tcW w:w="968" w:type="dxa"/>
            <w:shd w:val="clear" w:color="auto" w:fill="auto"/>
            <w:noWrap/>
            <w:tcMar>
              <w:right w:w="255" w:type="dxa"/>
            </w:tcMar>
            <w:vAlign w:val="center"/>
          </w:tcPr>
          <w:p w14:paraId="4F89B06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161,400</w:t>
            </w:r>
          </w:p>
        </w:tc>
      </w:tr>
      <w:tr w:rsidR="00023CF5" w:rsidRPr="00245A71" w14:paraId="7F4F5FC1" w14:textId="77777777" w:rsidTr="00023CF5">
        <w:trPr>
          <w:jc w:val="center"/>
        </w:trPr>
        <w:tc>
          <w:tcPr>
            <w:tcW w:w="967" w:type="dxa"/>
            <w:vAlign w:val="bottom"/>
          </w:tcPr>
          <w:p w14:paraId="015821C7"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2D1486A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2.45</w:t>
            </w:r>
          </w:p>
        </w:tc>
        <w:tc>
          <w:tcPr>
            <w:tcW w:w="968" w:type="dxa"/>
            <w:shd w:val="clear" w:color="auto" w:fill="auto"/>
            <w:noWrap/>
            <w:tcMar>
              <w:right w:w="255" w:type="dxa"/>
            </w:tcMar>
            <w:vAlign w:val="center"/>
          </w:tcPr>
          <w:p w14:paraId="077F0A85"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59,400</w:t>
            </w:r>
          </w:p>
        </w:tc>
        <w:tc>
          <w:tcPr>
            <w:tcW w:w="968" w:type="dxa"/>
            <w:shd w:val="clear" w:color="auto" w:fill="auto"/>
            <w:noWrap/>
            <w:tcMar>
              <w:right w:w="255" w:type="dxa"/>
            </w:tcMar>
            <w:vAlign w:val="center"/>
          </w:tcPr>
          <w:p w14:paraId="2FC3385E"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89,900</w:t>
            </w:r>
          </w:p>
        </w:tc>
        <w:tc>
          <w:tcPr>
            <w:tcW w:w="968" w:type="dxa"/>
            <w:shd w:val="clear" w:color="auto" w:fill="auto"/>
            <w:noWrap/>
            <w:tcMar>
              <w:right w:w="255" w:type="dxa"/>
            </w:tcMar>
            <w:vAlign w:val="center"/>
          </w:tcPr>
          <w:p w14:paraId="6F563823"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125,300</w:t>
            </w:r>
          </w:p>
        </w:tc>
        <w:tc>
          <w:tcPr>
            <w:tcW w:w="968" w:type="dxa"/>
            <w:shd w:val="clear" w:color="auto" w:fill="auto"/>
            <w:noWrap/>
            <w:tcMar>
              <w:right w:w="255" w:type="dxa"/>
            </w:tcMar>
            <w:vAlign w:val="center"/>
          </w:tcPr>
          <w:p w14:paraId="59B491EF"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176,600</w:t>
            </w:r>
          </w:p>
        </w:tc>
      </w:tr>
      <w:tr w:rsidR="00023CF5" w:rsidRPr="00245A71" w14:paraId="002FB7C1" w14:textId="77777777" w:rsidTr="00023CF5">
        <w:trPr>
          <w:jc w:val="center"/>
        </w:trPr>
        <w:tc>
          <w:tcPr>
            <w:tcW w:w="967" w:type="dxa"/>
            <w:vAlign w:val="bottom"/>
          </w:tcPr>
          <w:p w14:paraId="23195877"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1E638FB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6C8C578F"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42,000</w:t>
            </w:r>
          </w:p>
        </w:tc>
        <w:tc>
          <w:tcPr>
            <w:tcW w:w="968" w:type="dxa"/>
            <w:shd w:val="clear" w:color="auto" w:fill="auto"/>
            <w:noWrap/>
            <w:tcMar>
              <w:right w:w="255" w:type="dxa"/>
            </w:tcMar>
            <w:vAlign w:val="center"/>
          </w:tcPr>
          <w:p w14:paraId="5F07F61E"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63,500</w:t>
            </w:r>
          </w:p>
        </w:tc>
        <w:tc>
          <w:tcPr>
            <w:tcW w:w="968" w:type="dxa"/>
            <w:shd w:val="clear" w:color="auto" w:fill="auto"/>
            <w:noWrap/>
            <w:tcMar>
              <w:right w:w="255" w:type="dxa"/>
            </w:tcMar>
            <w:vAlign w:val="center"/>
          </w:tcPr>
          <w:p w14:paraId="4F79CFC3"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88,500</w:t>
            </w:r>
          </w:p>
        </w:tc>
        <w:tc>
          <w:tcPr>
            <w:tcW w:w="968" w:type="dxa"/>
            <w:shd w:val="clear" w:color="auto" w:fill="auto"/>
            <w:noWrap/>
            <w:tcMar>
              <w:right w:w="255" w:type="dxa"/>
            </w:tcMar>
            <w:vAlign w:val="center"/>
          </w:tcPr>
          <w:p w14:paraId="0F245724"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124,700</w:t>
            </w:r>
          </w:p>
        </w:tc>
      </w:tr>
    </w:tbl>
    <w:p w14:paraId="41A91904"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0F31873F"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7A1E471D"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6.2</w:t>
      </w:r>
    </w:p>
    <w:p w14:paraId="2ED5AD63"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Upper boundaries for household income quintiles (BHC) for selected household types</w:t>
      </w:r>
      <w:r w:rsidRPr="00E222C2">
        <w:rPr>
          <w:rFonts w:ascii="Arial" w:eastAsia="Times New Roman" w:hAnsi="Arial" w:cs="Times New Roman"/>
          <w:b/>
          <w:bCs/>
          <w:color w:val="000000" w:themeColor="text1"/>
          <w:sz w:val="18"/>
          <w:szCs w:val="18"/>
        </w:rPr>
        <w:t xml:space="preserve">, </w:t>
      </w:r>
    </w:p>
    <w:p w14:paraId="56697925" w14:textId="09F80CC3"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 xml:space="preserve">modified OECD scale, </w:t>
      </w:r>
      <w:r w:rsidRPr="00E222C2">
        <w:rPr>
          <w:rFonts w:ascii="Arial" w:eastAsia="Times New Roman" w:hAnsi="Arial" w:cs="Times New Roman"/>
          <w:b/>
          <w:bCs/>
          <w:color w:val="000000" w:themeColor="text1"/>
          <w:sz w:val="18"/>
          <w:szCs w:val="18"/>
        </w:rPr>
        <w:t>HES 201</w:t>
      </w:r>
      <w:r>
        <w:rPr>
          <w:rFonts w:ascii="Arial" w:eastAsia="Times New Roman" w:hAnsi="Arial" w:cs="Times New Roman"/>
          <w:b/>
          <w:bCs/>
          <w:color w:val="000000" w:themeColor="text1"/>
          <w:sz w:val="18"/>
          <w:szCs w:val="18"/>
        </w:rPr>
        <w:t>7</w:t>
      </w:r>
      <w:r w:rsidRPr="00E222C2">
        <w:rPr>
          <w:rFonts w:ascii="Arial" w:eastAsia="Times New Roman" w:hAnsi="Arial" w:cs="Times New Roman"/>
          <w:b/>
          <w:bCs/>
          <w:color w:val="000000" w:themeColor="text1"/>
          <w:sz w:val="18"/>
          <w:szCs w:val="18"/>
        </w:rPr>
        <w:t>-1</w:t>
      </w:r>
      <w:r>
        <w:rPr>
          <w:rFonts w:ascii="Arial" w:eastAsia="Times New Roman" w:hAnsi="Arial" w:cs="Times New Roman"/>
          <w:b/>
          <w:bCs/>
          <w:color w:val="000000" w:themeColor="text1"/>
          <w:sz w:val="18"/>
          <w:szCs w:val="18"/>
        </w:rPr>
        <w:t>8</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4A1EE0A5" w14:textId="77777777" w:rsidTr="00023CF5">
        <w:trPr>
          <w:jc w:val="center"/>
        </w:trPr>
        <w:tc>
          <w:tcPr>
            <w:tcW w:w="967" w:type="dxa"/>
            <w:vAlign w:val="bottom"/>
          </w:tcPr>
          <w:p w14:paraId="3513854F"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48EE00A4"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6D9B5E5B"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7C7FAD89"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493150F0"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03FADDE2"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31E17E52" w14:textId="77777777" w:rsidTr="00023CF5">
        <w:trPr>
          <w:jc w:val="center"/>
        </w:trPr>
        <w:tc>
          <w:tcPr>
            <w:tcW w:w="967" w:type="dxa"/>
            <w:vAlign w:val="bottom"/>
          </w:tcPr>
          <w:p w14:paraId="1D9D06F7"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2C20F03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06AC80EB"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22,700</w:t>
            </w:r>
          </w:p>
        </w:tc>
        <w:tc>
          <w:tcPr>
            <w:tcW w:w="968" w:type="dxa"/>
            <w:shd w:val="clear" w:color="auto" w:fill="auto"/>
            <w:noWrap/>
            <w:tcMar>
              <w:right w:w="255" w:type="dxa"/>
            </w:tcMar>
            <w:vAlign w:val="center"/>
          </w:tcPr>
          <w:p w14:paraId="22DA726B"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34,000</w:t>
            </w:r>
          </w:p>
        </w:tc>
        <w:tc>
          <w:tcPr>
            <w:tcW w:w="968" w:type="dxa"/>
            <w:shd w:val="clear" w:color="auto" w:fill="auto"/>
            <w:noWrap/>
            <w:tcMar>
              <w:right w:w="255" w:type="dxa"/>
            </w:tcMar>
            <w:vAlign w:val="center"/>
          </w:tcPr>
          <w:p w14:paraId="31642B71"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46,800</w:t>
            </w:r>
          </w:p>
        </w:tc>
        <w:tc>
          <w:tcPr>
            <w:tcW w:w="968" w:type="dxa"/>
            <w:shd w:val="clear" w:color="auto" w:fill="auto"/>
            <w:noWrap/>
            <w:tcMar>
              <w:right w:w="255" w:type="dxa"/>
            </w:tcMar>
            <w:vAlign w:val="center"/>
          </w:tcPr>
          <w:p w14:paraId="6AE36D35"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65,200</w:t>
            </w:r>
          </w:p>
        </w:tc>
      </w:tr>
      <w:tr w:rsidR="00023CF5" w:rsidRPr="00245A71" w14:paraId="5A63AA44" w14:textId="77777777" w:rsidTr="00023CF5">
        <w:trPr>
          <w:jc w:val="center"/>
        </w:trPr>
        <w:tc>
          <w:tcPr>
            <w:tcW w:w="967" w:type="dxa"/>
            <w:vAlign w:val="bottom"/>
          </w:tcPr>
          <w:p w14:paraId="32B7D134"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50E1815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1.40</w:t>
            </w:r>
          </w:p>
        </w:tc>
        <w:tc>
          <w:tcPr>
            <w:tcW w:w="968" w:type="dxa"/>
            <w:shd w:val="clear" w:color="auto" w:fill="auto"/>
            <w:noWrap/>
            <w:tcMar>
              <w:right w:w="255" w:type="dxa"/>
            </w:tcMar>
            <w:vAlign w:val="center"/>
          </w:tcPr>
          <w:p w14:paraId="762B00E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31,800</w:t>
            </w:r>
          </w:p>
        </w:tc>
        <w:tc>
          <w:tcPr>
            <w:tcW w:w="968" w:type="dxa"/>
            <w:shd w:val="clear" w:color="auto" w:fill="auto"/>
            <w:noWrap/>
            <w:tcMar>
              <w:right w:w="255" w:type="dxa"/>
            </w:tcMar>
            <w:vAlign w:val="center"/>
          </w:tcPr>
          <w:p w14:paraId="6ACF71A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47,500</w:t>
            </w:r>
          </w:p>
        </w:tc>
        <w:tc>
          <w:tcPr>
            <w:tcW w:w="968" w:type="dxa"/>
            <w:shd w:val="clear" w:color="auto" w:fill="auto"/>
            <w:noWrap/>
            <w:tcMar>
              <w:right w:w="255" w:type="dxa"/>
            </w:tcMar>
            <w:vAlign w:val="center"/>
          </w:tcPr>
          <w:p w14:paraId="33478FF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65,600</w:t>
            </w:r>
          </w:p>
        </w:tc>
        <w:tc>
          <w:tcPr>
            <w:tcW w:w="968" w:type="dxa"/>
            <w:shd w:val="clear" w:color="auto" w:fill="auto"/>
            <w:noWrap/>
            <w:tcMar>
              <w:right w:w="255" w:type="dxa"/>
            </w:tcMar>
            <w:vAlign w:val="center"/>
          </w:tcPr>
          <w:p w14:paraId="5B6C075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91,300</w:t>
            </w:r>
          </w:p>
        </w:tc>
      </w:tr>
      <w:tr w:rsidR="00023CF5" w:rsidRPr="00245A71" w14:paraId="7E3091A2" w14:textId="77777777" w:rsidTr="00023CF5">
        <w:trPr>
          <w:jc w:val="center"/>
        </w:trPr>
        <w:tc>
          <w:tcPr>
            <w:tcW w:w="967" w:type="dxa"/>
            <w:vAlign w:val="bottom"/>
          </w:tcPr>
          <w:p w14:paraId="3C87DBFA"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430EE787"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1.75</w:t>
            </w:r>
          </w:p>
        </w:tc>
        <w:tc>
          <w:tcPr>
            <w:tcW w:w="968" w:type="dxa"/>
            <w:shd w:val="clear" w:color="auto" w:fill="auto"/>
            <w:noWrap/>
            <w:tcMar>
              <w:right w:w="255" w:type="dxa"/>
            </w:tcMar>
            <w:vAlign w:val="center"/>
          </w:tcPr>
          <w:p w14:paraId="2DD4FA7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39,700</w:t>
            </w:r>
          </w:p>
        </w:tc>
        <w:tc>
          <w:tcPr>
            <w:tcW w:w="968" w:type="dxa"/>
            <w:shd w:val="clear" w:color="auto" w:fill="auto"/>
            <w:noWrap/>
            <w:tcMar>
              <w:right w:w="255" w:type="dxa"/>
            </w:tcMar>
            <w:vAlign w:val="center"/>
          </w:tcPr>
          <w:p w14:paraId="5E9A5C1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59,400</w:t>
            </w:r>
          </w:p>
        </w:tc>
        <w:tc>
          <w:tcPr>
            <w:tcW w:w="968" w:type="dxa"/>
            <w:shd w:val="clear" w:color="auto" w:fill="auto"/>
            <w:noWrap/>
            <w:tcMar>
              <w:right w:w="255" w:type="dxa"/>
            </w:tcMar>
            <w:vAlign w:val="center"/>
          </w:tcPr>
          <w:p w14:paraId="62CB873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82,000</w:t>
            </w:r>
          </w:p>
        </w:tc>
        <w:tc>
          <w:tcPr>
            <w:tcW w:w="968" w:type="dxa"/>
            <w:shd w:val="clear" w:color="auto" w:fill="auto"/>
            <w:noWrap/>
            <w:tcMar>
              <w:right w:w="255" w:type="dxa"/>
            </w:tcMar>
            <w:vAlign w:val="center"/>
          </w:tcPr>
          <w:p w14:paraId="350E3C6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114,200</w:t>
            </w:r>
          </w:p>
        </w:tc>
      </w:tr>
      <w:tr w:rsidR="00023CF5" w:rsidRPr="00245A71" w14:paraId="07E31BFD" w14:textId="77777777" w:rsidTr="00023CF5">
        <w:trPr>
          <w:jc w:val="center"/>
        </w:trPr>
        <w:tc>
          <w:tcPr>
            <w:tcW w:w="967" w:type="dxa"/>
            <w:vAlign w:val="bottom"/>
          </w:tcPr>
          <w:p w14:paraId="284FFFF8"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201B9A5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2.06</w:t>
            </w:r>
          </w:p>
        </w:tc>
        <w:tc>
          <w:tcPr>
            <w:tcW w:w="968" w:type="dxa"/>
            <w:shd w:val="clear" w:color="auto" w:fill="auto"/>
            <w:noWrap/>
            <w:tcMar>
              <w:right w:w="255" w:type="dxa"/>
            </w:tcMar>
            <w:vAlign w:val="center"/>
          </w:tcPr>
          <w:p w14:paraId="5DFD063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46,800</w:t>
            </w:r>
          </w:p>
        </w:tc>
        <w:tc>
          <w:tcPr>
            <w:tcW w:w="968" w:type="dxa"/>
            <w:shd w:val="clear" w:color="auto" w:fill="auto"/>
            <w:noWrap/>
            <w:tcMar>
              <w:right w:w="255" w:type="dxa"/>
            </w:tcMar>
            <w:vAlign w:val="center"/>
          </w:tcPr>
          <w:p w14:paraId="4EE493E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70,000</w:t>
            </w:r>
          </w:p>
        </w:tc>
        <w:tc>
          <w:tcPr>
            <w:tcW w:w="968" w:type="dxa"/>
            <w:shd w:val="clear" w:color="auto" w:fill="auto"/>
            <w:noWrap/>
            <w:tcMar>
              <w:right w:w="255" w:type="dxa"/>
            </w:tcMar>
            <w:vAlign w:val="center"/>
          </w:tcPr>
          <w:p w14:paraId="320A943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96,500</w:t>
            </w:r>
          </w:p>
        </w:tc>
        <w:tc>
          <w:tcPr>
            <w:tcW w:w="968" w:type="dxa"/>
            <w:shd w:val="clear" w:color="auto" w:fill="auto"/>
            <w:noWrap/>
            <w:tcMar>
              <w:right w:w="255" w:type="dxa"/>
            </w:tcMar>
            <w:vAlign w:val="center"/>
          </w:tcPr>
          <w:p w14:paraId="5AE46AD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134,400</w:t>
            </w:r>
          </w:p>
        </w:tc>
      </w:tr>
      <w:tr w:rsidR="00023CF5" w:rsidRPr="00245A71" w14:paraId="5E963F88" w14:textId="77777777" w:rsidTr="00023CF5">
        <w:trPr>
          <w:jc w:val="center"/>
        </w:trPr>
        <w:tc>
          <w:tcPr>
            <w:tcW w:w="967" w:type="dxa"/>
            <w:vAlign w:val="bottom"/>
          </w:tcPr>
          <w:p w14:paraId="2EB56BA3"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00EF24E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1.54</w:t>
            </w:r>
          </w:p>
        </w:tc>
        <w:tc>
          <w:tcPr>
            <w:tcW w:w="968" w:type="dxa"/>
            <w:shd w:val="clear" w:color="auto" w:fill="auto"/>
            <w:noWrap/>
            <w:tcMar>
              <w:right w:w="255" w:type="dxa"/>
            </w:tcMar>
            <w:vAlign w:val="center"/>
          </w:tcPr>
          <w:p w14:paraId="71689AB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35,000</w:t>
            </w:r>
          </w:p>
        </w:tc>
        <w:tc>
          <w:tcPr>
            <w:tcW w:w="968" w:type="dxa"/>
            <w:shd w:val="clear" w:color="auto" w:fill="auto"/>
            <w:noWrap/>
            <w:tcMar>
              <w:right w:w="255" w:type="dxa"/>
            </w:tcMar>
            <w:vAlign w:val="center"/>
          </w:tcPr>
          <w:p w14:paraId="55038F8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52,300</w:t>
            </w:r>
          </w:p>
        </w:tc>
        <w:tc>
          <w:tcPr>
            <w:tcW w:w="968" w:type="dxa"/>
            <w:shd w:val="clear" w:color="auto" w:fill="auto"/>
            <w:noWrap/>
            <w:tcMar>
              <w:right w:w="255" w:type="dxa"/>
            </w:tcMar>
            <w:vAlign w:val="center"/>
          </w:tcPr>
          <w:p w14:paraId="04A5426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72,100</w:t>
            </w:r>
          </w:p>
        </w:tc>
        <w:tc>
          <w:tcPr>
            <w:tcW w:w="968" w:type="dxa"/>
            <w:shd w:val="clear" w:color="auto" w:fill="auto"/>
            <w:noWrap/>
            <w:tcMar>
              <w:right w:w="255" w:type="dxa"/>
            </w:tcMar>
            <w:vAlign w:val="center"/>
          </w:tcPr>
          <w:p w14:paraId="52F00FA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100,500</w:t>
            </w:r>
          </w:p>
        </w:tc>
      </w:tr>
      <w:tr w:rsidR="00023CF5" w:rsidRPr="00245A71" w14:paraId="5ED6E8D8" w14:textId="77777777" w:rsidTr="00023CF5">
        <w:trPr>
          <w:jc w:val="center"/>
        </w:trPr>
        <w:tc>
          <w:tcPr>
            <w:tcW w:w="967" w:type="dxa"/>
            <w:vAlign w:val="bottom"/>
          </w:tcPr>
          <w:p w14:paraId="45101C86"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16230B8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1.86</w:t>
            </w:r>
          </w:p>
        </w:tc>
        <w:tc>
          <w:tcPr>
            <w:tcW w:w="968" w:type="dxa"/>
            <w:shd w:val="clear" w:color="auto" w:fill="auto"/>
            <w:noWrap/>
            <w:tcMar>
              <w:right w:w="255" w:type="dxa"/>
            </w:tcMar>
            <w:vAlign w:val="center"/>
          </w:tcPr>
          <w:p w14:paraId="597E4BD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42,200</w:t>
            </w:r>
          </w:p>
        </w:tc>
        <w:tc>
          <w:tcPr>
            <w:tcW w:w="968" w:type="dxa"/>
            <w:shd w:val="clear" w:color="auto" w:fill="auto"/>
            <w:noWrap/>
            <w:tcMar>
              <w:right w:w="255" w:type="dxa"/>
            </w:tcMar>
            <w:vAlign w:val="center"/>
          </w:tcPr>
          <w:p w14:paraId="5D30D62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63,200</w:t>
            </w:r>
          </w:p>
        </w:tc>
        <w:tc>
          <w:tcPr>
            <w:tcW w:w="968" w:type="dxa"/>
            <w:shd w:val="clear" w:color="auto" w:fill="auto"/>
            <w:noWrap/>
            <w:tcMar>
              <w:right w:w="255" w:type="dxa"/>
            </w:tcMar>
            <w:vAlign w:val="center"/>
          </w:tcPr>
          <w:p w14:paraId="3594FFA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87,100</w:t>
            </w:r>
          </w:p>
        </w:tc>
        <w:tc>
          <w:tcPr>
            <w:tcW w:w="968" w:type="dxa"/>
            <w:shd w:val="clear" w:color="auto" w:fill="auto"/>
            <w:noWrap/>
            <w:tcMar>
              <w:right w:w="255" w:type="dxa"/>
            </w:tcMar>
            <w:vAlign w:val="center"/>
          </w:tcPr>
          <w:p w14:paraId="3020367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121,400</w:t>
            </w:r>
          </w:p>
        </w:tc>
      </w:tr>
      <w:tr w:rsidR="00023CF5" w:rsidRPr="00245A71" w14:paraId="45EC7109" w14:textId="77777777" w:rsidTr="00023CF5">
        <w:trPr>
          <w:jc w:val="center"/>
        </w:trPr>
        <w:tc>
          <w:tcPr>
            <w:tcW w:w="967" w:type="dxa"/>
            <w:vAlign w:val="bottom"/>
          </w:tcPr>
          <w:p w14:paraId="75AF9057"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6B414CB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2.17</w:t>
            </w:r>
          </w:p>
        </w:tc>
        <w:tc>
          <w:tcPr>
            <w:tcW w:w="968" w:type="dxa"/>
            <w:shd w:val="clear" w:color="auto" w:fill="auto"/>
            <w:noWrap/>
            <w:tcMar>
              <w:right w:w="255" w:type="dxa"/>
            </w:tcMar>
            <w:vAlign w:val="center"/>
          </w:tcPr>
          <w:p w14:paraId="4328228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49,300</w:t>
            </w:r>
          </w:p>
        </w:tc>
        <w:tc>
          <w:tcPr>
            <w:tcW w:w="968" w:type="dxa"/>
            <w:shd w:val="clear" w:color="auto" w:fill="auto"/>
            <w:noWrap/>
            <w:tcMar>
              <w:right w:w="255" w:type="dxa"/>
            </w:tcMar>
            <w:vAlign w:val="center"/>
          </w:tcPr>
          <w:p w14:paraId="75C0809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73,700</w:t>
            </w:r>
          </w:p>
        </w:tc>
        <w:tc>
          <w:tcPr>
            <w:tcW w:w="968" w:type="dxa"/>
            <w:shd w:val="clear" w:color="auto" w:fill="auto"/>
            <w:noWrap/>
            <w:tcMar>
              <w:right w:w="255" w:type="dxa"/>
            </w:tcMar>
            <w:vAlign w:val="center"/>
          </w:tcPr>
          <w:p w14:paraId="7512C10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101,600</w:t>
            </w:r>
          </w:p>
        </w:tc>
        <w:tc>
          <w:tcPr>
            <w:tcW w:w="968" w:type="dxa"/>
            <w:shd w:val="clear" w:color="auto" w:fill="auto"/>
            <w:noWrap/>
            <w:tcMar>
              <w:right w:w="255" w:type="dxa"/>
            </w:tcMar>
            <w:vAlign w:val="center"/>
          </w:tcPr>
          <w:p w14:paraId="6B841A2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141,600</w:t>
            </w:r>
          </w:p>
        </w:tc>
      </w:tr>
      <w:tr w:rsidR="00023CF5" w:rsidRPr="00245A71" w14:paraId="2E72E4AD" w14:textId="77777777" w:rsidTr="00023CF5">
        <w:trPr>
          <w:jc w:val="center"/>
        </w:trPr>
        <w:tc>
          <w:tcPr>
            <w:tcW w:w="967" w:type="dxa"/>
            <w:vAlign w:val="bottom"/>
          </w:tcPr>
          <w:p w14:paraId="1AB92D87"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4D1463E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2.43</w:t>
            </w:r>
          </w:p>
        </w:tc>
        <w:tc>
          <w:tcPr>
            <w:tcW w:w="968" w:type="dxa"/>
            <w:shd w:val="clear" w:color="auto" w:fill="auto"/>
            <w:noWrap/>
            <w:tcMar>
              <w:right w:w="255" w:type="dxa"/>
            </w:tcMar>
            <w:vAlign w:val="center"/>
          </w:tcPr>
          <w:p w14:paraId="2249F9F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55,200</w:t>
            </w:r>
          </w:p>
        </w:tc>
        <w:tc>
          <w:tcPr>
            <w:tcW w:w="968" w:type="dxa"/>
            <w:shd w:val="clear" w:color="auto" w:fill="auto"/>
            <w:noWrap/>
            <w:tcMar>
              <w:right w:w="255" w:type="dxa"/>
            </w:tcMar>
            <w:vAlign w:val="center"/>
          </w:tcPr>
          <w:p w14:paraId="0B07A9D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82,500</w:t>
            </w:r>
          </w:p>
        </w:tc>
        <w:tc>
          <w:tcPr>
            <w:tcW w:w="968" w:type="dxa"/>
            <w:shd w:val="clear" w:color="auto" w:fill="auto"/>
            <w:noWrap/>
            <w:tcMar>
              <w:right w:w="255" w:type="dxa"/>
            </w:tcMar>
            <w:vAlign w:val="center"/>
          </w:tcPr>
          <w:p w14:paraId="400C460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113,800</w:t>
            </w:r>
          </w:p>
        </w:tc>
        <w:tc>
          <w:tcPr>
            <w:tcW w:w="968" w:type="dxa"/>
            <w:shd w:val="clear" w:color="auto" w:fill="auto"/>
            <w:noWrap/>
            <w:tcMar>
              <w:right w:w="255" w:type="dxa"/>
            </w:tcMar>
            <w:vAlign w:val="center"/>
          </w:tcPr>
          <w:p w14:paraId="31E80E2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158,500</w:t>
            </w:r>
          </w:p>
        </w:tc>
      </w:tr>
      <w:tr w:rsidR="00023CF5" w:rsidRPr="00245A71" w14:paraId="1F60CAE0" w14:textId="77777777" w:rsidTr="00023CF5">
        <w:trPr>
          <w:jc w:val="center"/>
        </w:trPr>
        <w:tc>
          <w:tcPr>
            <w:tcW w:w="967" w:type="dxa"/>
            <w:vAlign w:val="bottom"/>
          </w:tcPr>
          <w:p w14:paraId="08BB8EC7"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1E61182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2.69</w:t>
            </w:r>
          </w:p>
        </w:tc>
        <w:tc>
          <w:tcPr>
            <w:tcW w:w="968" w:type="dxa"/>
            <w:shd w:val="clear" w:color="auto" w:fill="auto"/>
            <w:noWrap/>
            <w:tcMar>
              <w:right w:w="255" w:type="dxa"/>
            </w:tcMar>
            <w:vAlign w:val="center"/>
          </w:tcPr>
          <w:p w14:paraId="0DE92C73"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61,100</w:t>
            </w:r>
          </w:p>
        </w:tc>
        <w:tc>
          <w:tcPr>
            <w:tcW w:w="968" w:type="dxa"/>
            <w:shd w:val="clear" w:color="auto" w:fill="auto"/>
            <w:noWrap/>
            <w:tcMar>
              <w:right w:w="255" w:type="dxa"/>
            </w:tcMar>
            <w:vAlign w:val="center"/>
          </w:tcPr>
          <w:p w14:paraId="455AF0CC"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91,300</w:t>
            </w:r>
          </w:p>
        </w:tc>
        <w:tc>
          <w:tcPr>
            <w:tcW w:w="968" w:type="dxa"/>
            <w:shd w:val="clear" w:color="auto" w:fill="auto"/>
            <w:noWrap/>
            <w:tcMar>
              <w:right w:w="255" w:type="dxa"/>
            </w:tcMar>
            <w:vAlign w:val="center"/>
          </w:tcPr>
          <w:p w14:paraId="4CD4A4B7"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126,000</w:t>
            </w:r>
          </w:p>
        </w:tc>
        <w:tc>
          <w:tcPr>
            <w:tcW w:w="968" w:type="dxa"/>
            <w:shd w:val="clear" w:color="auto" w:fill="auto"/>
            <w:noWrap/>
            <w:tcMar>
              <w:right w:w="255" w:type="dxa"/>
            </w:tcMar>
            <w:vAlign w:val="center"/>
          </w:tcPr>
          <w:p w14:paraId="14BFDBD2"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175,500</w:t>
            </w:r>
          </w:p>
        </w:tc>
      </w:tr>
      <w:tr w:rsidR="00023CF5" w:rsidRPr="00245A71" w14:paraId="16AC35F4" w14:textId="77777777" w:rsidTr="00023CF5">
        <w:trPr>
          <w:jc w:val="center"/>
        </w:trPr>
        <w:tc>
          <w:tcPr>
            <w:tcW w:w="967" w:type="dxa"/>
            <w:vAlign w:val="bottom"/>
          </w:tcPr>
          <w:p w14:paraId="5F53C711"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2C08D34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1.98</w:t>
            </w:r>
          </w:p>
        </w:tc>
        <w:tc>
          <w:tcPr>
            <w:tcW w:w="968" w:type="dxa"/>
            <w:shd w:val="clear" w:color="auto" w:fill="auto"/>
            <w:noWrap/>
            <w:tcMar>
              <w:right w:w="255" w:type="dxa"/>
            </w:tcMar>
            <w:vAlign w:val="center"/>
          </w:tcPr>
          <w:p w14:paraId="699D5D05"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45,000</w:t>
            </w:r>
          </w:p>
        </w:tc>
        <w:tc>
          <w:tcPr>
            <w:tcW w:w="968" w:type="dxa"/>
            <w:shd w:val="clear" w:color="auto" w:fill="auto"/>
            <w:noWrap/>
            <w:tcMar>
              <w:right w:w="255" w:type="dxa"/>
            </w:tcMar>
            <w:vAlign w:val="center"/>
          </w:tcPr>
          <w:p w14:paraId="5506850C"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67,200</w:t>
            </w:r>
          </w:p>
        </w:tc>
        <w:tc>
          <w:tcPr>
            <w:tcW w:w="968" w:type="dxa"/>
            <w:shd w:val="clear" w:color="auto" w:fill="auto"/>
            <w:noWrap/>
            <w:tcMar>
              <w:right w:w="255" w:type="dxa"/>
            </w:tcMar>
            <w:vAlign w:val="center"/>
          </w:tcPr>
          <w:p w14:paraId="762AFD57"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92,700</w:t>
            </w:r>
          </w:p>
        </w:tc>
        <w:tc>
          <w:tcPr>
            <w:tcW w:w="968" w:type="dxa"/>
            <w:shd w:val="clear" w:color="auto" w:fill="auto"/>
            <w:noWrap/>
            <w:tcMar>
              <w:right w:w="255" w:type="dxa"/>
            </w:tcMar>
            <w:vAlign w:val="center"/>
          </w:tcPr>
          <w:p w14:paraId="6A45E69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129,200</w:t>
            </w:r>
          </w:p>
        </w:tc>
      </w:tr>
    </w:tbl>
    <w:p w14:paraId="679E9839"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4A42A098"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7917B18B"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6.3</w:t>
      </w:r>
    </w:p>
    <w:p w14:paraId="76A7F0C3"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Upper boundaries for household income quintiles (BHC) for selected household types</w:t>
      </w:r>
      <w:r w:rsidRPr="00E222C2">
        <w:rPr>
          <w:rFonts w:ascii="Arial" w:eastAsia="Times New Roman" w:hAnsi="Arial" w:cs="Times New Roman"/>
          <w:b/>
          <w:bCs/>
          <w:color w:val="000000" w:themeColor="text1"/>
          <w:sz w:val="18"/>
          <w:szCs w:val="18"/>
        </w:rPr>
        <w:t xml:space="preserve">, </w:t>
      </w:r>
    </w:p>
    <w:p w14:paraId="705C1D54" w14:textId="23CC6AC4"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 xml:space="preserve">modified OECD scale, </w:t>
      </w:r>
      <w:r w:rsidRPr="00E222C2">
        <w:rPr>
          <w:rFonts w:ascii="Arial" w:eastAsia="Times New Roman" w:hAnsi="Arial" w:cs="Times New Roman"/>
          <w:b/>
          <w:bCs/>
          <w:color w:val="000000" w:themeColor="text1"/>
          <w:sz w:val="18"/>
          <w:szCs w:val="18"/>
        </w:rPr>
        <w:t>HES 201</w:t>
      </w:r>
      <w:r>
        <w:rPr>
          <w:rFonts w:ascii="Arial" w:eastAsia="Times New Roman" w:hAnsi="Arial" w:cs="Times New Roman"/>
          <w:b/>
          <w:bCs/>
          <w:color w:val="000000" w:themeColor="text1"/>
          <w:sz w:val="18"/>
          <w:szCs w:val="18"/>
        </w:rPr>
        <w:t>8</w:t>
      </w:r>
      <w:r w:rsidRPr="00E222C2">
        <w:rPr>
          <w:rFonts w:ascii="Arial" w:eastAsia="Times New Roman" w:hAnsi="Arial" w:cs="Times New Roman"/>
          <w:b/>
          <w:bCs/>
          <w:color w:val="000000" w:themeColor="text1"/>
          <w:sz w:val="18"/>
          <w:szCs w:val="18"/>
        </w:rPr>
        <w:t>-1</w:t>
      </w:r>
      <w:r>
        <w:rPr>
          <w:rFonts w:ascii="Arial" w:eastAsia="Times New Roman" w:hAnsi="Arial" w:cs="Times New Roman"/>
          <w:b/>
          <w:bCs/>
          <w:color w:val="000000" w:themeColor="text1"/>
          <w:sz w:val="18"/>
          <w:szCs w:val="18"/>
        </w:rPr>
        <w:t>9</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5B5A1710" w14:textId="77777777" w:rsidTr="00023CF5">
        <w:trPr>
          <w:jc w:val="center"/>
        </w:trPr>
        <w:tc>
          <w:tcPr>
            <w:tcW w:w="967" w:type="dxa"/>
            <w:vAlign w:val="bottom"/>
          </w:tcPr>
          <w:p w14:paraId="1D44955C"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6B22BECA"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2EFE3974"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69EEEA89"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0DA869FB"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10F67E5B"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752A7C41" w14:textId="77777777" w:rsidTr="00023CF5">
        <w:trPr>
          <w:jc w:val="center"/>
        </w:trPr>
        <w:tc>
          <w:tcPr>
            <w:tcW w:w="967" w:type="dxa"/>
            <w:vAlign w:val="bottom"/>
          </w:tcPr>
          <w:p w14:paraId="2A33AEE2"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1BC8E76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0562F37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22,600</w:t>
            </w:r>
          </w:p>
        </w:tc>
        <w:tc>
          <w:tcPr>
            <w:tcW w:w="968" w:type="dxa"/>
            <w:shd w:val="clear" w:color="auto" w:fill="auto"/>
            <w:noWrap/>
            <w:tcMar>
              <w:right w:w="255" w:type="dxa"/>
            </w:tcMar>
            <w:vAlign w:val="center"/>
          </w:tcPr>
          <w:p w14:paraId="40234F9C"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33,200</w:t>
            </w:r>
          </w:p>
        </w:tc>
        <w:tc>
          <w:tcPr>
            <w:tcW w:w="968" w:type="dxa"/>
            <w:shd w:val="clear" w:color="auto" w:fill="auto"/>
            <w:noWrap/>
            <w:tcMar>
              <w:right w:w="255" w:type="dxa"/>
            </w:tcMar>
            <w:vAlign w:val="center"/>
          </w:tcPr>
          <w:p w14:paraId="25B1E7AB"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46,100</w:t>
            </w:r>
          </w:p>
        </w:tc>
        <w:tc>
          <w:tcPr>
            <w:tcW w:w="968" w:type="dxa"/>
            <w:shd w:val="clear" w:color="auto" w:fill="auto"/>
            <w:noWrap/>
            <w:tcMar>
              <w:right w:w="255" w:type="dxa"/>
            </w:tcMar>
            <w:vAlign w:val="center"/>
          </w:tcPr>
          <w:p w14:paraId="3511565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63,500</w:t>
            </w:r>
          </w:p>
        </w:tc>
      </w:tr>
      <w:tr w:rsidR="00023CF5" w:rsidRPr="00245A71" w14:paraId="675B25BD" w14:textId="77777777" w:rsidTr="00023CF5">
        <w:trPr>
          <w:jc w:val="center"/>
        </w:trPr>
        <w:tc>
          <w:tcPr>
            <w:tcW w:w="967" w:type="dxa"/>
            <w:vAlign w:val="bottom"/>
          </w:tcPr>
          <w:p w14:paraId="79EDC757"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32054D04"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1.40</w:t>
            </w:r>
          </w:p>
        </w:tc>
        <w:tc>
          <w:tcPr>
            <w:tcW w:w="968" w:type="dxa"/>
            <w:shd w:val="clear" w:color="auto" w:fill="auto"/>
            <w:noWrap/>
            <w:tcMar>
              <w:right w:w="255" w:type="dxa"/>
            </w:tcMar>
            <w:vAlign w:val="center"/>
          </w:tcPr>
          <w:p w14:paraId="10686866"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31,700</w:t>
            </w:r>
          </w:p>
        </w:tc>
        <w:tc>
          <w:tcPr>
            <w:tcW w:w="968" w:type="dxa"/>
            <w:shd w:val="clear" w:color="auto" w:fill="auto"/>
            <w:noWrap/>
            <w:tcMar>
              <w:right w:w="255" w:type="dxa"/>
            </w:tcMar>
            <w:vAlign w:val="center"/>
          </w:tcPr>
          <w:p w14:paraId="1079D1A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46,500</w:t>
            </w:r>
          </w:p>
        </w:tc>
        <w:tc>
          <w:tcPr>
            <w:tcW w:w="968" w:type="dxa"/>
            <w:shd w:val="clear" w:color="auto" w:fill="auto"/>
            <w:noWrap/>
            <w:tcMar>
              <w:right w:w="255" w:type="dxa"/>
            </w:tcMar>
            <w:vAlign w:val="center"/>
          </w:tcPr>
          <w:p w14:paraId="2C6C707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64,500</w:t>
            </w:r>
          </w:p>
        </w:tc>
        <w:tc>
          <w:tcPr>
            <w:tcW w:w="968" w:type="dxa"/>
            <w:shd w:val="clear" w:color="auto" w:fill="auto"/>
            <w:noWrap/>
            <w:tcMar>
              <w:right w:w="255" w:type="dxa"/>
            </w:tcMar>
            <w:vAlign w:val="center"/>
          </w:tcPr>
          <w:p w14:paraId="5722A68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88,800</w:t>
            </w:r>
          </w:p>
        </w:tc>
      </w:tr>
      <w:tr w:rsidR="00023CF5" w:rsidRPr="00245A71" w14:paraId="68FBD6C4" w14:textId="77777777" w:rsidTr="00023CF5">
        <w:trPr>
          <w:jc w:val="center"/>
        </w:trPr>
        <w:tc>
          <w:tcPr>
            <w:tcW w:w="967" w:type="dxa"/>
            <w:vAlign w:val="bottom"/>
          </w:tcPr>
          <w:p w14:paraId="2EC3B34E"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24C2838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1.75</w:t>
            </w:r>
          </w:p>
        </w:tc>
        <w:tc>
          <w:tcPr>
            <w:tcW w:w="968" w:type="dxa"/>
            <w:shd w:val="clear" w:color="auto" w:fill="auto"/>
            <w:noWrap/>
            <w:tcMar>
              <w:right w:w="255" w:type="dxa"/>
            </w:tcMar>
            <w:vAlign w:val="center"/>
          </w:tcPr>
          <w:p w14:paraId="553D148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39,600</w:t>
            </w:r>
          </w:p>
        </w:tc>
        <w:tc>
          <w:tcPr>
            <w:tcW w:w="968" w:type="dxa"/>
            <w:shd w:val="clear" w:color="auto" w:fill="auto"/>
            <w:noWrap/>
            <w:tcMar>
              <w:right w:w="255" w:type="dxa"/>
            </w:tcMar>
            <w:vAlign w:val="center"/>
          </w:tcPr>
          <w:p w14:paraId="234A7A1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58,200</w:t>
            </w:r>
          </w:p>
        </w:tc>
        <w:tc>
          <w:tcPr>
            <w:tcW w:w="968" w:type="dxa"/>
            <w:shd w:val="clear" w:color="auto" w:fill="auto"/>
            <w:noWrap/>
            <w:tcMar>
              <w:right w:w="255" w:type="dxa"/>
            </w:tcMar>
            <w:vAlign w:val="center"/>
          </w:tcPr>
          <w:p w14:paraId="7B3B349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80,600</w:t>
            </w:r>
          </w:p>
        </w:tc>
        <w:tc>
          <w:tcPr>
            <w:tcW w:w="968" w:type="dxa"/>
            <w:shd w:val="clear" w:color="auto" w:fill="auto"/>
            <w:noWrap/>
            <w:tcMar>
              <w:right w:w="255" w:type="dxa"/>
            </w:tcMar>
            <w:vAlign w:val="center"/>
          </w:tcPr>
          <w:p w14:paraId="295CD24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111,000</w:t>
            </w:r>
          </w:p>
        </w:tc>
      </w:tr>
      <w:tr w:rsidR="00023CF5" w:rsidRPr="00245A71" w14:paraId="2690FE2A" w14:textId="77777777" w:rsidTr="00023CF5">
        <w:trPr>
          <w:jc w:val="center"/>
        </w:trPr>
        <w:tc>
          <w:tcPr>
            <w:tcW w:w="967" w:type="dxa"/>
            <w:vAlign w:val="bottom"/>
          </w:tcPr>
          <w:p w14:paraId="206B0967"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455472F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2.06</w:t>
            </w:r>
          </w:p>
        </w:tc>
        <w:tc>
          <w:tcPr>
            <w:tcW w:w="968" w:type="dxa"/>
            <w:shd w:val="clear" w:color="auto" w:fill="auto"/>
            <w:noWrap/>
            <w:tcMar>
              <w:right w:w="255" w:type="dxa"/>
            </w:tcMar>
            <w:vAlign w:val="center"/>
          </w:tcPr>
          <w:p w14:paraId="53CBFAB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46,600</w:t>
            </w:r>
          </w:p>
        </w:tc>
        <w:tc>
          <w:tcPr>
            <w:tcW w:w="968" w:type="dxa"/>
            <w:shd w:val="clear" w:color="auto" w:fill="auto"/>
            <w:noWrap/>
            <w:tcMar>
              <w:right w:w="255" w:type="dxa"/>
            </w:tcMar>
            <w:vAlign w:val="center"/>
          </w:tcPr>
          <w:p w14:paraId="535E687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68,500</w:t>
            </w:r>
          </w:p>
        </w:tc>
        <w:tc>
          <w:tcPr>
            <w:tcW w:w="968" w:type="dxa"/>
            <w:shd w:val="clear" w:color="auto" w:fill="auto"/>
            <w:noWrap/>
            <w:tcMar>
              <w:right w:w="255" w:type="dxa"/>
            </w:tcMar>
            <w:vAlign w:val="center"/>
          </w:tcPr>
          <w:p w14:paraId="67DB891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94,900</w:t>
            </w:r>
          </w:p>
        </w:tc>
        <w:tc>
          <w:tcPr>
            <w:tcW w:w="968" w:type="dxa"/>
            <w:shd w:val="clear" w:color="auto" w:fill="auto"/>
            <w:noWrap/>
            <w:tcMar>
              <w:right w:w="255" w:type="dxa"/>
            </w:tcMar>
            <w:vAlign w:val="center"/>
          </w:tcPr>
          <w:p w14:paraId="6C26C64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130,700</w:t>
            </w:r>
          </w:p>
        </w:tc>
      </w:tr>
      <w:tr w:rsidR="00023CF5" w:rsidRPr="00245A71" w14:paraId="3CC89F5A" w14:textId="77777777" w:rsidTr="00023CF5">
        <w:trPr>
          <w:jc w:val="center"/>
        </w:trPr>
        <w:tc>
          <w:tcPr>
            <w:tcW w:w="967" w:type="dxa"/>
            <w:vAlign w:val="bottom"/>
          </w:tcPr>
          <w:p w14:paraId="2373549F"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1A82168E"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1.54</w:t>
            </w:r>
          </w:p>
        </w:tc>
        <w:tc>
          <w:tcPr>
            <w:tcW w:w="968" w:type="dxa"/>
            <w:shd w:val="clear" w:color="auto" w:fill="auto"/>
            <w:noWrap/>
            <w:tcMar>
              <w:right w:w="255" w:type="dxa"/>
            </w:tcMar>
            <w:vAlign w:val="center"/>
          </w:tcPr>
          <w:p w14:paraId="0BA8014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34,900</w:t>
            </w:r>
          </w:p>
        </w:tc>
        <w:tc>
          <w:tcPr>
            <w:tcW w:w="968" w:type="dxa"/>
            <w:shd w:val="clear" w:color="auto" w:fill="auto"/>
            <w:noWrap/>
            <w:tcMar>
              <w:right w:w="255" w:type="dxa"/>
            </w:tcMar>
            <w:vAlign w:val="center"/>
          </w:tcPr>
          <w:p w14:paraId="4746DE4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51,200</w:t>
            </w:r>
          </w:p>
        </w:tc>
        <w:tc>
          <w:tcPr>
            <w:tcW w:w="968" w:type="dxa"/>
            <w:shd w:val="clear" w:color="auto" w:fill="auto"/>
            <w:noWrap/>
            <w:tcMar>
              <w:right w:w="255" w:type="dxa"/>
            </w:tcMar>
            <w:vAlign w:val="center"/>
          </w:tcPr>
          <w:p w14:paraId="04C96A6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70,900</w:t>
            </w:r>
          </w:p>
        </w:tc>
        <w:tc>
          <w:tcPr>
            <w:tcW w:w="968" w:type="dxa"/>
            <w:shd w:val="clear" w:color="auto" w:fill="auto"/>
            <w:noWrap/>
            <w:tcMar>
              <w:right w:w="255" w:type="dxa"/>
            </w:tcMar>
            <w:vAlign w:val="center"/>
          </w:tcPr>
          <w:p w14:paraId="3E040F3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97,700</w:t>
            </w:r>
          </w:p>
        </w:tc>
      </w:tr>
      <w:tr w:rsidR="00023CF5" w:rsidRPr="00245A71" w14:paraId="7E31FE95" w14:textId="77777777" w:rsidTr="00023CF5">
        <w:trPr>
          <w:jc w:val="center"/>
        </w:trPr>
        <w:tc>
          <w:tcPr>
            <w:tcW w:w="967" w:type="dxa"/>
            <w:vAlign w:val="bottom"/>
          </w:tcPr>
          <w:p w14:paraId="77960886"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51D1EBC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1.86</w:t>
            </w:r>
          </w:p>
        </w:tc>
        <w:tc>
          <w:tcPr>
            <w:tcW w:w="968" w:type="dxa"/>
            <w:shd w:val="clear" w:color="auto" w:fill="auto"/>
            <w:noWrap/>
            <w:tcMar>
              <w:right w:w="255" w:type="dxa"/>
            </w:tcMar>
            <w:vAlign w:val="center"/>
          </w:tcPr>
          <w:p w14:paraId="7D4FD95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42,100</w:t>
            </w:r>
          </w:p>
        </w:tc>
        <w:tc>
          <w:tcPr>
            <w:tcW w:w="968" w:type="dxa"/>
            <w:shd w:val="clear" w:color="auto" w:fill="auto"/>
            <w:noWrap/>
            <w:tcMar>
              <w:right w:w="255" w:type="dxa"/>
            </w:tcMar>
            <w:vAlign w:val="center"/>
          </w:tcPr>
          <w:p w14:paraId="7B51851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61,800</w:t>
            </w:r>
          </w:p>
        </w:tc>
        <w:tc>
          <w:tcPr>
            <w:tcW w:w="968" w:type="dxa"/>
            <w:shd w:val="clear" w:color="auto" w:fill="auto"/>
            <w:noWrap/>
            <w:tcMar>
              <w:right w:w="255" w:type="dxa"/>
            </w:tcMar>
            <w:vAlign w:val="center"/>
          </w:tcPr>
          <w:p w14:paraId="016CB7D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85,700</w:t>
            </w:r>
          </w:p>
        </w:tc>
        <w:tc>
          <w:tcPr>
            <w:tcW w:w="968" w:type="dxa"/>
            <w:shd w:val="clear" w:color="auto" w:fill="auto"/>
            <w:noWrap/>
            <w:tcMar>
              <w:right w:w="255" w:type="dxa"/>
            </w:tcMar>
            <w:vAlign w:val="center"/>
          </w:tcPr>
          <w:p w14:paraId="42D4F11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118,000</w:t>
            </w:r>
          </w:p>
        </w:tc>
      </w:tr>
      <w:tr w:rsidR="00023CF5" w:rsidRPr="00245A71" w14:paraId="0F15447A" w14:textId="77777777" w:rsidTr="00023CF5">
        <w:trPr>
          <w:jc w:val="center"/>
        </w:trPr>
        <w:tc>
          <w:tcPr>
            <w:tcW w:w="967" w:type="dxa"/>
            <w:vAlign w:val="bottom"/>
          </w:tcPr>
          <w:p w14:paraId="5F008FC4"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339832F0"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2.17</w:t>
            </w:r>
          </w:p>
        </w:tc>
        <w:tc>
          <w:tcPr>
            <w:tcW w:w="968" w:type="dxa"/>
            <w:shd w:val="clear" w:color="auto" w:fill="auto"/>
            <w:noWrap/>
            <w:tcMar>
              <w:right w:w="255" w:type="dxa"/>
            </w:tcMar>
            <w:vAlign w:val="center"/>
          </w:tcPr>
          <w:p w14:paraId="70E6E7C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49,100</w:t>
            </w:r>
          </w:p>
        </w:tc>
        <w:tc>
          <w:tcPr>
            <w:tcW w:w="968" w:type="dxa"/>
            <w:shd w:val="clear" w:color="auto" w:fill="auto"/>
            <w:noWrap/>
            <w:tcMar>
              <w:right w:w="255" w:type="dxa"/>
            </w:tcMar>
            <w:vAlign w:val="center"/>
          </w:tcPr>
          <w:p w14:paraId="65564E7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72,100</w:t>
            </w:r>
          </w:p>
        </w:tc>
        <w:tc>
          <w:tcPr>
            <w:tcW w:w="968" w:type="dxa"/>
            <w:shd w:val="clear" w:color="auto" w:fill="auto"/>
            <w:noWrap/>
            <w:tcMar>
              <w:right w:w="255" w:type="dxa"/>
            </w:tcMar>
            <w:vAlign w:val="center"/>
          </w:tcPr>
          <w:p w14:paraId="3B0C828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99,900</w:t>
            </w:r>
          </w:p>
        </w:tc>
        <w:tc>
          <w:tcPr>
            <w:tcW w:w="968" w:type="dxa"/>
            <w:shd w:val="clear" w:color="auto" w:fill="auto"/>
            <w:noWrap/>
            <w:tcMar>
              <w:right w:w="255" w:type="dxa"/>
            </w:tcMar>
            <w:vAlign w:val="center"/>
          </w:tcPr>
          <w:p w14:paraId="69F8F67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137,700</w:t>
            </w:r>
          </w:p>
        </w:tc>
      </w:tr>
      <w:tr w:rsidR="00023CF5" w:rsidRPr="00245A71" w14:paraId="32626410" w14:textId="77777777" w:rsidTr="00023CF5">
        <w:trPr>
          <w:jc w:val="center"/>
        </w:trPr>
        <w:tc>
          <w:tcPr>
            <w:tcW w:w="967" w:type="dxa"/>
            <w:vAlign w:val="bottom"/>
          </w:tcPr>
          <w:p w14:paraId="3DF0A3BC"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53C62B9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2.43</w:t>
            </w:r>
          </w:p>
        </w:tc>
        <w:tc>
          <w:tcPr>
            <w:tcW w:w="968" w:type="dxa"/>
            <w:shd w:val="clear" w:color="auto" w:fill="auto"/>
            <w:noWrap/>
            <w:tcMar>
              <w:right w:w="255" w:type="dxa"/>
            </w:tcMar>
            <w:vAlign w:val="center"/>
          </w:tcPr>
          <w:p w14:paraId="748397A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55,000</w:t>
            </w:r>
          </w:p>
        </w:tc>
        <w:tc>
          <w:tcPr>
            <w:tcW w:w="968" w:type="dxa"/>
            <w:shd w:val="clear" w:color="auto" w:fill="auto"/>
            <w:noWrap/>
            <w:tcMar>
              <w:right w:w="255" w:type="dxa"/>
            </w:tcMar>
            <w:vAlign w:val="center"/>
          </w:tcPr>
          <w:p w14:paraId="775D99F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80,800</w:t>
            </w:r>
          </w:p>
        </w:tc>
        <w:tc>
          <w:tcPr>
            <w:tcW w:w="968" w:type="dxa"/>
            <w:shd w:val="clear" w:color="auto" w:fill="auto"/>
            <w:noWrap/>
            <w:tcMar>
              <w:right w:w="255" w:type="dxa"/>
            </w:tcMar>
            <w:vAlign w:val="center"/>
          </w:tcPr>
          <w:p w14:paraId="5CE775E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111,900</w:t>
            </w:r>
          </w:p>
        </w:tc>
        <w:tc>
          <w:tcPr>
            <w:tcW w:w="968" w:type="dxa"/>
            <w:shd w:val="clear" w:color="auto" w:fill="auto"/>
            <w:noWrap/>
            <w:tcMar>
              <w:right w:w="255" w:type="dxa"/>
            </w:tcMar>
            <w:vAlign w:val="center"/>
          </w:tcPr>
          <w:p w14:paraId="36A350E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154,200</w:t>
            </w:r>
          </w:p>
        </w:tc>
      </w:tr>
      <w:tr w:rsidR="00023CF5" w:rsidRPr="00245A71" w14:paraId="656DF3AF" w14:textId="77777777" w:rsidTr="00023CF5">
        <w:trPr>
          <w:jc w:val="center"/>
        </w:trPr>
        <w:tc>
          <w:tcPr>
            <w:tcW w:w="967" w:type="dxa"/>
            <w:vAlign w:val="bottom"/>
          </w:tcPr>
          <w:p w14:paraId="03A5869E"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002A15D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2.69</w:t>
            </w:r>
          </w:p>
        </w:tc>
        <w:tc>
          <w:tcPr>
            <w:tcW w:w="968" w:type="dxa"/>
            <w:shd w:val="clear" w:color="auto" w:fill="auto"/>
            <w:noWrap/>
            <w:tcMar>
              <w:right w:w="255" w:type="dxa"/>
            </w:tcMar>
            <w:vAlign w:val="center"/>
          </w:tcPr>
          <w:p w14:paraId="6994CD04"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60,900</w:t>
            </w:r>
          </w:p>
        </w:tc>
        <w:tc>
          <w:tcPr>
            <w:tcW w:w="968" w:type="dxa"/>
            <w:shd w:val="clear" w:color="auto" w:fill="auto"/>
            <w:noWrap/>
            <w:tcMar>
              <w:right w:w="255" w:type="dxa"/>
            </w:tcMar>
            <w:vAlign w:val="center"/>
          </w:tcPr>
          <w:p w14:paraId="0C8A1296"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89,400</w:t>
            </w:r>
          </w:p>
        </w:tc>
        <w:tc>
          <w:tcPr>
            <w:tcW w:w="968" w:type="dxa"/>
            <w:shd w:val="clear" w:color="auto" w:fill="auto"/>
            <w:noWrap/>
            <w:tcMar>
              <w:right w:w="255" w:type="dxa"/>
            </w:tcMar>
            <w:vAlign w:val="center"/>
          </w:tcPr>
          <w:p w14:paraId="27F7B73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123,900</w:t>
            </w:r>
          </w:p>
        </w:tc>
        <w:tc>
          <w:tcPr>
            <w:tcW w:w="968" w:type="dxa"/>
            <w:shd w:val="clear" w:color="auto" w:fill="auto"/>
            <w:noWrap/>
            <w:tcMar>
              <w:right w:w="255" w:type="dxa"/>
            </w:tcMar>
            <w:vAlign w:val="center"/>
          </w:tcPr>
          <w:p w14:paraId="653CB80F"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170,700</w:t>
            </w:r>
          </w:p>
        </w:tc>
      </w:tr>
      <w:tr w:rsidR="00023CF5" w:rsidRPr="00245A71" w14:paraId="68A6D5E7" w14:textId="77777777" w:rsidTr="00023CF5">
        <w:trPr>
          <w:jc w:val="center"/>
        </w:trPr>
        <w:tc>
          <w:tcPr>
            <w:tcW w:w="967" w:type="dxa"/>
            <w:vAlign w:val="bottom"/>
          </w:tcPr>
          <w:p w14:paraId="462A716B"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654DDE7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1.98</w:t>
            </w:r>
          </w:p>
        </w:tc>
        <w:tc>
          <w:tcPr>
            <w:tcW w:w="968" w:type="dxa"/>
            <w:shd w:val="clear" w:color="auto" w:fill="auto"/>
            <w:noWrap/>
            <w:tcMar>
              <w:right w:w="255" w:type="dxa"/>
            </w:tcMar>
            <w:vAlign w:val="center"/>
          </w:tcPr>
          <w:p w14:paraId="775CC88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44,800</w:t>
            </w:r>
          </w:p>
        </w:tc>
        <w:tc>
          <w:tcPr>
            <w:tcW w:w="968" w:type="dxa"/>
            <w:shd w:val="clear" w:color="auto" w:fill="auto"/>
            <w:noWrap/>
            <w:tcMar>
              <w:right w:w="255" w:type="dxa"/>
            </w:tcMar>
            <w:vAlign w:val="center"/>
          </w:tcPr>
          <w:p w14:paraId="3D85FDEC"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65,800</w:t>
            </w:r>
          </w:p>
        </w:tc>
        <w:tc>
          <w:tcPr>
            <w:tcW w:w="968" w:type="dxa"/>
            <w:shd w:val="clear" w:color="auto" w:fill="auto"/>
            <w:noWrap/>
            <w:tcMar>
              <w:right w:w="255" w:type="dxa"/>
            </w:tcMar>
            <w:vAlign w:val="center"/>
          </w:tcPr>
          <w:p w14:paraId="586B0B9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91,200</w:t>
            </w:r>
          </w:p>
        </w:tc>
        <w:tc>
          <w:tcPr>
            <w:tcW w:w="968" w:type="dxa"/>
            <w:shd w:val="clear" w:color="auto" w:fill="auto"/>
            <w:noWrap/>
            <w:tcMar>
              <w:right w:w="255" w:type="dxa"/>
            </w:tcMar>
            <w:vAlign w:val="center"/>
          </w:tcPr>
          <w:p w14:paraId="1DA89D4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125,600</w:t>
            </w:r>
          </w:p>
        </w:tc>
      </w:tr>
    </w:tbl>
    <w:p w14:paraId="6368FDB2"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4DD97C64" w14:textId="77777777" w:rsidR="00023CF5" w:rsidRDefault="00023CF5" w:rsidP="00023CF5">
      <w:pPr>
        <w:spacing w:after="0" w:line="240" w:lineRule="auto"/>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br w:type="page"/>
      </w:r>
    </w:p>
    <w:p w14:paraId="2B85E34B" w14:textId="65F25347" w:rsidR="00023CF5" w:rsidRPr="00940309" w:rsidRDefault="00023CF5" w:rsidP="00023CF5">
      <w:pPr>
        <w:spacing w:after="0" w:line="240" w:lineRule="auto"/>
        <w:jc w:val="center"/>
        <w:rPr>
          <w:rFonts w:ascii="Arial" w:eastAsia="Times New Roman" w:hAnsi="Arial" w:cs="Times New Roman"/>
          <w:b/>
          <w:bCs/>
          <w:color w:val="000000" w:themeColor="text1"/>
          <w:szCs w:val="20"/>
        </w:rPr>
      </w:pPr>
      <w:r w:rsidRPr="00940309">
        <w:rPr>
          <w:rFonts w:ascii="Arial" w:eastAsia="Times New Roman" w:hAnsi="Arial" w:cs="Times New Roman"/>
          <w:b/>
          <w:bCs/>
          <w:color w:val="000000" w:themeColor="text1"/>
          <w:szCs w:val="20"/>
        </w:rPr>
        <w:lastRenderedPageBreak/>
        <w:t>Quintiles</w:t>
      </w:r>
      <w:r w:rsidR="00940309" w:rsidRPr="00940309">
        <w:rPr>
          <w:rFonts w:ascii="Arial" w:eastAsia="Times New Roman" w:hAnsi="Arial" w:cs="Times New Roman"/>
          <w:b/>
          <w:bCs/>
          <w:color w:val="000000" w:themeColor="text1"/>
          <w:szCs w:val="20"/>
        </w:rPr>
        <w:t xml:space="preserve"> for individuals in their households</w:t>
      </w:r>
    </w:p>
    <w:p w14:paraId="4A6D7B5A"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652213FE" w14:textId="77777777" w:rsidR="00023CF5" w:rsidRPr="00871D67" w:rsidRDefault="00023CF5" w:rsidP="00023CF5">
      <w:pPr>
        <w:spacing w:after="0" w:line="240" w:lineRule="auto"/>
        <w:jc w:val="center"/>
        <w:rPr>
          <w:rFonts w:ascii="Arial" w:eastAsia="Times New Roman" w:hAnsi="Arial" w:cs="Times New Roman"/>
          <w:b/>
          <w:bCs/>
          <w:color w:val="000000" w:themeColor="text1"/>
          <w:sz w:val="18"/>
          <w:szCs w:val="18"/>
        </w:rPr>
      </w:pPr>
      <w:r w:rsidRPr="00871D67">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6.1</w:t>
      </w:r>
    </w:p>
    <w:p w14:paraId="6765F17B" w14:textId="77777777"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Population BHC quintile boundaries by household type</w:t>
      </w:r>
      <w:r w:rsidRPr="00E222C2">
        <w:rPr>
          <w:rFonts w:ascii="Arial" w:eastAsia="Times New Roman" w:hAnsi="Arial" w:cs="Times New Roman"/>
          <w:b/>
          <w:bCs/>
          <w:color w:val="000000" w:themeColor="text1"/>
          <w:sz w:val="18"/>
          <w:szCs w:val="18"/>
        </w:rPr>
        <w:t xml:space="preserve">, </w:t>
      </w:r>
      <w:r>
        <w:rPr>
          <w:rFonts w:ascii="Arial" w:eastAsia="Times New Roman" w:hAnsi="Arial" w:cs="Times New Roman"/>
          <w:b/>
          <w:bCs/>
          <w:color w:val="000000" w:themeColor="text1"/>
          <w:sz w:val="18"/>
          <w:szCs w:val="18"/>
        </w:rPr>
        <w:t xml:space="preserve">square root, </w:t>
      </w:r>
      <w:r w:rsidRPr="00E222C2">
        <w:rPr>
          <w:rFonts w:ascii="Arial" w:eastAsia="Times New Roman" w:hAnsi="Arial" w:cs="Times New Roman"/>
          <w:b/>
          <w:bCs/>
          <w:color w:val="000000" w:themeColor="text1"/>
          <w:sz w:val="18"/>
          <w:szCs w:val="18"/>
        </w:rPr>
        <w:t>HES 2017-18</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1EC61691" w14:textId="77777777" w:rsidTr="00023CF5">
        <w:trPr>
          <w:jc w:val="center"/>
        </w:trPr>
        <w:tc>
          <w:tcPr>
            <w:tcW w:w="967" w:type="dxa"/>
            <w:vAlign w:val="bottom"/>
          </w:tcPr>
          <w:p w14:paraId="4CEDDF56"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5C9DD669"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2E3750C3"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1B2221C8"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0776C070"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71C146CD"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07768222" w14:textId="77777777" w:rsidTr="00023CF5">
        <w:trPr>
          <w:jc w:val="center"/>
        </w:trPr>
        <w:tc>
          <w:tcPr>
            <w:tcW w:w="967" w:type="dxa"/>
            <w:vAlign w:val="bottom"/>
          </w:tcPr>
          <w:p w14:paraId="305C8853"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68E6B536"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75C2C962"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26,900</w:t>
            </w:r>
          </w:p>
        </w:tc>
        <w:tc>
          <w:tcPr>
            <w:tcW w:w="968" w:type="dxa"/>
            <w:shd w:val="clear" w:color="auto" w:fill="auto"/>
            <w:noWrap/>
            <w:tcMar>
              <w:right w:w="255" w:type="dxa"/>
            </w:tcMar>
            <w:vAlign w:val="center"/>
          </w:tcPr>
          <w:p w14:paraId="4CB49C9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38,400</w:t>
            </w:r>
          </w:p>
        </w:tc>
        <w:tc>
          <w:tcPr>
            <w:tcW w:w="968" w:type="dxa"/>
            <w:shd w:val="clear" w:color="auto" w:fill="auto"/>
            <w:noWrap/>
            <w:tcMar>
              <w:right w:w="255" w:type="dxa"/>
            </w:tcMar>
            <w:vAlign w:val="center"/>
          </w:tcPr>
          <w:p w14:paraId="47E89E4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51,600</w:t>
            </w:r>
          </w:p>
        </w:tc>
        <w:tc>
          <w:tcPr>
            <w:tcW w:w="968" w:type="dxa"/>
            <w:shd w:val="clear" w:color="auto" w:fill="auto"/>
            <w:noWrap/>
            <w:tcMar>
              <w:right w:w="255" w:type="dxa"/>
            </w:tcMar>
            <w:vAlign w:val="center"/>
          </w:tcPr>
          <w:p w14:paraId="420CFDEF"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72,300</w:t>
            </w:r>
          </w:p>
        </w:tc>
      </w:tr>
      <w:tr w:rsidR="00023CF5" w:rsidRPr="00245A71" w14:paraId="078050C1" w14:textId="77777777" w:rsidTr="00023CF5">
        <w:trPr>
          <w:jc w:val="center"/>
        </w:trPr>
        <w:tc>
          <w:tcPr>
            <w:tcW w:w="967" w:type="dxa"/>
            <w:vAlign w:val="bottom"/>
          </w:tcPr>
          <w:p w14:paraId="686B10B1"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6E6C34E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1.41</w:t>
            </w:r>
          </w:p>
        </w:tc>
        <w:tc>
          <w:tcPr>
            <w:tcW w:w="968" w:type="dxa"/>
            <w:shd w:val="clear" w:color="auto" w:fill="auto"/>
            <w:noWrap/>
            <w:tcMar>
              <w:right w:w="255" w:type="dxa"/>
            </w:tcMar>
            <w:vAlign w:val="center"/>
          </w:tcPr>
          <w:p w14:paraId="48379E7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38,000</w:t>
            </w:r>
          </w:p>
        </w:tc>
        <w:tc>
          <w:tcPr>
            <w:tcW w:w="968" w:type="dxa"/>
            <w:shd w:val="clear" w:color="auto" w:fill="auto"/>
            <w:noWrap/>
            <w:tcMar>
              <w:right w:w="255" w:type="dxa"/>
            </w:tcMar>
            <w:vAlign w:val="center"/>
          </w:tcPr>
          <w:p w14:paraId="18C7664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54,100</w:t>
            </w:r>
          </w:p>
        </w:tc>
        <w:tc>
          <w:tcPr>
            <w:tcW w:w="968" w:type="dxa"/>
            <w:shd w:val="clear" w:color="auto" w:fill="auto"/>
            <w:noWrap/>
            <w:tcMar>
              <w:right w:w="255" w:type="dxa"/>
            </w:tcMar>
            <w:vAlign w:val="center"/>
          </w:tcPr>
          <w:p w14:paraId="34AC1906"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72,800</w:t>
            </w:r>
          </w:p>
        </w:tc>
        <w:tc>
          <w:tcPr>
            <w:tcW w:w="968" w:type="dxa"/>
            <w:shd w:val="clear" w:color="auto" w:fill="auto"/>
            <w:noWrap/>
            <w:tcMar>
              <w:right w:w="255" w:type="dxa"/>
            </w:tcMar>
            <w:vAlign w:val="center"/>
          </w:tcPr>
          <w:p w14:paraId="4948C37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102,000</w:t>
            </w:r>
          </w:p>
        </w:tc>
      </w:tr>
      <w:tr w:rsidR="00023CF5" w:rsidRPr="00245A71" w14:paraId="60B43814" w14:textId="77777777" w:rsidTr="00023CF5">
        <w:trPr>
          <w:jc w:val="center"/>
        </w:trPr>
        <w:tc>
          <w:tcPr>
            <w:tcW w:w="967" w:type="dxa"/>
            <w:vAlign w:val="bottom"/>
          </w:tcPr>
          <w:p w14:paraId="60A6B462"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7662FD3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4E9A5E6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46,600</w:t>
            </w:r>
          </w:p>
        </w:tc>
        <w:tc>
          <w:tcPr>
            <w:tcW w:w="968" w:type="dxa"/>
            <w:shd w:val="clear" w:color="auto" w:fill="auto"/>
            <w:noWrap/>
            <w:tcMar>
              <w:right w:w="255" w:type="dxa"/>
            </w:tcMar>
            <w:vAlign w:val="center"/>
          </w:tcPr>
          <w:p w14:paraId="1325AE9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66,400</w:t>
            </w:r>
          </w:p>
        </w:tc>
        <w:tc>
          <w:tcPr>
            <w:tcW w:w="968" w:type="dxa"/>
            <w:shd w:val="clear" w:color="auto" w:fill="auto"/>
            <w:noWrap/>
            <w:tcMar>
              <w:right w:w="255" w:type="dxa"/>
            </w:tcMar>
            <w:vAlign w:val="center"/>
          </w:tcPr>
          <w:p w14:paraId="27A8217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89,300</w:t>
            </w:r>
          </w:p>
        </w:tc>
        <w:tc>
          <w:tcPr>
            <w:tcW w:w="968" w:type="dxa"/>
            <w:shd w:val="clear" w:color="auto" w:fill="auto"/>
            <w:noWrap/>
            <w:tcMar>
              <w:right w:w="255" w:type="dxa"/>
            </w:tcMar>
            <w:vAlign w:val="center"/>
          </w:tcPr>
          <w:p w14:paraId="78188BB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125,100</w:t>
            </w:r>
          </w:p>
        </w:tc>
      </w:tr>
      <w:tr w:rsidR="00023CF5" w:rsidRPr="00245A71" w14:paraId="3119AE6A" w14:textId="77777777" w:rsidTr="00023CF5">
        <w:trPr>
          <w:jc w:val="center"/>
        </w:trPr>
        <w:tc>
          <w:tcPr>
            <w:tcW w:w="967" w:type="dxa"/>
            <w:vAlign w:val="bottom"/>
          </w:tcPr>
          <w:p w14:paraId="7CD84063"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0F2B101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2.00</w:t>
            </w:r>
          </w:p>
        </w:tc>
        <w:tc>
          <w:tcPr>
            <w:tcW w:w="968" w:type="dxa"/>
            <w:shd w:val="clear" w:color="auto" w:fill="auto"/>
            <w:noWrap/>
            <w:tcMar>
              <w:right w:w="255" w:type="dxa"/>
            </w:tcMar>
            <w:vAlign w:val="center"/>
          </w:tcPr>
          <w:p w14:paraId="02156BE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53,900</w:t>
            </w:r>
          </w:p>
        </w:tc>
        <w:tc>
          <w:tcPr>
            <w:tcW w:w="968" w:type="dxa"/>
            <w:shd w:val="clear" w:color="auto" w:fill="auto"/>
            <w:noWrap/>
            <w:tcMar>
              <w:right w:w="255" w:type="dxa"/>
            </w:tcMar>
            <w:vAlign w:val="center"/>
          </w:tcPr>
          <w:p w14:paraId="0AD9F23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76,800</w:t>
            </w:r>
          </w:p>
        </w:tc>
        <w:tc>
          <w:tcPr>
            <w:tcW w:w="968" w:type="dxa"/>
            <w:shd w:val="clear" w:color="auto" w:fill="auto"/>
            <w:noWrap/>
            <w:tcMar>
              <w:right w:w="255" w:type="dxa"/>
            </w:tcMar>
            <w:vAlign w:val="center"/>
          </w:tcPr>
          <w:p w14:paraId="662EB5C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103,300</w:t>
            </w:r>
          </w:p>
        </w:tc>
        <w:tc>
          <w:tcPr>
            <w:tcW w:w="968" w:type="dxa"/>
            <w:shd w:val="clear" w:color="auto" w:fill="auto"/>
            <w:noWrap/>
            <w:tcMar>
              <w:right w:w="255" w:type="dxa"/>
            </w:tcMar>
            <w:vAlign w:val="center"/>
          </w:tcPr>
          <w:p w14:paraId="2901475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144,600</w:t>
            </w:r>
          </w:p>
        </w:tc>
      </w:tr>
      <w:tr w:rsidR="00023CF5" w:rsidRPr="00245A71" w14:paraId="33BA8C84" w14:textId="77777777" w:rsidTr="00023CF5">
        <w:trPr>
          <w:jc w:val="center"/>
        </w:trPr>
        <w:tc>
          <w:tcPr>
            <w:tcW w:w="967" w:type="dxa"/>
            <w:vAlign w:val="bottom"/>
          </w:tcPr>
          <w:p w14:paraId="4144F6FE"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0DC449F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1.41</w:t>
            </w:r>
          </w:p>
        </w:tc>
        <w:tc>
          <w:tcPr>
            <w:tcW w:w="968" w:type="dxa"/>
            <w:shd w:val="clear" w:color="auto" w:fill="auto"/>
            <w:noWrap/>
            <w:tcMar>
              <w:right w:w="255" w:type="dxa"/>
            </w:tcMar>
            <w:vAlign w:val="center"/>
          </w:tcPr>
          <w:p w14:paraId="3E572EF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38,000</w:t>
            </w:r>
          </w:p>
        </w:tc>
        <w:tc>
          <w:tcPr>
            <w:tcW w:w="968" w:type="dxa"/>
            <w:shd w:val="clear" w:color="auto" w:fill="auto"/>
            <w:noWrap/>
            <w:tcMar>
              <w:right w:w="255" w:type="dxa"/>
            </w:tcMar>
            <w:vAlign w:val="center"/>
          </w:tcPr>
          <w:p w14:paraId="31B1EBE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54,100</w:t>
            </w:r>
          </w:p>
        </w:tc>
        <w:tc>
          <w:tcPr>
            <w:tcW w:w="968" w:type="dxa"/>
            <w:shd w:val="clear" w:color="auto" w:fill="auto"/>
            <w:noWrap/>
            <w:tcMar>
              <w:right w:w="255" w:type="dxa"/>
            </w:tcMar>
            <w:vAlign w:val="center"/>
          </w:tcPr>
          <w:p w14:paraId="11B4213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72,800</w:t>
            </w:r>
          </w:p>
        </w:tc>
        <w:tc>
          <w:tcPr>
            <w:tcW w:w="968" w:type="dxa"/>
            <w:shd w:val="clear" w:color="auto" w:fill="auto"/>
            <w:noWrap/>
            <w:tcMar>
              <w:right w:w="255" w:type="dxa"/>
            </w:tcMar>
            <w:vAlign w:val="center"/>
          </w:tcPr>
          <w:p w14:paraId="466BE19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102,000</w:t>
            </w:r>
          </w:p>
        </w:tc>
      </w:tr>
      <w:tr w:rsidR="00023CF5" w:rsidRPr="00245A71" w14:paraId="53B751F6" w14:textId="77777777" w:rsidTr="00023CF5">
        <w:trPr>
          <w:jc w:val="center"/>
        </w:trPr>
        <w:tc>
          <w:tcPr>
            <w:tcW w:w="967" w:type="dxa"/>
            <w:vAlign w:val="bottom"/>
          </w:tcPr>
          <w:p w14:paraId="16AD66F1"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1552EDDE"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297C079C"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46,600</w:t>
            </w:r>
          </w:p>
        </w:tc>
        <w:tc>
          <w:tcPr>
            <w:tcW w:w="968" w:type="dxa"/>
            <w:shd w:val="clear" w:color="auto" w:fill="auto"/>
            <w:noWrap/>
            <w:tcMar>
              <w:right w:w="255" w:type="dxa"/>
            </w:tcMar>
            <w:vAlign w:val="center"/>
          </w:tcPr>
          <w:p w14:paraId="163CBAB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66,400</w:t>
            </w:r>
          </w:p>
        </w:tc>
        <w:tc>
          <w:tcPr>
            <w:tcW w:w="968" w:type="dxa"/>
            <w:shd w:val="clear" w:color="auto" w:fill="auto"/>
            <w:noWrap/>
            <w:tcMar>
              <w:right w:w="255" w:type="dxa"/>
            </w:tcMar>
            <w:vAlign w:val="center"/>
          </w:tcPr>
          <w:p w14:paraId="32D416E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89,300</w:t>
            </w:r>
          </w:p>
        </w:tc>
        <w:tc>
          <w:tcPr>
            <w:tcW w:w="968" w:type="dxa"/>
            <w:shd w:val="clear" w:color="auto" w:fill="auto"/>
            <w:noWrap/>
            <w:tcMar>
              <w:right w:w="255" w:type="dxa"/>
            </w:tcMar>
            <w:vAlign w:val="center"/>
          </w:tcPr>
          <w:p w14:paraId="0D7EC77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125,100</w:t>
            </w:r>
          </w:p>
        </w:tc>
      </w:tr>
      <w:tr w:rsidR="00023CF5" w:rsidRPr="00245A71" w14:paraId="08F4758F" w14:textId="77777777" w:rsidTr="00023CF5">
        <w:trPr>
          <w:jc w:val="center"/>
        </w:trPr>
        <w:tc>
          <w:tcPr>
            <w:tcW w:w="967" w:type="dxa"/>
            <w:vAlign w:val="bottom"/>
          </w:tcPr>
          <w:p w14:paraId="3AD01E83"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5D2F60C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2.00</w:t>
            </w:r>
          </w:p>
        </w:tc>
        <w:tc>
          <w:tcPr>
            <w:tcW w:w="968" w:type="dxa"/>
            <w:shd w:val="clear" w:color="auto" w:fill="auto"/>
            <w:noWrap/>
            <w:tcMar>
              <w:right w:w="255" w:type="dxa"/>
            </w:tcMar>
            <w:vAlign w:val="center"/>
          </w:tcPr>
          <w:p w14:paraId="7D9FABC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53,900</w:t>
            </w:r>
          </w:p>
        </w:tc>
        <w:tc>
          <w:tcPr>
            <w:tcW w:w="968" w:type="dxa"/>
            <w:shd w:val="clear" w:color="auto" w:fill="auto"/>
            <w:noWrap/>
            <w:tcMar>
              <w:right w:w="255" w:type="dxa"/>
            </w:tcMar>
            <w:vAlign w:val="center"/>
          </w:tcPr>
          <w:p w14:paraId="718E893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76,800</w:t>
            </w:r>
          </w:p>
        </w:tc>
        <w:tc>
          <w:tcPr>
            <w:tcW w:w="968" w:type="dxa"/>
            <w:shd w:val="clear" w:color="auto" w:fill="auto"/>
            <w:noWrap/>
            <w:tcMar>
              <w:right w:w="255" w:type="dxa"/>
            </w:tcMar>
            <w:vAlign w:val="center"/>
          </w:tcPr>
          <w:p w14:paraId="043340E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103,300</w:t>
            </w:r>
          </w:p>
        </w:tc>
        <w:tc>
          <w:tcPr>
            <w:tcW w:w="968" w:type="dxa"/>
            <w:shd w:val="clear" w:color="auto" w:fill="auto"/>
            <w:noWrap/>
            <w:tcMar>
              <w:right w:w="255" w:type="dxa"/>
            </w:tcMar>
            <w:vAlign w:val="center"/>
          </w:tcPr>
          <w:p w14:paraId="3D4E894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144,600</w:t>
            </w:r>
          </w:p>
        </w:tc>
      </w:tr>
      <w:tr w:rsidR="00023CF5" w:rsidRPr="00245A71" w14:paraId="0606D82A" w14:textId="77777777" w:rsidTr="00023CF5">
        <w:trPr>
          <w:jc w:val="center"/>
        </w:trPr>
        <w:tc>
          <w:tcPr>
            <w:tcW w:w="967" w:type="dxa"/>
            <w:vAlign w:val="bottom"/>
          </w:tcPr>
          <w:p w14:paraId="254E947E"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52A35953"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2.24</w:t>
            </w:r>
          </w:p>
        </w:tc>
        <w:tc>
          <w:tcPr>
            <w:tcW w:w="968" w:type="dxa"/>
            <w:shd w:val="clear" w:color="auto" w:fill="auto"/>
            <w:noWrap/>
            <w:tcMar>
              <w:right w:w="255" w:type="dxa"/>
            </w:tcMar>
            <w:vAlign w:val="center"/>
          </w:tcPr>
          <w:p w14:paraId="5FA69DC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60,300</w:t>
            </w:r>
          </w:p>
        </w:tc>
        <w:tc>
          <w:tcPr>
            <w:tcW w:w="968" w:type="dxa"/>
            <w:shd w:val="clear" w:color="auto" w:fill="auto"/>
            <w:noWrap/>
            <w:tcMar>
              <w:right w:w="255" w:type="dxa"/>
            </w:tcMar>
            <w:vAlign w:val="center"/>
          </w:tcPr>
          <w:p w14:paraId="16004A0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86,000</w:t>
            </w:r>
          </w:p>
        </w:tc>
        <w:tc>
          <w:tcPr>
            <w:tcW w:w="968" w:type="dxa"/>
            <w:shd w:val="clear" w:color="auto" w:fill="auto"/>
            <w:noWrap/>
            <w:tcMar>
              <w:right w:w="255" w:type="dxa"/>
            </w:tcMar>
            <w:vAlign w:val="center"/>
          </w:tcPr>
          <w:p w14:paraId="24244A0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115,700</w:t>
            </w:r>
          </w:p>
        </w:tc>
        <w:tc>
          <w:tcPr>
            <w:tcW w:w="968" w:type="dxa"/>
            <w:shd w:val="clear" w:color="auto" w:fill="auto"/>
            <w:noWrap/>
            <w:tcMar>
              <w:right w:w="255" w:type="dxa"/>
            </w:tcMar>
            <w:vAlign w:val="center"/>
          </w:tcPr>
          <w:p w14:paraId="1F39C35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162,000</w:t>
            </w:r>
          </w:p>
        </w:tc>
      </w:tr>
      <w:tr w:rsidR="00023CF5" w:rsidRPr="00245A71" w14:paraId="392FB2FC" w14:textId="77777777" w:rsidTr="00023CF5">
        <w:trPr>
          <w:jc w:val="center"/>
        </w:trPr>
        <w:tc>
          <w:tcPr>
            <w:tcW w:w="967" w:type="dxa"/>
            <w:vAlign w:val="bottom"/>
          </w:tcPr>
          <w:p w14:paraId="4F9F7FA6"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34F0EC94"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2.45</w:t>
            </w:r>
          </w:p>
        </w:tc>
        <w:tc>
          <w:tcPr>
            <w:tcW w:w="968" w:type="dxa"/>
            <w:shd w:val="clear" w:color="auto" w:fill="auto"/>
            <w:noWrap/>
            <w:tcMar>
              <w:right w:w="255" w:type="dxa"/>
            </w:tcMar>
            <w:vAlign w:val="center"/>
          </w:tcPr>
          <w:p w14:paraId="19B0CB7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66,000</w:t>
            </w:r>
          </w:p>
        </w:tc>
        <w:tc>
          <w:tcPr>
            <w:tcW w:w="968" w:type="dxa"/>
            <w:shd w:val="clear" w:color="auto" w:fill="auto"/>
            <w:noWrap/>
            <w:tcMar>
              <w:right w:w="255" w:type="dxa"/>
            </w:tcMar>
            <w:vAlign w:val="center"/>
          </w:tcPr>
          <w:p w14:paraId="2E7AB567"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94,100</w:t>
            </w:r>
          </w:p>
        </w:tc>
        <w:tc>
          <w:tcPr>
            <w:tcW w:w="968" w:type="dxa"/>
            <w:shd w:val="clear" w:color="auto" w:fill="auto"/>
            <w:noWrap/>
            <w:tcMar>
              <w:right w:w="255" w:type="dxa"/>
            </w:tcMar>
            <w:vAlign w:val="center"/>
          </w:tcPr>
          <w:p w14:paraId="348DFF1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126,500</w:t>
            </w:r>
          </w:p>
        </w:tc>
        <w:tc>
          <w:tcPr>
            <w:tcW w:w="968" w:type="dxa"/>
            <w:shd w:val="clear" w:color="auto" w:fill="auto"/>
            <w:noWrap/>
            <w:tcMar>
              <w:right w:w="255" w:type="dxa"/>
            </w:tcMar>
            <w:vAlign w:val="center"/>
          </w:tcPr>
          <w:p w14:paraId="46800AEB"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177,200</w:t>
            </w:r>
          </w:p>
        </w:tc>
      </w:tr>
      <w:tr w:rsidR="00023CF5" w:rsidRPr="00245A71" w14:paraId="21CFCCC5" w14:textId="77777777" w:rsidTr="00023CF5">
        <w:trPr>
          <w:jc w:val="center"/>
        </w:trPr>
        <w:tc>
          <w:tcPr>
            <w:tcW w:w="967" w:type="dxa"/>
            <w:vAlign w:val="bottom"/>
          </w:tcPr>
          <w:p w14:paraId="75F250AD"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6C0DE29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1.73</w:t>
            </w:r>
          </w:p>
        </w:tc>
        <w:tc>
          <w:tcPr>
            <w:tcW w:w="968" w:type="dxa"/>
            <w:shd w:val="clear" w:color="auto" w:fill="auto"/>
            <w:noWrap/>
            <w:tcMar>
              <w:right w:w="255" w:type="dxa"/>
            </w:tcMar>
            <w:vAlign w:val="center"/>
          </w:tcPr>
          <w:p w14:paraId="6BBAFB32"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46,600</w:t>
            </w:r>
          </w:p>
        </w:tc>
        <w:tc>
          <w:tcPr>
            <w:tcW w:w="968" w:type="dxa"/>
            <w:shd w:val="clear" w:color="auto" w:fill="auto"/>
            <w:noWrap/>
            <w:tcMar>
              <w:right w:w="255" w:type="dxa"/>
            </w:tcMar>
            <w:vAlign w:val="center"/>
          </w:tcPr>
          <w:p w14:paraId="7F43917D"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66,400</w:t>
            </w:r>
          </w:p>
        </w:tc>
        <w:tc>
          <w:tcPr>
            <w:tcW w:w="968" w:type="dxa"/>
            <w:shd w:val="clear" w:color="auto" w:fill="auto"/>
            <w:noWrap/>
            <w:tcMar>
              <w:right w:w="255" w:type="dxa"/>
            </w:tcMar>
            <w:vAlign w:val="center"/>
          </w:tcPr>
          <w:p w14:paraId="5E317101"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89,300</w:t>
            </w:r>
          </w:p>
        </w:tc>
        <w:tc>
          <w:tcPr>
            <w:tcW w:w="968" w:type="dxa"/>
            <w:shd w:val="clear" w:color="auto" w:fill="auto"/>
            <w:noWrap/>
            <w:tcMar>
              <w:right w:w="255" w:type="dxa"/>
            </w:tcMar>
            <w:vAlign w:val="center"/>
          </w:tcPr>
          <w:p w14:paraId="29C9124D"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125,100</w:t>
            </w:r>
          </w:p>
        </w:tc>
      </w:tr>
    </w:tbl>
    <w:p w14:paraId="3BEF6F45"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6B8C6B67"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0501373F"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6.2</w:t>
      </w:r>
    </w:p>
    <w:p w14:paraId="1AB123DC" w14:textId="77777777"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Population BHC quintile boundaries by household type</w:t>
      </w:r>
      <w:r w:rsidRPr="00E222C2">
        <w:rPr>
          <w:rFonts w:ascii="Arial" w:eastAsia="Times New Roman" w:hAnsi="Arial" w:cs="Times New Roman"/>
          <w:b/>
          <w:bCs/>
          <w:color w:val="000000" w:themeColor="text1"/>
          <w:sz w:val="18"/>
          <w:szCs w:val="18"/>
        </w:rPr>
        <w:t xml:space="preserve">, </w:t>
      </w:r>
      <w:proofErr w:type="spellStart"/>
      <w:r>
        <w:rPr>
          <w:rFonts w:ascii="Arial" w:eastAsia="Times New Roman" w:hAnsi="Arial" w:cs="Times New Roman"/>
          <w:b/>
          <w:bCs/>
          <w:color w:val="000000" w:themeColor="text1"/>
          <w:sz w:val="18"/>
          <w:szCs w:val="18"/>
        </w:rPr>
        <w:t>mOECD</w:t>
      </w:r>
      <w:proofErr w:type="spellEnd"/>
      <w:r>
        <w:rPr>
          <w:rFonts w:ascii="Arial" w:eastAsia="Times New Roman" w:hAnsi="Arial" w:cs="Times New Roman"/>
          <w:b/>
          <w:bCs/>
          <w:color w:val="000000" w:themeColor="text1"/>
          <w:sz w:val="18"/>
          <w:szCs w:val="18"/>
        </w:rPr>
        <w:t xml:space="preserve">, </w:t>
      </w:r>
      <w:r w:rsidRPr="00E222C2">
        <w:rPr>
          <w:rFonts w:ascii="Arial" w:eastAsia="Times New Roman" w:hAnsi="Arial" w:cs="Times New Roman"/>
          <w:b/>
          <w:bCs/>
          <w:color w:val="000000" w:themeColor="text1"/>
          <w:sz w:val="18"/>
          <w:szCs w:val="18"/>
        </w:rPr>
        <w:t>HES 2017-18</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5E51FA6B" w14:textId="77777777" w:rsidTr="00023CF5">
        <w:trPr>
          <w:jc w:val="center"/>
        </w:trPr>
        <w:tc>
          <w:tcPr>
            <w:tcW w:w="967" w:type="dxa"/>
            <w:vAlign w:val="bottom"/>
          </w:tcPr>
          <w:p w14:paraId="18B97CB3"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1EF1A756"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37AD4C95"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0E5FCEC4"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0C8BF87E"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70C8B198"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2EB9C9F3" w14:textId="77777777" w:rsidTr="00023CF5">
        <w:trPr>
          <w:jc w:val="center"/>
        </w:trPr>
        <w:tc>
          <w:tcPr>
            <w:tcW w:w="967" w:type="dxa"/>
            <w:vAlign w:val="bottom"/>
          </w:tcPr>
          <w:p w14:paraId="0A00D1C9"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5C7CC99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3A4F4B5A"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24,000</w:t>
            </w:r>
          </w:p>
        </w:tc>
        <w:tc>
          <w:tcPr>
            <w:tcW w:w="968" w:type="dxa"/>
            <w:shd w:val="clear" w:color="auto" w:fill="auto"/>
            <w:noWrap/>
            <w:tcMar>
              <w:right w:w="255" w:type="dxa"/>
            </w:tcMar>
            <w:vAlign w:val="center"/>
          </w:tcPr>
          <w:p w14:paraId="0F0A81D5"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34,100</w:t>
            </w:r>
          </w:p>
        </w:tc>
        <w:tc>
          <w:tcPr>
            <w:tcW w:w="968" w:type="dxa"/>
            <w:shd w:val="clear" w:color="auto" w:fill="auto"/>
            <w:noWrap/>
            <w:tcMar>
              <w:right w:w="255" w:type="dxa"/>
            </w:tcMar>
            <w:vAlign w:val="center"/>
          </w:tcPr>
          <w:p w14:paraId="21237C75"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46,200</w:t>
            </w:r>
          </w:p>
        </w:tc>
        <w:tc>
          <w:tcPr>
            <w:tcW w:w="968" w:type="dxa"/>
            <w:shd w:val="clear" w:color="auto" w:fill="auto"/>
            <w:noWrap/>
            <w:tcMar>
              <w:right w:w="255" w:type="dxa"/>
            </w:tcMar>
            <w:vAlign w:val="center"/>
          </w:tcPr>
          <w:p w14:paraId="696A5132"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63,400</w:t>
            </w:r>
          </w:p>
        </w:tc>
      </w:tr>
      <w:tr w:rsidR="00023CF5" w:rsidRPr="00245A71" w14:paraId="06833A6B" w14:textId="77777777" w:rsidTr="00023CF5">
        <w:trPr>
          <w:jc w:val="center"/>
        </w:trPr>
        <w:tc>
          <w:tcPr>
            <w:tcW w:w="967" w:type="dxa"/>
            <w:vAlign w:val="bottom"/>
          </w:tcPr>
          <w:p w14:paraId="28854080"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1B08447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1.40</w:t>
            </w:r>
          </w:p>
        </w:tc>
        <w:tc>
          <w:tcPr>
            <w:tcW w:w="968" w:type="dxa"/>
            <w:shd w:val="clear" w:color="auto" w:fill="auto"/>
            <w:noWrap/>
            <w:tcMar>
              <w:right w:w="255" w:type="dxa"/>
            </w:tcMar>
            <w:vAlign w:val="center"/>
          </w:tcPr>
          <w:p w14:paraId="27368A0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33,600</w:t>
            </w:r>
          </w:p>
        </w:tc>
        <w:tc>
          <w:tcPr>
            <w:tcW w:w="968" w:type="dxa"/>
            <w:shd w:val="clear" w:color="auto" w:fill="auto"/>
            <w:noWrap/>
            <w:tcMar>
              <w:right w:w="255" w:type="dxa"/>
            </w:tcMar>
            <w:vAlign w:val="center"/>
          </w:tcPr>
          <w:p w14:paraId="725911DD"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47,700</w:t>
            </w:r>
          </w:p>
        </w:tc>
        <w:tc>
          <w:tcPr>
            <w:tcW w:w="968" w:type="dxa"/>
            <w:shd w:val="clear" w:color="auto" w:fill="auto"/>
            <w:noWrap/>
            <w:tcMar>
              <w:right w:w="255" w:type="dxa"/>
            </w:tcMar>
            <w:vAlign w:val="center"/>
          </w:tcPr>
          <w:p w14:paraId="5E0F52C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64,700</w:t>
            </w:r>
          </w:p>
        </w:tc>
        <w:tc>
          <w:tcPr>
            <w:tcW w:w="968" w:type="dxa"/>
            <w:shd w:val="clear" w:color="auto" w:fill="auto"/>
            <w:noWrap/>
            <w:tcMar>
              <w:right w:w="255" w:type="dxa"/>
            </w:tcMar>
            <w:vAlign w:val="center"/>
          </w:tcPr>
          <w:p w14:paraId="0CE69F8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88,800</w:t>
            </w:r>
          </w:p>
        </w:tc>
      </w:tr>
      <w:tr w:rsidR="00023CF5" w:rsidRPr="00245A71" w14:paraId="7B1C331A" w14:textId="77777777" w:rsidTr="00023CF5">
        <w:trPr>
          <w:jc w:val="center"/>
        </w:trPr>
        <w:tc>
          <w:tcPr>
            <w:tcW w:w="967" w:type="dxa"/>
            <w:vAlign w:val="bottom"/>
          </w:tcPr>
          <w:p w14:paraId="7364C0B5"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7B41D58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1.75</w:t>
            </w:r>
          </w:p>
        </w:tc>
        <w:tc>
          <w:tcPr>
            <w:tcW w:w="968" w:type="dxa"/>
            <w:shd w:val="clear" w:color="auto" w:fill="auto"/>
            <w:noWrap/>
            <w:tcMar>
              <w:right w:w="255" w:type="dxa"/>
            </w:tcMar>
            <w:vAlign w:val="center"/>
          </w:tcPr>
          <w:p w14:paraId="27A9FDA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42,000</w:t>
            </w:r>
          </w:p>
        </w:tc>
        <w:tc>
          <w:tcPr>
            <w:tcW w:w="968" w:type="dxa"/>
            <w:shd w:val="clear" w:color="auto" w:fill="auto"/>
            <w:noWrap/>
            <w:tcMar>
              <w:right w:w="255" w:type="dxa"/>
            </w:tcMar>
            <w:vAlign w:val="center"/>
          </w:tcPr>
          <w:p w14:paraId="3F74C68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59,700</w:t>
            </w:r>
          </w:p>
        </w:tc>
        <w:tc>
          <w:tcPr>
            <w:tcW w:w="968" w:type="dxa"/>
            <w:shd w:val="clear" w:color="auto" w:fill="auto"/>
            <w:noWrap/>
            <w:tcMar>
              <w:right w:w="255" w:type="dxa"/>
            </w:tcMar>
            <w:vAlign w:val="center"/>
          </w:tcPr>
          <w:p w14:paraId="7DF05711"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80,900</w:t>
            </w:r>
          </w:p>
        </w:tc>
        <w:tc>
          <w:tcPr>
            <w:tcW w:w="968" w:type="dxa"/>
            <w:shd w:val="clear" w:color="auto" w:fill="auto"/>
            <w:noWrap/>
            <w:tcMar>
              <w:right w:w="255" w:type="dxa"/>
            </w:tcMar>
            <w:vAlign w:val="center"/>
          </w:tcPr>
          <w:p w14:paraId="08493252"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111,000</w:t>
            </w:r>
          </w:p>
        </w:tc>
      </w:tr>
      <w:tr w:rsidR="00023CF5" w:rsidRPr="00245A71" w14:paraId="03A87BFC" w14:textId="77777777" w:rsidTr="00023CF5">
        <w:trPr>
          <w:jc w:val="center"/>
        </w:trPr>
        <w:tc>
          <w:tcPr>
            <w:tcW w:w="967" w:type="dxa"/>
            <w:vAlign w:val="bottom"/>
          </w:tcPr>
          <w:p w14:paraId="03E158F2"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771DEFF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2.06</w:t>
            </w:r>
          </w:p>
        </w:tc>
        <w:tc>
          <w:tcPr>
            <w:tcW w:w="968" w:type="dxa"/>
            <w:shd w:val="clear" w:color="auto" w:fill="auto"/>
            <w:noWrap/>
            <w:tcMar>
              <w:right w:w="255" w:type="dxa"/>
            </w:tcMar>
            <w:vAlign w:val="center"/>
          </w:tcPr>
          <w:p w14:paraId="528C9FF7"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49,400</w:t>
            </w:r>
          </w:p>
        </w:tc>
        <w:tc>
          <w:tcPr>
            <w:tcW w:w="968" w:type="dxa"/>
            <w:shd w:val="clear" w:color="auto" w:fill="auto"/>
            <w:noWrap/>
            <w:tcMar>
              <w:right w:w="255" w:type="dxa"/>
            </w:tcMar>
            <w:vAlign w:val="center"/>
          </w:tcPr>
          <w:p w14:paraId="77E1A5A9"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70,200</w:t>
            </w:r>
          </w:p>
        </w:tc>
        <w:tc>
          <w:tcPr>
            <w:tcW w:w="968" w:type="dxa"/>
            <w:shd w:val="clear" w:color="auto" w:fill="auto"/>
            <w:noWrap/>
            <w:tcMar>
              <w:right w:w="255" w:type="dxa"/>
            </w:tcMar>
            <w:vAlign w:val="center"/>
          </w:tcPr>
          <w:p w14:paraId="269D49E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95,200</w:t>
            </w:r>
          </w:p>
        </w:tc>
        <w:tc>
          <w:tcPr>
            <w:tcW w:w="968" w:type="dxa"/>
            <w:shd w:val="clear" w:color="auto" w:fill="auto"/>
            <w:noWrap/>
            <w:tcMar>
              <w:right w:w="255" w:type="dxa"/>
            </w:tcMar>
            <w:vAlign w:val="center"/>
          </w:tcPr>
          <w:p w14:paraId="7B298A3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130,700</w:t>
            </w:r>
          </w:p>
        </w:tc>
      </w:tr>
      <w:tr w:rsidR="00023CF5" w:rsidRPr="00245A71" w14:paraId="44826F35" w14:textId="77777777" w:rsidTr="00023CF5">
        <w:trPr>
          <w:jc w:val="center"/>
        </w:trPr>
        <w:tc>
          <w:tcPr>
            <w:tcW w:w="967" w:type="dxa"/>
            <w:vAlign w:val="bottom"/>
          </w:tcPr>
          <w:p w14:paraId="71A92CEA"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022CF9F5"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1.54</w:t>
            </w:r>
          </w:p>
        </w:tc>
        <w:tc>
          <w:tcPr>
            <w:tcW w:w="968" w:type="dxa"/>
            <w:shd w:val="clear" w:color="auto" w:fill="auto"/>
            <w:noWrap/>
            <w:tcMar>
              <w:right w:w="255" w:type="dxa"/>
            </w:tcMar>
            <w:vAlign w:val="center"/>
          </w:tcPr>
          <w:p w14:paraId="127DE3A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36,900</w:t>
            </w:r>
          </w:p>
        </w:tc>
        <w:tc>
          <w:tcPr>
            <w:tcW w:w="968" w:type="dxa"/>
            <w:shd w:val="clear" w:color="auto" w:fill="auto"/>
            <w:noWrap/>
            <w:tcMar>
              <w:right w:w="255" w:type="dxa"/>
            </w:tcMar>
            <w:vAlign w:val="center"/>
          </w:tcPr>
          <w:p w14:paraId="02943C1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52,500</w:t>
            </w:r>
          </w:p>
        </w:tc>
        <w:tc>
          <w:tcPr>
            <w:tcW w:w="968" w:type="dxa"/>
            <w:shd w:val="clear" w:color="auto" w:fill="auto"/>
            <w:noWrap/>
            <w:tcMar>
              <w:right w:w="255" w:type="dxa"/>
            </w:tcMar>
            <w:vAlign w:val="center"/>
          </w:tcPr>
          <w:p w14:paraId="0BD31455"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71,200</w:t>
            </w:r>
          </w:p>
        </w:tc>
        <w:tc>
          <w:tcPr>
            <w:tcW w:w="968" w:type="dxa"/>
            <w:shd w:val="clear" w:color="auto" w:fill="auto"/>
            <w:noWrap/>
            <w:tcMar>
              <w:right w:w="255" w:type="dxa"/>
            </w:tcMar>
            <w:vAlign w:val="center"/>
          </w:tcPr>
          <w:p w14:paraId="3BBFB4A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97,700</w:t>
            </w:r>
          </w:p>
        </w:tc>
      </w:tr>
      <w:tr w:rsidR="00023CF5" w:rsidRPr="00245A71" w14:paraId="7EB9D30B" w14:textId="77777777" w:rsidTr="00023CF5">
        <w:trPr>
          <w:jc w:val="center"/>
        </w:trPr>
        <w:tc>
          <w:tcPr>
            <w:tcW w:w="967" w:type="dxa"/>
            <w:vAlign w:val="bottom"/>
          </w:tcPr>
          <w:p w14:paraId="5AF11B2B"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6EAC356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1.86</w:t>
            </w:r>
          </w:p>
        </w:tc>
        <w:tc>
          <w:tcPr>
            <w:tcW w:w="968" w:type="dxa"/>
            <w:shd w:val="clear" w:color="auto" w:fill="auto"/>
            <w:noWrap/>
            <w:tcMar>
              <w:right w:w="255" w:type="dxa"/>
            </w:tcMar>
            <w:vAlign w:val="center"/>
          </w:tcPr>
          <w:p w14:paraId="5F8AC3F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44,600</w:t>
            </w:r>
          </w:p>
        </w:tc>
        <w:tc>
          <w:tcPr>
            <w:tcW w:w="968" w:type="dxa"/>
            <w:shd w:val="clear" w:color="auto" w:fill="auto"/>
            <w:noWrap/>
            <w:tcMar>
              <w:right w:w="255" w:type="dxa"/>
            </w:tcMar>
            <w:vAlign w:val="center"/>
          </w:tcPr>
          <w:p w14:paraId="698D5A4F"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63,400</w:t>
            </w:r>
          </w:p>
        </w:tc>
        <w:tc>
          <w:tcPr>
            <w:tcW w:w="968" w:type="dxa"/>
            <w:shd w:val="clear" w:color="auto" w:fill="auto"/>
            <w:noWrap/>
            <w:tcMar>
              <w:right w:w="255" w:type="dxa"/>
            </w:tcMar>
            <w:vAlign w:val="center"/>
          </w:tcPr>
          <w:p w14:paraId="6ECE78A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86,000</w:t>
            </w:r>
          </w:p>
        </w:tc>
        <w:tc>
          <w:tcPr>
            <w:tcW w:w="968" w:type="dxa"/>
            <w:shd w:val="clear" w:color="auto" w:fill="auto"/>
            <w:noWrap/>
            <w:tcMar>
              <w:right w:w="255" w:type="dxa"/>
            </w:tcMar>
            <w:vAlign w:val="center"/>
          </w:tcPr>
          <w:p w14:paraId="01F713A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118,000</w:t>
            </w:r>
          </w:p>
        </w:tc>
      </w:tr>
      <w:tr w:rsidR="00023CF5" w:rsidRPr="00245A71" w14:paraId="577B984D" w14:textId="77777777" w:rsidTr="00023CF5">
        <w:trPr>
          <w:jc w:val="center"/>
        </w:trPr>
        <w:tc>
          <w:tcPr>
            <w:tcW w:w="967" w:type="dxa"/>
            <w:vAlign w:val="bottom"/>
          </w:tcPr>
          <w:p w14:paraId="39E243FC"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3856F62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2.17</w:t>
            </w:r>
          </w:p>
        </w:tc>
        <w:tc>
          <w:tcPr>
            <w:tcW w:w="968" w:type="dxa"/>
            <w:shd w:val="clear" w:color="auto" w:fill="auto"/>
            <w:noWrap/>
            <w:tcMar>
              <w:right w:w="255" w:type="dxa"/>
            </w:tcMar>
            <w:vAlign w:val="center"/>
          </w:tcPr>
          <w:p w14:paraId="7B2F488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52,000</w:t>
            </w:r>
          </w:p>
        </w:tc>
        <w:tc>
          <w:tcPr>
            <w:tcW w:w="968" w:type="dxa"/>
            <w:shd w:val="clear" w:color="auto" w:fill="auto"/>
            <w:noWrap/>
            <w:tcMar>
              <w:right w:w="255" w:type="dxa"/>
            </w:tcMar>
            <w:vAlign w:val="center"/>
          </w:tcPr>
          <w:p w14:paraId="5FFE72FB"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74,000</w:t>
            </w:r>
          </w:p>
        </w:tc>
        <w:tc>
          <w:tcPr>
            <w:tcW w:w="968" w:type="dxa"/>
            <w:shd w:val="clear" w:color="auto" w:fill="auto"/>
            <w:noWrap/>
            <w:tcMar>
              <w:right w:w="255" w:type="dxa"/>
            </w:tcMar>
            <w:vAlign w:val="center"/>
          </w:tcPr>
          <w:p w14:paraId="3F8DDE7A"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100,300</w:t>
            </w:r>
          </w:p>
        </w:tc>
        <w:tc>
          <w:tcPr>
            <w:tcW w:w="968" w:type="dxa"/>
            <w:shd w:val="clear" w:color="auto" w:fill="auto"/>
            <w:noWrap/>
            <w:tcMar>
              <w:right w:w="255" w:type="dxa"/>
            </w:tcMar>
            <w:vAlign w:val="center"/>
          </w:tcPr>
          <w:p w14:paraId="409CB940"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137,700</w:t>
            </w:r>
          </w:p>
        </w:tc>
      </w:tr>
      <w:tr w:rsidR="00023CF5" w:rsidRPr="00245A71" w14:paraId="76975C2E" w14:textId="77777777" w:rsidTr="00023CF5">
        <w:trPr>
          <w:jc w:val="center"/>
        </w:trPr>
        <w:tc>
          <w:tcPr>
            <w:tcW w:w="967" w:type="dxa"/>
            <w:vAlign w:val="bottom"/>
          </w:tcPr>
          <w:p w14:paraId="3B8EA9D3"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6B15D40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2.43</w:t>
            </w:r>
          </w:p>
        </w:tc>
        <w:tc>
          <w:tcPr>
            <w:tcW w:w="968" w:type="dxa"/>
            <w:shd w:val="clear" w:color="auto" w:fill="auto"/>
            <w:noWrap/>
            <w:tcMar>
              <w:right w:w="255" w:type="dxa"/>
            </w:tcMar>
            <w:vAlign w:val="center"/>
          </w:tcPr>
          <w:p w14:paraId="3F74CCBE"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58,300</w:t>
            </w:r>
          </w:p>
        </w:tc>
        <w:tc>
          <w:tcPr>
            <w:tcW w:w="968" w:type="dxa"/>
            <w:shd w:val="clear" w:color="auto" w:fill="auto"/>
            <w:noWrap/>
            <w:tcMar>
              <w:right w:w="255" w:type="dxa"/>
            </w:tcMar>
            <w:vAlign w:val="center"/>
          </w:tcPr>
          <w:p w14:paraId="7EDF5C94"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82,900</w:t>
            </w:r>
          </w:p>
        </w:tc>
        <w:tc>
          <w:tcPr>
            <w:tcW w:w="968" w:type="dxa"/>
            <w:shd w:val="clear" w:color="auto" w:fill="auto"/>
            <w:noWrap/>
            <w:tcMar>
              <w:right w:w="255" w:type="dxa"/>
            </w:tcMar>
            <w:vAlign w:val="center"/>
          </w:tcPr>
          <w:p w14:paraId="59EF8583"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112,300</w:t>
            </w:r>
          </w:p>
        </w:tc>
        <w:tc>
          <w:tcPr>
            <w:tcW w:w="968" w:type="dxa"/>
            <w:shd w:val="clear" w:color="auto" w:fill="auto"/>
            <w:noWrap/>
            <w:tcMar>
              <w:right w:w="255" w:type="dxa"/>
            </w:tcMar>
            <w:vAlign w:val="center"/>
          </w:tcPr>
          <w:p w14:paraId="54E1D438" w14:textId="77777777" w:rsidR="00023CF5"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154,100</w:t>
            </w:r>
          </w:p>
        </w:tc>
      </w:tr>
      <w:tr w:rsidR="00023CF5" w:rsidRPr="00245A71" w14:paraId="66F08339" w14:textId="77777777" w:rsidTr="00023CF5">
        <w:trPr>
          <w:jc w:val="center"/>
        </w:trPr>
        <w:tc>
          <w:tcPr>
            <w:tcW w:w="967" w:type="dxa"/>
            <w:vAlign w:val="bottom"/>
          </w:tcPr>
          <w:p w14:paraId="27B849DF"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63F6BEE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2.69</w:t>
            </w:r>
          </w:p>
        </w:tc>
        <w:tc>
          <w:tcPr>
            <w:tcW w:w="968" w:type="dxa"/>
            <w:shd w:val="clear" w:color="auto" w:fill="auto"/>
            <w:noWrap/>
            <w:tcMar>
              <w:right w:w="255" w:type="dxa"/>
            </w:tcMar>
            <w:vAlign w:val="center"/>
          </w:tcPr>
          <w:p w14:paraId="0C06D4C1"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64,500</w:t>
            </w:r>
          </w:p>
        </w:tc>
        <w:tc>
          <w:tcPr>
            <w:tcW w:w="968" w:type="dxa"/>
            <w:shd w:val="clear" w:color="auto" w:fill="auto"/>
            <w:noWrap/>
            <w:tcMar>
              <w:right w:w="255" w:type="dxa"/>
            </w:tcMar>
            <w:vAlign w:val="center"/>
          </w:tcPr>
          <w:p w14:paraId="7D1C96FF"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91,700</w:t>
            </w:r>
          </w:p>
        </w:tc>
        <w:tc>
          <w:tcPr>
            <w:tcW w:w="968" w:type="dxa"/>
            <w:shd w:val="clear" w:color="auto" w:fill="auto"/>
            <w:noWrap/>
            <w:tcMar>
              <w:right w:w="255" w:type="dxa"/>
            </w:tcMar>
            <w:vAlign w:val="center"/>
          </w:tcPr>
          <w:p w14:paraId="4CD9BF41"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124,300</w:t>
            </w:r>
          </w:p>
        </w:tc>
        <w:tc>
          <w:tcPr>
            <w:tcW w:w="968" w:type="dxa"/>
            <w:shd w:val="clear" w:color="auto" w:fill="auto"/>
            <w:noWrap/>
            <w:tcMar>
              <w:right w:w="255" w:type="dxa"/>
            </w:tcMar>
            <w:vAlign w:val="center"/>
          </w:tcPr>
          <w:p w14:paraId="588AFBF3"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170,600</w:t>
            </w:r>
          </w:p>
        </w:tc>
      </w:tr>
      <w:tr w:rsidR="00023CF5" w:rsidRPr="00245A71" w14:paraId="665A1B55" w14:textId="77777777" w:rsidTr="00023CF5">
        <w:trPr>
          <w:jc w:val="center"/>
        </w:trPr>
        <w:tc>
          <w:tcPr>
            <w:tcW w:w="967" w:type="dxa"/>
            <w:vAlign w:val="bottom"/>
          </w:tcPr>
          <w:p w14:paraId="33E71BC4"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442103E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1.98</w:t>
            </w:r>
          </w:p>
        </w:tc>
        <w:tc>
          <w:tcPr>
            <w:tcW w:w="968" w:type="dxa"/>
            <w:shd w:val="clear" w:color="auto" w:fill="auto"/>
            <w:noWrap/>
            <w:tcMar>
              <w:right w:w="255" w:type="dxa"/>
            </w:tcMar>
            <w:vAlign w:val="center"/>
          </w:tcPr>
          <w:p w14:paraId="41A046C8"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47,500</w:t>
            </w:r>
          </w:p>
        </w:tc>
        <w:tc>
          <w:tcPr>
            <w:tcW w:w="968" w:type="dxa"/>
            <w:shd w:val="clear" w:color="auto" w:fill="auto"/>
            <w:noWrap/>
            <w:tcMar>
              <w:right w:w="255" w:type="dxa"/>
            </w:tcMar>
            <w:vAlign w:val="center"/>
          </w:tcPr>
          <w:p w14:paraId="3CC83C86"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67,500</w:t>
            </w:r>
          </w:p>
        </w:tc>
        <w:tc>
          <w:tcPr>
            <w:tcW w:w="968" w:type="dxa"/>
            <w:shd w:val="clear" w:color="auto" w:fill="auto"/>
            <w:noWrap/>
            <w:tcMar>
              <w:right w:w="255" w:type="dxa"/>
            </w:tcMar>
            <w:vAlign w:val="center"/>
          </w:tcPr>
          <w:p w14:paraId="68C6C0A9"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91,500</w:t>
            </w:r>
          </w:p>
        </w:tc>
        <w:tc>
          <w:tcPr>
            <w:tcW w:w="968" w:type="dxa"/>
            <w:shd w:val="clear" w:color="auto" w:fill="auto"/>
            <w:noWrap/>
            <w:tcMar>
              <w:right w:w="255" w:type="dxa"/>
            </w:tcMar>
            <w:vAlign w:val="center"/>
          </w:tcPr>
          <w:p w14:paraId="2BDA0763" w14:textId="77777777" w:rsidR="00023CF5" w:rsidRPr="00B13677" w:rsidRDefault="00023CF5" w:rsidP="00023CF5">
            <w:pPr>
              <w:spacing w:before="30" w:after="30" w:line="240" w:lineRule="auto"/>
              <w:jc w:val="right"/>
              <w:rPr>
                <w:rFonts w:ascii="Arial" w:hAnsi="Arial"/>
                <w:color w:val="000000"/>
                <w:sz w:val="14"/>
                <w:szCs w:val="14"/>
              </w:rPr>
            </w:pPr>
            <w:r>
              <w:rPr>
                <w:rFonts w:ascii="Arial" w:hAnsi="Arial"/>
                <w:color w:val="000000"/>
                <w:sz w:val="14"/>
                <w:szCs w:val="14"/>
              </w:rPr>
              <w:t>125,600</w:t>
            </w:r>
          </w:p>
        </w:tc>
      </w:tr>
    </w:tbl>
    <w:p w14:paraId="29D778D4"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4A43148A"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0A77BC77"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r w:rsidRPr="00E222C2">
        <w:rPr>
          <w:rFonts w:ascii="Arial" w:eastAsia="Times New Roman" w:hAnsi="Arial" w:cs="Times New Roman"/>
          <w:b/>
          <w:bCs/>
          <w:color w:val="000000" w:themeColor="text1"/>
          <w:sz w:val="18"/>
          <w:szCs w:val="18"/>
        </w:rPr>
        <w:t xml:space="preserve">Table </w:t>
      </w:r>
      <w:r>
        <w:rPr>
          <w:rFonts w:ascii="Arial" w:eastAsia="Times New Roman" w:hAnsi="Arial" w:cs="Times New Roman"/>
          <w:b/>
          <w:bCs/>
          <w:color w:val="000000" w:themeColor="text1"/>
          <w:sz w:val="18"/>
          <w:szCs w:val="18"/>
        </w:rPr>
        <w:t>6.3</w:t>
      </w:r>
    </w:p>
    <w:p w14:paraId="2E85DBE7" w14:textId="77777777" w:rsidR="00023CF5" w:rsidRDefault="00023CF5" w:rsidP="00023CF5">
      <w:pPr>
        <w:spacing w:line="240" w:lineRule="auto"/>
        <w:jc w:val="center"/>
        <w:rPr>
          <w:rFonts w:ascii="Arial" w:eastAsia="Times New Roman" w:hAnsi="Arial" w:cs="Times New Roman"/>
          <w:b/>
          <w:bCs/>
          <w:color w:val="000000" w:themeColor="text1"/>
          <w:sz w:val="18"/>
          <w:szCs w:val="18"/>
        </w:rPr>
      </w:pPr>
      <w:r>
        <w:rPr>
          <w:rFonts w:ascii="Arial" w:eastAsia="Times New Roman" w:hAnsi="Arial" w:cs="Times New Roman"/>
          <w:b/>
          <w:bCs/>
          <w:color w:val="000000" w:themeColor="text1"/>
          <w:sz w:val="18"/>
          <w:szCs w:val="18"/>
        </w:rPr>
        <w:t>Population BHC quintile boundaries by household type</w:t>
      </w:r>
      <w:r w:rsidRPr="00E222C2">
        <w:rPr>
          <w:rFonts w:ascii="Arial" w:eastAsia="Times New Roman" w:hAnsi="Arial" w:cs="Times New Roman"/>
          <w:b/>
          <w:bCs/>
          <w:color w:val="000000" w:themeColor="text1"/>
          <w:sz w:val="18"/>
          <w:szCs w:val="18"/>
        </w:rPr>
        <w:t xml:space="preserve">, </w:t>
      </w:r>
      <w:proofErr w:type="spellStart"/>
      <w:r>
        <w:rPr>
          <w:rFonts w:ascii="Arial" w:eastAsia="Times New Roman" w:hAnsi="Arial" w:cs="Times New Roman"/>
          <w:b/>
          <w:bCs/>
          <w:color w:val="000000" w:themeColor="text1"/>
          <w:sz w:val="18"/>
          <w:szCs w:val="18"/>
        </w:rPr>
        <w:t>mOECD</w:t>
      </w:r>
      <w:proofErr w:type="spellEnd"/>
      <w:r>
        <w:rPr>
          <w:rFonts w:ascii="Arial" w:eastAsia="Times New Roman" w:hAnsi="Arial" w:cs="Times New Roman"/>
          <w:b/>
          <w:bCs/>
          <w:color w:val="000000" w:themeColor="text1"/>
          <w:sz w:val="18"/>
          <w:szCs w:val="18"/>
        </w:rPr>
        <w:t xml:space="preserve">, </w:t>
      </w:r>
      <w:r w:rsidRPr="00E222C2">
        <w:rPr>
          <w:rFonts w:ascii="Arial" w:eastAsia="Times New Roman" w:hAnsi="Arial" w:cs="Times New Roman"/>
          <w:b/>
          <w:bCs/>
          <w:color w:val="000000" w:themeColor="text1"/>
          <w:sz w:val="18"/>
          <w:szCs w:val="18"/>
        </w:rPr>
        <w:t>HES 201</w:t>
      </w:r>
      <w:r>
        <w:rPr>
          <w:rFonts w:ascii="Arial" w:eastAsia="Times New Roman" w:hAnsi="Arial" w:cs="Times New Roman"/>
          <w:b/>
          <w:bCs/>
          <w:color w:val="000000" w:themeColor="text1"/>
          <w:sz w:val="18"/>
          <w:szCs w:val="18"/>
        </w:rPr>
        <w:t>8</w:t>
      </w:r>
      <w:r w:rsidRPr="00E222C2">
        <w:rPr>
          <w:rFonts w:ascii="Arial" w:eastAsia="Times New Roman" w:hAnsi="Arial" w:cs="Times New Roman"/>
          <w:b/>
          <w:bCs/>
          <w:color w:val="000000" w:themeColor="text1"/>
          <w:sz w:val="18"/>
          <w:szCs w:val="18"/>
        </w:rPr>
        <w:t>-1</w:t>
      </w:r>
      <w:r>
        <w:rPr>
          <w:rFonts w:ascii="Arial" w:eastAsia="Times New Roman" w:hAnsi="Arial" w:cs="Times New Roman"/>
          <w:b/>
          <w:bCs/>
          <w:color w:val="000000" w:themeColor="text1"/>
          <w:sz w:val="18"/>
          <w:szCs w:val="18"/>
        </w:rPr>
        <w:t>9</w:t>
      </w:r>
    </w:p>
    <w:tbl>
      <w:tblPr>
        <w:tblStyle w:val="TableGrid"/>
        <w:tblW w:w="0" w:type="auto"/>
        <w:jc w:val="center"/>
        <w:tblLayout w:type="fixed"/>
        <w:tblLook w:val="04A0" w:firstRow="1" w:lastRow="0" w:firstColumn="1" w:lastColumn="0" w:noHBand="0" w:noVBand="1"/>
      </w:tblPr>
      <w:tblGrid>
        <w:gridCol w:w="967"/>
        <w:gridCol w:w="968"/>
        <w:gridCol w:w="968"/>
        <w:gridCol w:w="968"/>
        <w:gridCol w:w="968"/>
        <w:gridCol w:w="968"/>
      </w:tblGrid>
      <w:tr w:rsidR="00023CF5" w:rsidRPr="00245A71" w14:paraId="74EF53DE" w14:textId="77777777" w:rsidTr="00023CF5">
        <w:trPr>
          <w:jc w:val="center"/>
        </w:trPr>
        <w:tc>
          <w:tcPr>
            <w:tcW w:w="967" w:type="dxa"/>
            <w:vAlign w:val="bottom"/>
          </w:tcPr>
          <w:p w14:paraId="6051E902" w14:textId="77777777" w:rsidR="00023CF5" w:rsidRPr="00B13677" w:rsidRDefault="00023CF5" w:rsidP="00023CF5">
            <w:pPr>
              <w:spacing w:before="30" w:after="30" w:line="240" w:lineRule="auto"/>
              <w:jc w:val="center"/>
              <w:rPr>
                <w:rFonts w:ascii="Arial" w:eastAsia="Times New Roman" w:hAnsi="Arial"/>
                <w:b/>
                <w:bCs/>
                <w:sz w:val="14"/>
                <w:szCs w:val="14"/>
              </w:rPr>
            </w:pPr>
            <w:r>
              <w:rPr>
                <w:rFonts w:ascii="Arial" w:eastAsia="Times New Roman" w:hAnsi="Arial"/>
                <w:b/>
                <w:bCs/>
                <w:sz w:val="14"/>
                <w:szCs w:val="14"/>
              </w:rPr>
              <w:t>HH type</w:t>
            </w:r>
          </w:p>
        </w:tc>
        <w:tc>
          <w:tcPr>
            <w:tcW w:w="968" w:type="dxa"/>
            <w:vAlign w:val="bottom"/>
          </w:tcPr>
          <w:p w14:paraId="4164E57E" w14:textId="77777777" w:rsidR="00023CF5" w:rsidRPr="00245A71" w:rsidRDefault="00023CF5" w:rsidP="00023CF5">
            <w:pPr>
              <w:spacing w:before="30" w:after="30" w:line="240" w:lineRule="auto"/>
              <w:jc w:val="center"/>
              <w:rPr>
                <w:rFonts w:ascii="Arial" w:eastAsia="Times New Roman" w:hAnsi="Arial"/>
                <w:b/>
                <w:bCs/>
                <w:sz w:val="14"/>
                <w:szCs w:val="14"/>
              </w:rPr>
            </w:pPr>
            <w:proofErr w:type="spellStart"/>
            <w:r w:rsidRPr="00B13677">
              <w:rPr>
                <w:rFonts w:ascii="Arial" w:eastAsia="Times New Roman" w:hAnsi="Arial"/>
                <w:b/>
                <w:bCs/>
                <w:sz w:val="14"/>
                <w:szCs w:val="14"/>
              </w:rPr>
              <w:t>equiv</w:t>
            </w:r>
            <w:proofErr w:type="spellEnd"/>
          </w:p>
        </w:tc>
        <w:tc>
          <w:tcPr>
            <w:tcW w:w="968" w:type="dxa"/>
            <w:vAlign w:val="center"/>
          </w:tcPr>
          <w:p w14:paraId="56C4DE9A"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Q1</w:t>
            </w:r>
          </w:p>
        </w:tc>
        <w:tc>
          <w:tcPr>
            <w:tcW w:w="968" w:type="dxa"/>
            <w:vAlign w:val="center"/>
          </w:tcPr>
          <w:p w14:paraId="599C8CE4"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Q2</w:t>
            </w:r>
          </w:p>
        </w:tc>
        <w:tc>
          <w:tcPr>
            <w:tcW w:w="968" w:type="dxa"/>
            <w:vAlign w:val="center"/>
          </w:tcPr>
          <w:p w14:paraId="65D5E396"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Q3</w:t>
            </w:r>
          </w:p>
        </w:tc>
        <w:tc>
          <w:tcPr>
            <w:tcW w:w="968" w:type="dxa"/>
            <w:vAlign w:val="center"/>
          </w:tcPr>
          <w:p w14:paraId="5988ECBF" w14:textId="77777777" w:rsidR="00023CF5" w:rsidRPr="00245A71" w:rsidRDefault="00023CF5" w:rsidP="00023CF5">
            <w:pPr>
              <w:spacing w:before="30" w:after="30" w:line="240" w:lineRule="auto"/>
              <w:jc w:val="center"/>
              <w:rPr>
                <w:rFonts w:ascii="Arial" w:eastAsia="Times New Roman" w:hAnsi="Arial"/>
                <w:b/>
                <w:bCs/>
                <w:sz w:val="14"/>
                <w:szCs w:val="14"/>
              </w:rPr>
            </w:pPr>
            <w:r w:rsidRPr="00245A71">
              <w:rPr>
                <w:rFonts w:ascii="Arial" w:eastAsia="Times New Roman" w:hAnsi="Arial"/>
                <w:b/>
                <w:bCs/>
                <w:sz w:val="14"/>
                <w:szCs w:val="14"/>
              </w:rPr>
              <w:t>Q4</w:t>
            </w:r>
          </w:p>
        </w:tc>
      </w:tr>
      <w:tr w:rsidR="00023CF5" w:rsidRPr="00245A71" w14:paraId="5E6DF99E" w14:textId="77777777" w:rsidTr="00023CF5">
        <w:trPr>
          <w:jc w:val="center"/>
        </w:trPr>
        <w:tc>
          <w:tcPr>
            <w:tcW w:w="967" w:type="dxa"/>
            <w:vAlign w:val="bottom"/>
          </w:tcPr>
          <w:p w14:paraId="1C716EDA"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(1,0)</w:t>
            </w:r>
          </w:p>
        </w:tc>
        <w:tc>
          <w:tcPr>
            <w:tcW w:w="968" w:type="dxa"/>
            <w:vAlign w:val="center"/>
          </w:tcPr>
          <w:p w14:paraId="46B656C5"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1.00</w:t>
            </w:r>
          </w:p>
        </w:tc>
        <w:tc>
          <w:tcPr>
            <w:tcW w:w="968" w:type="dxa"/>
            <w:shd w:val="clear" w:color="auto" w:fill="auto"/>
            <w:noWrap/>
            <w:tcMar>
              <w:right w:w="255" w:type="dxa"/>
            </w:tcMar>
            <w:vAlign w:val="center"/>
          </w:tcPr>
          <w:p w14:paraId="5C2B9889"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24,200</w:t>
            </w:r>
          </w:p>
        </w:tc>
        <w:tc>
          <w:tcPr>
            <w:tcW w:w="968" w:type="dxa"/>
            <w:shd w:val="clear" w:color="auto" w:fill="auto"/>
            <w:noWrap/>
            <w:tcMar>
              <w:right w:w="255" w:type="dxa"/>
            </w:tcMar>
            <w:vAlign w:val="center"/>
          </w:tcPr>
          <w:p w14:paraId="0F8798DD"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35,000</w:t>
            </w:r>
          </w:p>
        </w:tc>
        <w:tc>
          <w:tcPr>
            <w:tcW w:w="968" w:type="dxa"/>
            <w:shd w:val="clear" w:color="auto" w:fill="auto"/>
            <w:noWrap/>
            <w:tcMar>
              <w:right w:w="255" w:type="dxa"/>
            </w:tcMar>
            <w:vAlign w:val="center"/>
          </w:tcPr>
          <w:p w14:paraId="600008A3"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46,600</w:t>
            </w:r>
          </w:p>
        </w:tc>
        <w:tc>
          <w:tcPr>
            <w:tcW w:w="968" w:type="dxa"/>
            <w:shd w:val="clear" w:color="auto" w:fill="auto"/>
            <w:noWrap/>
            <w:tcMar>
              <w:right w:w="255" w:type="dxa"/>
            </w:tcMar>
            <w:vAlign w:val="center"/>
          </w:tcPr>
          <w:p w14:paraId="7C583173"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63,400</w:t>
            </w:r>
          </w:p>
        </w:tc>
      </w:tr>
      <w:tr w:rsidR="00023CF5" w:rsidRPr="00245A71" w14:paraId="497F8151" w14:textId="77777777" w:rsidTr="00023CF5">
        <w:trPr>
          <w:jc w:val="center"/>
        </w:trPr>
        <w:tc>
          <w:tcPr>
            <w:tcW w:w="967" w:type="dxa"/>
            <w:vAlign w:val="bottom"/>
          </w:tcPr>
          <w:p w14:paraId="3C0E1185"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(1,1)</w:t>
            </w:r>
          </w:p>
        </w:tc>
        <w:tc>
          <w:tcPr>
            <w:tcW w:w="968" w:type="dxa"/>
            <w:vAlign w:val="center"/>
          </w:tcPr>
          <w:p w14:paraId="02C2DD1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1.40</w:t>
            </w:r>
          </w:p>
        </w:tc>
        <w:tc>
          <w:tcPr>
            <w:tcW w:w="968" w:type="dxa"/>
            <w:shd w:val="clear" w:color="auto" w:fill="auto"/>
            <w:noWrap/>
            <w:tcMar>
              <w:right w:w="255" w:type="dxa"/>
            </w:tcMar>
            <w:vAlign w:val="center"/>
          </w:tcPr>
          <w:p w14:paraId="08A91AB8"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33,900</w:t>
            </w:r>
          </w:p>
        </w:tc>
        <w:tc>
          <w:tcPr>
            <w:tcW w:w="968" w:type="dxa"/>
            <w:shd w:val="clear" w:color="auto" w:fill="auto"/>
            <w:noWrap/>
            <w:tcMar>
              <w:right w:w="255" w:type="dxa"/>
            </w:tcMar>
            <w:vAlign w:val="center"/>
          </w:tcPr>
          <w:p w14:paraId="5A72CA6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49,000</w:t>
            </w:r>
          </w:p>
        </w:tc>
        <w:tc>
          <w:tcPr>
            <w:tcW w:w="968" w:type="dxa"/>
            <w:shd w:val="clear" w:color="auto" w:fill="auto"/>
            <w:noWrap/>
            <w:tcMar>
              <w:right w:w="255" w:type="dxa"/>
            </w:tcMar>
            <w:vAlign w:val="center"/>
          </w:tcPr>
          <w:p w14:paraId="00CACB4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65,300</w:t>
            </w:r>
          </w:p>
        </w:tc>
        <w:tc>
          <w:tcPr>
            <w:tcW w:w="968" w:type="dxa"/>
            <w:shd w:val="clear" w:color="auto" w:fill="auto"/>
            <w:noWrap/>
            <w:tcMar>
              <w:right w:w="255" w:type="dxa"/>
            </w:tcMar>
            <w:vAlign w:val="center"/>
          </w:tcPr>
          <w:p w14:paraId="7EE59B30"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88,700</w:t>
            </w:r>
          </w:p>
        </w:tc>
      </w:tr>
      <w:tr w:rsidR="00023CF5" w:rsidRPr="00245A71" w14:paraId="7E23E2D2" w14:textId="77777777" w:rsidTr="00023CF5">
        <w:trPr>
          <w:jc w:val="center"/>
        </w:trPr>
        <w:tc>
          <w:tcPr>
            <w:tcW w:w="967" w:type="dxa"/>
            <w:vAlign w:val="bottom"/>
          </w:tcPr>
          <w:p w14:paraId="3B90CFA0"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(1,2)</w:t>
            </w:r>
          </w:p>
        </w:tc>
        <w:tc>
          <w:tcPr>
            <w:tcW w:w="968" w:type="dxa"/>
            <w:vAlign w:val="center"/>
          </w:tcPr>
          <w:p w14:paraId="3D7A06B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1.75</w:t>
            </w:r>
          </w:p>
        </w:tc>
        <w:tc>
          <w:tcPr>
            <w:tcW w:w="968" w:type="dxa"/>
            <w:shd w:val="clear" w:color="auto" w:fill="auto"/>
            <w:noWrap/>
            <w:tcMar>
              <w:right w:w="255" w:type="dxa"/>
            </w:tcMar>
            <w:vAlign w:val="center"/>
          </w:tcPr>
          <w:p w14:paraId="0D6163C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42,300</w:t>
            </w:r>
          </w:p>
        </w:tc>
        <w:tc>
          <w:tcPr>
            <w:tcW w:w="968" w:type="dxa"/>
            <w:shd w:val="clear" w:color="auto" w:fill="auto"/>
            <w:noWrap/>
            <w:tcMar>
              <w:right w:w="255" w:type="dxa"/>
            </w:tcMar>
            <w:vAlign w:val="center"/>
          </w:tcPr>
          <w:p w14:paraId="6C3E222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61,200</w:t>
            </w:r>
          </w:p>
        </w:tc>
        <w:tc>
          <w:tcPr>
            <w:tcW w:w="968" w:type="dxa"/>
            <w:shd w:val="clear" w:color="auto" w:fill="auto"/>
            <w:noWrap/>
            <w:tcMar>
              <w:right w:w="255" w:type="dxa"/>
            </w:tcMar>
            <w:vAlign w:val="center"/>
          </w:tcPr>
          <w:p w14:paraId="26B065D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81,600</w:t>
            </w:r>
          </w:p>
        </w:tc>
        <w:tc>
          <w:tcPr>
            <w:tcW w:w="968" w:type="dxa"/>
            <w:shd w:val="clear" w:color="auto" w:fill="auto"/>
            <w:noWrap/>
            <w:tcMar>
              <w:right w:w="255" w:type="dxa"/>
            </w:tcMar>
            <w:vAlign w:val="center"/>
          </w:tcPr>
          <w:p w14:paraId="583ED95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110,900</w:t>
            </w:r>
          </w:p>
        </w:tc>
      </w:tr>
      <w:tr w:rsidR="00023CF5" w:rsidRPr="00245A71" w14:paraId="5BB1F3E5" w14:textId="77777777" w:rsidTr="00023CF5">
        <w:trPr>
          <w:jc w:val="center"/>
        </w:trPr>
        <w:tc>
          <w:tcPr>
            <w:tcW w:w="967" w:type="dxa"/>
            <w:vAlign w:val="bottom"/>
          </w:tcPr>
          <w:p w14:paraId="41C18FCB"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(1,3)</w:t>
            </w:r>
          </w:p>
        </w:tc>
        <w:tc>
          <w:tcPr>
            <w:tcW w:w="968" w:type="dxa"/>
            <w:vAlign w:val="center"/>
          </w:tcPr>
          <w:p w14:paraId="39B6422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2.06</w:t>
            </w:r>
          </w:p>
        </w:tc>
        <w:tc>
          <w:tcPr>
            <w:tcW w:w="968" w:type="dxa"/>
            <w:shd w:val="clear" w:color="auto" w:fill="auto"/>
            <w:noWrap/>
            <w:tcMar>
              <w:right w:w="255" w:type="dxa"/>
            </w:tcMar>
            <w:vAlign w:val="center"/>
          </w:tcPr>
          <w:p w14:paraId="2015939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49,800</w:t>
            </w:r>
          </w:p>
        </w:tc>
        <w:tc>
          <w:tcPr>
            <w:tcW w:w="968" w:type="dxa"/>
            <w:shd w:val="clear" w:color="auto" w:fill="auto"/>
            <w:noWrap/>
            <w:tcMar>
              <w:right w:w="255" w:type="dxa"/>
            </w:tcMar>
            <w:vAlign w:val="center"/>
          </w:tcPr>
          <w:p w14:paraId="76CCAAA6"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72,000</w:t>
            </w:r>
          </w:p>
        </w:tc>
        <w:tc>
          <w:tcPr>
            <w:tcW w:w="968" w:type="dxa"/>
            <w:shd w:val="clear" w:color="auto" w:fill="auto"/>
            <w:noWrap/>
            <w:tcMar>
              <w:right w:w="255" w:type="dxa"/>
            </w:tcMar>
            <w:vAlign w:val="center"/>
          </w:tcPr>
          <w:p w14:paraId="24BBA07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96,000</w:t>
            </w:r>
          </w:p>
        </w:tc>
        <w:tc>
          <w:tcPr>
            <w:tcW w:w="968" w:type="dxa"/>
            <w:shd w:val="clear" w:color="auto" w:fill="auto"/>
            <w:noWrap/>
            <w:tcMar>
              <w:right w:w="255" w:type="dxa"/>
            </w:tcMar>
            <w:vAlign w:val="center"/>
          </w:tcPr>
          <w:p w14:paraId="4D088A64"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130,500</w:t>
            </w:r>
          </w:p>
        </w:tc>
      </w:tr>
      <w:tr w:rsidR="00023CF5" w:rsidRPr="00245A71" w14:paraId="69AE213F" w14:textId="77777777" w:rsidTr="00023CF5">
        <w:trPr>
          <w:jc w:val="center"/>
        </w:trPr>
        <w:tc>
          <w:tcPr>
            <w:tcW w:w="967" w:type="dxa"/>
            <w:vAlign w:val="bottom"/>
          </w:tcPr>
          <w:p w14:paraId="54E682AA"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(2,0)</w:t>
            </w:r>
          </w:p>
        </w:tc>
        <w:tc>
          <w:tcPr>
            <w:tcW w:w="968" w:type="dxa"/>
            <w:vAlign w:val="center"/>
          </w:tcPr>
          <w:p w14:paraId="2A2F91D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1.54</w:t>
            </w:r>
          </w:p>
        </w:tc>
        <w:tc>
          <w:tcPr>
            <w:tcW w:w="968" w:type="dxa"/>
            <w:shd w:val="clear" w:color="auto" w:fill="auto"/>
            <w:noWrap/>
            <w:tcMar>
              <w:right w:w="255" w:type="dxa"/>
            </w:tcMar>
            <w:vAlign w:val="center"/>
          </w:tcPr>
          <w:p w14:paraId="7DFBD0E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37,200</w:t>
            </w:r>
          </w:p>
        </w:tc>
        <w:tc>
          <w:tcPr>
            <w:tcW w:w="968" w:type="dxa"/>
            <w:shd w:val="clear" w:color="auto" w:fill="auto"/>
            <w:noWrap/>
            <w:tcMar>
              <w:right w:w="255" w:type="dxa"/>
            </w:tcMar>
            <w:vAlign w:val="center"/>
          </w:tcPr>
          <w:p w14:paraId="408942C5"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53,900</w:t>
            </w:r>
          </w:p>
        </w:tc>
        <w:tc>
          <w:tcPr>
            <w:tcW w:w="968" w:type="dxa"/>
            <w:shd w:val="clear" w:color="auto" w:fill="auto"/>
            <w:noWrap/>
            <w:tcMar>
              <w:right w:w="255" w:type="dxa"/>
            </w:tcMar>
            <w:vAlign w:val="center"/>
          </w:tcPr>
          <w:p w14:paraId="6CD3634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71,800</w:t>
            </w:r>
          </w:p>
        </w:tc>
        <w:tc>
          <w:tcPr>
            <w:tcW w:w="968" w:type="dxa"/>
            <w:shd w:val="clear" w:color="auto" w:fill="auto"/>
            <w:noWrap/>
            <w:tcMar>
              <w:right w:w="255" w:type="dxa"/>
            </w:tcMar>
            <w:vAlign w:val="center"/>
          </w:tcPr>
          <w:p w14:paraId="04952B63"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97,600</w:t>
            </w:r>
          </w:p>
        </w:tc>
      </w:tr>
      <w:tr w:rsidR="00023CF5" w:rsidRPr="00245A71" w14:paraId="6F53850E" w14:textId="77777777" w:rsidTr="00023CF5">
        <w:trPr>
          <w:jc w:val="center"/>
        </w:trPr>
        <w:tc>
          <w:tcPr>
            <w:tcW w:w="967" w:type="dxa"/>
            <w:vAlign w:val="bottom"/>
          </w:tcPr>
          <w:p w14:paraId="583E5523"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(2,1)</w:t>
            </w:r>
          </w:p>
        </w:tc>
        <w:tc>
          <w:tcPr>
            <w:tcW w:w="968" w:type="dxa"/>
            <w:vAlign w:val="center"/>
          </w:tcPr>
          <w:p w14:paraId="6A550517"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1.86</w:t>
            </w:r>
          </w:p>
        </w:tc>
        <w:tc>
          <w:tcPr>
            <w:tcW w:w="968" w:type="dxa"/>
            <w:shd w:val="clear" w:color="auto" w:fill="auto"/>
            <w:noWrap/>
            <w:tcMar>
              <w:right w:w="255" w:type="dxa"/>
            </w:tcMar>
            <w:vAlign w:val="center"/>
          </w:tcPr>
          <w:p w14:paraId="5AB13A57"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45,000</w:t>
            </w:r>
          </w:p>
        </w:tc>
        <w:tc>
          <w:tcPr>
            <w:tcW w:w="968" w:type="dxa"/>
            <w:shd w:val="clear" w:color="auto" w:fill="auto"/>
            <w:noWrap/>
            <w:tcMar>
              <w:right w:w="255" w:type="dxa"/>
            </w:tcMar>
            <w:vAlign w:val="center"/>
          </w:tcPr>
          <w:p w14:paraId="5C180687"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65,100</w:t>
            </w:r>
          </w:p>
        </w:tc>
        <w:tc>
          <w:tcPr>
            <w:tcW w:w="968" w:type="dxa"/>
            <w:shd w:val="clear" w:color="auto" w:fill="auto"/>
            <w:noWrap/>
            <w:tcMar>
              <w:right w:w="255" w:type="dxa"/>
            </w:tcMar>
            <w:vAlign w:val="center"/>
          </w:tcPr>
          <w:p w14:paraId="20BF4A9A"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86,700</w:t>
            </w:r>
          </w:p>
        </w:tc>
        <w:tc>
          <w:tcPr>
            <w:tcW w:w="968" w:type="dxa"/>
            <w:shd w:val="clear" w:color="auto" w:fill="auto"/>
            <w:noWrap/>
            <w:tcMar>
              <w:right w:w="255" w:type="dxa"/>
            </w:tcMar>
            <w:vAlign w:val="center"/>
          </w:tcPr>
          <w:p w14:paraId="659DBC73"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117,900</w:t>
            </w:r>
          </w:p>
        </w:tc>
      </w:tr>
      <w:tr w:rsidR="00023CF5" w:rsidRPr="00245A71" w14:paraId="5630DC79" w14:textId="77777777" w:rsidTr="00023CF5">
        <w:trPr>
          <w:jc w:val="center"/>
        </w:trPr>
        <w:tc>
          <w:tcPr>
            <w:tcW w:w="967" w:type="dxa"/>
            <w:vAlign w:val="bottom"/>
          </w:tcPr>
          <w:p w14:paraId="72245EE5"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(2,2)</w:t>
            </w:r>
          </w:p>
        </w:tc>
        <w:tc>
          <w:tcPr>
            <w:tcW w:w="968" w:type="dxa"/>
            <w:vAlign w:val="center"/>
          </w:tcPr>
          <w:p w14:paraId="78597E4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2.17</w:t>
            </w:r>
          </w:p>
        </w:tc>
        <w:tc>
          <w:tcPr>
            <w:tcW w:w="968" w:type="dxa"/>
            <w:shd w:val="clear" w:color="auto" w:fill="auto"/>
            <w:noWrap/>
            <w:tcMar>
              <w:right w:w="255" w:type="dxa"/>
            </w:tcMar>
            <w:vAlign w:val="center"/>
          </w:tcPr>
          <w:p w14:paraId="1C4EA38B"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52,500</w:t>
            </w:r>
          </w:p>
        </w:tc>
        <w:tc>
          <w:tcPr>
            <w:tcW w:w="968" w:type="dxa"/>
            <w:shd w:val="clear" w:color="auto" w:fill="auto"/>
            <w:noWrap/>
            <w:tcMar>
              <w:right w:w="255" w:type="dxa"/>
            </w:tcMar>
            <w:vAlign w:val="center"/>
          </w:tcPr>
          <w:p w14:paraId="0FE4CA11"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75,900</w:t>
            </w:r>
          </w:p>
        </w:tc>
        <w:tc>
          <w:tcPr>
            <w:tcW w:w="968" w:type="dxa"/>
            <w:shd w:val="clear" w:color="auto" w:fill="auto"/>
            <w:noWrap/>
            <w:tcMar>
              <w:right w:w="255" w:type="dxa"/>
            </w:tcMar>
            <w:vAlign w:val="center"/>
          </w:tcPr>
          <w:p w14:paraId="572894F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101,200</w:t>
            </w:r>
          </w:p>
        </w:tc>
        <w:tc>
          <w:tcPr>
            <w:tcW w:w="968" w:type="dxa"/>
            <w:shd w:val="clear" w:color="auto" w:fill="auto"/>
            <w:noWrap/>
            <w:tcMar>
              <w:right w:w="255" w:type="dxa"/>
            </w:tcMar>
            <w:vAlign w:val="center"/>
          </w:tcPr>
          <w:p w14:paraId="4AE88B32"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137,500</w:t>
            </w:r>
          </w:p>
        </w:tc>
      </w:tr>
      <w:tr w:rsidR="00023CF5" w:rsidRPr="00245A71" w14:paraId="128FCA95" w14:textId="77777777" w:rsidTr="00023CF5">
        <w:trPr>
          <w:jc w:val="center"/>
        </w:trPr>
        <w:tc>
          <w:tcPr>
            <w:tcW w:w="967" w:type="dxa"/>
            <w:vAlign w:val="bottom"/>
          </w:tcPr>
          <w:p w14:paraId="2B86E999" w14:textId="77777777" w:rsidR="00023CF5"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(2,3)</w:t>
            </w:r>
          </w:p>
        </w:tc>
        <w:tc>
          <w:tcPr>
            <w:tcW w:w="968" w:type="dxa"/>
            <w:vAlign w:val="center"/>
          </w:tcPr>
          <w:p w14:paraId="71BC4BAD"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2.43</w:t>
            </w:r>
          </w:p>
        </w:tc>
        <w:tc>
          <w:tcPr>
            <w:tcW w:w="968" w:type="dxa"/>
            <w:shd w:val="clear" w:color="auto" w:fill="auto"/>
            <w:noWrap/>
            <w:tcMar>
              <w:right w:w="255" w:type="dxa"/>
            </w:tcMar>
            <w:vAlign w:val="center"/>
          </w:tcPr>
          <w:p w14:paraId="5FB0156C"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58,800</w:t>
            </w:r>
          </w:p>
        </w:tc>
        <w:tc>
          <w:tcPr>
            <w:tcW w:w="968" w:type="dxa"/>
            <w:shd w:val="clear" w:color="auto" w:fill="auto"/>
            <w:noWrap/>
            <w:tcMar>
              <w:right w:w="255" w:type="dxa"/>
            </w:tcMar>
            <w:vAlign w:val="center"/>
          </w:tcPr>
          <w:p w14:paraId="0132A788"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85,000</w:t>
            </w:r>
          </w:p>
        </w:tc>
        <w:tc>
          <w:tcPr>
            <w:tcW w:w="968" w:type="dxa"/>
            <w:shd w:val="clear" w:color="auto" w:fill="auto"/>
            <w:noWrap/>
            <w:tcMar>
              <w:right w:w="255" w:type="dxa"/>
            </w:tcMar>
            <w:vAlign w:val="center"/>
          </w:tcPr>
          <w:p w14:paraId="0F51B0F9"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113,300</w:t>
            </w:r>
          </w:p>
        </w:tc>
        <w:tc>
          <w:tcPr>
            <w:tcW w:w="968" w:type="dxa"/>
            <w:shd w:val="clear" w:color="auto" w:fill="auto"/>
            <w:noWrap/>
            <w:tcMar>
              <w:right w:w="255" w:type="dxa"/>
            </w:tcMar>
            <w:vAlign w:val="center"/>
          </w:tcPr>
          <w:p w14:paraId="4BFF0C83"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154,000</w:t>
            </w:r>
          </w:p>
        </w:tc>
      </w:tr>
      <w:tr w:rsidR="00023CF5" w:rsidRPr="00245A71" w14:paraId="51AD130A" w14:textId="77777777" w:rsidTr="00023CF5">
        <w:trPr>
          <w:jc w:val="center"/>
        </w:trPr>
        <w:tc>
          <w:tcPr>
            <w:tcW w:w="967" w:type="dxa"/>
            <w:vAlign w:val="bottom"/>
          </w:tcPr>
          <w:p w14:paraId="315B6EC7"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(2,4)</w:t>
            </w:r>
          </w:p>
        </w:tc>
        <w:tc>
          <w:tcPr>
            <w:tcW w:w="968" w:type="dxa"/>
            <w:vAlign w:val="center"/>
          </w:tcPr>
          <w:p w14:paraId="1BB5880F"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2.69</w:t>
            </w:r>
          </w:p>
        </w:tc>
        <w:tc>
          <w:tcPr>
            <w:tcW w:w="968" w:type="dxa"/>
            <w:shd w:val="clear" w:color="auto" w:fill="auto"/>
            <w:noWrap/>
            <w:tcMar>
              <w:right w:w="255" w:type="dxa"/>
            </w:tcMar>
            <w:vAlign w:val="center"/>
          </w:tcPr>
          <w:p w14:paraId="1E317108"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65,000</w:t>
            </w:r>
          </w:p>
        </w:tc>
        <w:tc>
          <w:tcPr>
            <w:tcW w:w="968" w:type="dxa"/>
            <w:shd w:val="clear" w:color="auto" w:fill="auto"/>
            <w:noWrap/>
            <w:tcMar>
              <w:right w:w="255" w:type="dxa"/>
            </w:tcMar>
            <w:vAlign w:val="center"/>
          </w:tcPr>
          <w:p w14:paraId="69CA019E"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94,100</w:t>
            </w:r>
          </w:p>
        </w:tc>
        <w:tc>
          <w:tcPr>
            <w:tcW w:w="968" w:type="dxa"/>
            <w:shd w:val="clear" w:color="auto" w:fill="auto"/>
            <w:noWrap/>
            <w:tcMar>
              <w:right w:w="255" w:type="dxa"/>
            </w:tcMar>
            <w:vAlign w:val="center"/>
          </w:tcPr>
          <w:p w14:paraId="05ACEFB5"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125,400</w:t>
            </w:r>
          </w:p>
        </w:tc>
        <w:tc>
          <w:tcPr>
            <w:tcW w:w="968" w:type="dxa"/>
            <w:shd w:val="clear" w:color="auto" w:fill="auto"/>
            <w:noWrap/>
            <w:tcMar>
              <w:right w:w="255" w:type="dxa"/>
            </w:tcMar>
            <w:vAlign w:val="center"/>
          </w:tcPr>
          <w:p w14:paraId="5674960B"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170,500</w:t>
            </w:r>
          </w:p>
        </w:tc>
      </w:tr>
      <w:tr w:rsidR="00023CF5" w:rsidRPr="00245A71" w14:paraId="7759E6EC" w14:textId="77777777" w:rsidTr="00023CF5">
        <w:trPr>
          <w:jc w:val="center"/>
        </w:trPr>
        <w:tc>
          <w:tcPr>
            <w:tcW w:w="967" w:type="dxa"/>
            <w:vAlign w:val="bottom"/>
          </w:tcPr>
          <w:p w14:paraId="77C047D0" w14:textId="77777777" w:rsidR="00023CF5" w:rsidRPr="00B13677" w:rsidRDefault="00023CF5" w:rsidP="00023CF5">
            <w:pPr>
              <w:spacing w:before="30" w:after="30" w:line="240" w:lineRule="auto"/>
              <w:jc w:val="center"/>
              <w:rPr>
                <w:rFonts w:ascii="Arial" w:hAnsi="Arial"/>
                <w:color w:val="000000"/>
                <w:sz w:val="14"/>
                <w:szCs w:val="14"/>
              </w:rPr>
            </w:pPr>
            <w:r w:rsidRPr="00B13677">
              <w:rPr>
                <w:rFonts w:ascii="Arial" w:hAnsi="Arial"/>
                <w:color w:val="000000"/>
                <w:sz w:val="14"/>
                <w:szCs w:val="14"/>
              </w:rPr>
              <w:t>(3,0)</w:t>
            </w:r>
          </w:p>
        </w:tc>
        <w:tc>
          <w:tcPr>
            <w:tcW w:w="968" w:type="dxa"/>
            <w:vAlign w:val="center"/>
          </w:tcPr>
          <w:p w14:paraId="268FE6F5" w14:textId="77777777" w:rsidR="00023CF5"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1.98</w:t>
            </w:r>
          </w:p>
        </w:tc>
        <w:tc>
          <w:tcPr>
            <w:tcW w:w="968" w:type="dxa"/>
            <w:shd w:val="clear" w:color="auto" w:fill="auto"/>
            <w:noWrap/>
            <w:tcMar>
              <w:right w:w="255" w:type="dxa"/>
            </w:tcMar>
            <w:vAlign w:val="center"/>
          </w:tcPr>
          <w:p w14:paraId="799C0A29"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47,900</w:t>
            </w:r>
          </w:p>
        </w:tc>
        <w:tc>
          <w:tcPr>
            <w:tcW w:w="968" w:type="dxa"/>
            <w:shd w:val="clear" w:color="auto" w:fill="auto"/>
            <w:noWrap/>
            <w:tcMar>
              <w:right w:w="255" w:type="dxa"/>
            </w:tcMar>
            <w:vAlign w:val="center"/>
          </w:tcPr>
          <w:p w14:paraId="723EB9D5"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69,200</w:t>
            </w:r>
          </w:p>
        </w:tc>
        <w:tc>
          <w:tcPr>
            <w:tcW w:w="968" w:type="dxa"/>
            <w:shd w:val="clear" w:color="auto" w:fill="auto"/>
            <w:noWrap/>
            <w:tcMar>
              <w:right w:w="255" w:type="dxa"/>
            </w:tcMar>
            <w:vAlign w:val="center"/>
          </w:tcPr>
          <w:p w14:paraId="6B6C12CB"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92,300</w:t>
            </w:r>
          </w:p>
        </w:tc>
        <w:tc>
          <w:tcPr>
            <w:tcW w:w="968" w:type="dxa"/>
            <w:shd w:val="clear" w:color="auto" w:fill="auto"/>
            <w:noWrap/>
            <w:tcMar>
              <w:right w:w="255" w:type="dxa"/>
            </w:tcMar>
            <w:vAlign w:val="center"/>
          </w:tcPr>
          <w:p w14:paraId="2C19DDAC" w14:textId="77777777" w:rsidR="00023CF5" w:rsidRPr="00B13677" w:rsidRDefault="00023CF5" w:rsidP="00023CF5">
            <w:pPr>
              <w:spacing w:before="30" w:after="30" w:line="240" w:lineRule="auto"/>
              <w:jc w:val="center"/>
              <w:rPr>
                <w:rFonts w:ascii="Arial" w:hAnsi="Arial"/>
                <w:color w:val="000000"/>
                <w:sz w:val="14"/>
                <w:szCs w:val="14"/>
              </w:rPr>
            </w:pPr>
            <w:r>
              <w:rPr>
                <w:rFonts w:ascii="Arial" w:hAnsi="Arial"/>
                <w:color w:val="000000"/>
                <w:sz w:val="14"/>
                <w:szCs w:val="14"/>
              </w:rPr>
              <w:t>125,500</w:t>
            </w:r>
          </w:p>
        </w:tc>
      </w:tr>
    </w:tbl>
    <w:p w14:paraId="4EFCEAF6" w14:textId="77777777" w:rsidR="00023CF5" w:rsidRDefault="00023CF5" w:rsidP="00023CF5">
      <w:pPr>
        <w:spacing w:after="0" w:line="240" w:lineRule="auto"/>
        <w:jc w:val="center"/>
        <w:rPr>
          <w:rFonts w:ascii="Arial" w:eastAsia="Times New Roman" w:hAnsi="Arial" w:cs="Times New Roman"/>
          <w:b/>
          <w:bCs/>
          <w:color w:val="000000" w:themeColor="text1"/>
          <w:sz w:val="18"/>
          <w:szCs w:val="18"/>
        </w:rPr>
      </w:pPr>
    </w:p>
    <w:p w14:paraId="57CEC9B0" w14:textId="77777777" w:rsidR="00023CF5" w:rsidRDefault="00023CF5" w:rsidP="00023CF5">
      <w:pPr>
        <w:spacing w:line="240" w:lineRule="auto"/>
        <w:jc w:val="center"/>
        <w:rPr>
          <w:rFonts w:ascii="Arial" w:eastAsia="Times New Roman" w:hAnsi="Arial" w:cs="Times New Roman"/>
          <w:b/>
          <w:bCs/>
          <w:color w:val="000000" w:themeColor="text1"/>
          <w:sz w:val="18"/>
          <w:szCs w:val="18"/>
        </w:rPr>
      </w:pPr>
    </w:p>
    <w:p w14:paraId="29594DCE" w14:textId="4FF2A2E3" w:rsidR="00A17B47" w:rsidRDefault="00A17B47">
      <w:pPr>
        <w:spacing w:after="0" w:line="240" w:lineRule="auto"/>
        <w:rPr>
          <w:rFonts w:ascii="Arial" w:hAnsi="Arial"/>
        </w:rPr>
      </w:pPr>
    </w:p>
    <w:sectPr w:rsidR="00A17B47" w:rsidSect="00711D9F">
      <w:headerReference w:type="default" r:id="rId51"/>
      <w:pgSz w:w="11906" w:h="16838"/>
      <w:pgMar w:top="1418"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DE734" w14:textId="77777777" w:rsidR="00E167AC" w:rsidRDefault="00E167AC" w:rsidP="001863D9">
      <w:pPr>
        <w:spacing w:after="0" w:line="240" w:lineRule="auto"/>
      </w:pPr>
      <w:r>
        <w:separator/>
      </w:r>
    </w:p>
  </w:endnote>
  <w:endnote w:type="continuationSeparator" w:id="0">
    <w:p w14:paraId="64FD3B8C" w14:textId="77777777" w:rsidR="00E167AC" w:rsidRDefault="00E167AC" w:rsidP="001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Mäori">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55B40" w14:textId="77777777" w:rsidR="00E167AC" w:rsidRDefault="00E167AC" w:rsidP="001863D9">
      <w:pPr>
        <w:spacing w:after="0" w:line="240" w:lineRule="auto"/>
      </w:pPr>
      <w:r>
        <w:separator/>
      </w:r>
    </w:p>
  </w:footnote>
  <w:footnote w:type="continuationSeparator" w:id="0">
    <w:p w14:paraId="433E64C9" w14:textId="77777777" w:rsidR="00E167AC" w:rsidRDefault="00E167AC" w:rsidP="001863D9">
      <w:pPr>
        <w:spacing w:after="0" w:line="240" w:lineRule="auto"/>
      </w:pPr>
      <w:r>
        <w:continuationSeparator/>
      </w:r>
    </w:p>
  </w:footnote>
  <w:footnote w:id="1">
    <w:p w14:paraId="29DB2AB8" w14:textId="79622C76" w:rsidR="006252D5" w:rsidRPr="00AC5FD8" w:rsidRDefault="006252D5" w:rsidP="00C9054A">
      <w:pPr>
        <w:pStyle w:val="FootnoteText"/>
        <w:spacing w:after="60"/>
        <w:ind w:left="142" w:hanging="142"/>
        <w:rPr>
          <w:rFonts w:ascii="Arial" w:hAnsi="Arial"/>
          <w:sz w:val="16"/>
          <w:szCs w:val="16"/>
        </w:rPr>
      </w:pPr>
      <w:r w:rsidRPr="00AC5FD8">
        <w:rPr>
          <w:rStyle w:val="FootnoteReference"/>
          <w:rFonts w:ascii="Arial" w:hAnsi="Arial"/>
          <w:sz w:val="16"/>
          <w:szCs w:val="16"/>
        </w:rPr>
        <w:footnoteRef/>
      </w:r>
      <w:r w:rsidRPr="00AC5FD8">
        <w:rPr>
          <w:rFonts w:ascii="Arial" w:hAnsi="Arial"/>
          <w:sz w:val="16"/>
          <w:szCs w:val="16"/>
        </w:rPr>
        <w:t xml:space="preserve"> </w:t>
      </w:r>
      <w:r w:rsidRPr="00AC5FD8">
        <w:rPr>
          <w:rFonts w:ascii="Arial" w:hAnsi="Arial"/>
          <w:sz w:val="16"/>
          <w:szCs w:val="16"/>
        </w:rPr>
        <w:tab/>
        <w:t xml:space="preserve">See </w:t>
      </w:r>
      <w:r w:rsidRPr="00AC5FD8">
        <w:rPr>
          <w:rFonts w:ascii="Arial" w:hAnsi="Arial"/>
          <w:b/>
          <w:bCs/>
          <w:sz w:val="16"/>
          <w:szCs w:val="16"/>
        </w:rPr>
        <w:t>Appendix 1</w:t>
      </w:r>
      <w:r w:rsidRPr="00AC5FD8">
        <w:rPr>
          <w:rFonts w:ascii="Arial" w:hAnsi="Arial"/>
          <w:sz w:val="16"/>
          <w:szCs w:val="16"/>
        </w:rPr>
        <w:t xml:space="preserve"> for comparisons of material and financial hardship for those with higher and lower OTIs.</w:t>
      </w:r>
    </w:p>
  </w:footnote>
  <w:footnote w:id="2">
    <w:p w14:paraId="536A8D1A" w14:textId="69C261D9" w:rsidR="006252D5" w:rsidRPr="00AC5FD8" w:rsidRDefault="006252D5" w:rsidP="00C9054A">
      <w:pPr>
        <w:pStyle w:val="FootnoteText"/>
        <w:spacing w:after="60"/>
        <w:ind w:left="142" w:hanging="142"/>
        <w:rPr>
          <w:rFonts w:ascii="Arial" w:hAnsi="Arial"/>
          <w:sz w:val="16"/>
          <w:szCs w:val="16"/>
        </w:rPr>
      </w:pPr>
      <w:r w:rsidRPr="00AC5FD8">
        <w:rPr>
          <w:rStyle w:val="FootnoteReference"/>
          <w:rFonts w:ascii="Arial" w:hAnsi="Arial"/>
          <w:sz w:val="16"/>
          <w:szCs w:val="16"/>
        </w:rPr>
        <w:footnoteRef/>
      </w:r>
      <w:r w:rsidRPr="00AC5FD8">
        <w:rPr>
          <w:rFonts w:ascii="Arial" w:hAnsi="Arial"/>
          <w:sz w:val="16"/>
          <w:szCs w:val="16"/>
        </w:rPr>
        <w:t xml:space="preserve"> </w:t>
      </w:r>
      <w:r w:rsidRPr="00AC5FD8">
        <w:rPr>
          <w:rFonts w:ascii="Arial" w:hAnsi="Arial"/>
          <w:sz w:val="16"/>
          <w:szCs w:val="16"/>
        </w:rPr>
        <w:tab/>
        <w:t xml:space="preserve">Access to the HES data was provided by </w:t>
      </w:r>
      <w:r>
        <w:rPr>
          <w:rFonts w:ascii="Arial" w:hAnsi="Arial"/>
          <w:sz w:val="16"/>
          <w:szCs w:val="16"/>
        </w:rPr>
        <w:t>Stats NZ</w:t>
      </w:r>
      <w:r w:rsidRPr="00AC5FD8">
        <w:rPr>
          <w:rFonts w:ascii="Arial" w:hAnsi="Arial"/>
          <w:sz w:val="16"/>
          <w:szCs w:val="16"/>
        </w:rPr>
        <w:t xml:space="preserve"> under conditions designed to meet the confidentiality provisions of the Statistics Act 1975. The results presented in this analysis are the work of the Ministry of Social Development except where otherwise stated.</w:t>
      </w:r>
    </w:p>
  </w:footnote>
  <w:footnote w:id="3">
    <w:p w14:paraId="7B706EE7" w14:textId="0CEF0399" w:rsidR="006252D5" w:rsidRPr="000F2ECE" w:rsidRDefault="006252D5" w:rsidP="00C9054A">
      <w:pPr>
        <w:pStyle w:val="FootnoteText"/>
        <w:ind w:left="142" w:hanging="142"/>
        <w:rPr>
          <w:sz w:val="16"/>
          <w:szCs w:val="18"/>
        </w:rPr>
      </w:pPr>
      <w:r w:rsidRPr="00AC5FD8">
        <w:rPr>
          <w:rStyle w:val="FootnoteReference"/>
          <w:sz w:val="16"/>
          <w:szCs w:val="18"/>
        </w:rPr>
        <w:footnoteRef/>
      </w:r>
      <w:r w:rsidRPr="00AC5FD8">
        <w:rPr>
          <w:sz w:val="16"/>
          <w:szCs w:val="18"/>
        </w:rPr>
        <w:t xml:space="preserve"> </w:t>
      </w:r>
      <w:r w:rsidRPr="00AC5FD8">
        <w:rPr>
          <w:sz w:val="16"/>
          <w:szCs w:val="18"/>
        </w:rPr>
        <w:tab/>
      </w:r>
      <w:r w:rsidRPr="00AC5FD8">
        <w:rPr>
          <w:rFonts w:ascii="Arial" w:eastAsia="Times New Roman" w:hAnsi="Arial" w:cs="Times New Roman"/>
          <w:sz w:val="16"/>
          <w:szCs w:val="18"/>
          <w:lang w:val="en-GB"/>
        </w:rPr>
        <w:t xml:space="preserve">The original New Zealand material was provided to the OECD by Stats NZ. See </w:t>
      </w:r>
      <w:r w:rsidRPr="00AC5FD8">
        <w:rPr>
          <w:rFonts w:ascii="Arial" w:eastAsia="Times New Roman" w:hAnsi="Arial" w:cs="Times New Roman"/>
          <w:b/>
          <w:bCs/>
          <w:sz w:val="16"/>
          <w:szCs w:val="18"/>
          <w:lang w:val="en-GB"/>
        </w:rPr>
        <w:t>Appendix 2</w:t>
      </w:r>
      <w:r w:rsidRPr="00AC5FD8">
        <w:rPr>
          <w:rFonts w:ascii="Arial" w:eastAsia="Times New Roman" w:hAnsi="Arial" w:cs="Times New Roman"/>
          <w:sz w:val="16"/>
          <w:szCs w:val="18"/>
          <w:lang w:val="en-GB"/>
        </w:rPr>
        <w:t xml:space="preserve"> for a discussion of the methodology that was used then and what is used in this report.</w:t>
      </w:r>
    </w:p>
  </w:footnote>
  <w:footnote w:id="4">
    <w:p w14:paraId="7F57D10E" w14:textId="77777777" w:rsidR="006252D5" w:rsidRPr="00E660C6" w:rsidRDefault="006252D5" w:rsidP="005C2556">
      <w:pPr>
        <w:pStyle w:val="FootnoteText"/>
        <w:spacing w:after="60"/>
        <w:ind w:left="284" w:hanging="284"/>
        <w:rPr>
          <w:rFonts w:ascii="Arial" w:hAnsi="Arial"/>
          <w:sz w:val="16"/>
          <w:szCs w:val="16"/>
        </w:rPr>
      </w:pPr>
      <w:r w:rsidRPr="00E660C6">
        <w:rPr>
          <w:rStyle w:val="FootnoteReference"/>
          <w:rFonts w:ascii="Arial" w:hAnsi="Arial"/>
          <w:sz w:val="16"/>
          <w:szCs w:val="16"/>
        </w:rPr>
        <w:footnoteRef/>
      </w:r>
      <w:r w:rsidRPr="00E660C6">
        <w:rPr>
          <w:rFonts w:ascii="Arial" w:hAnsi="Arial"/>
          <w:sz w:val="16"/>
          <w:szCs w:val="16"/>
        </w:rPr>
        <w:t xml:space="preserve"> </w:t>
      </w:r>
      <w:r w:rsidRPr="00E660C6">
        <w:rPr>
          <w:rFonts w:ascii="Arial" w:hAnsi="Arial"/>
          <w:sz w:val="16"/>
          <w:szCs w:val="16"/>
        </w:rPr>
        <w:tab/>
        <w:t>Stats NZ created special combined HES-HLFS datasets for producing a 2007 to 2018 BHC low-income back series to assist with estimating baseline low-income rates for the Child Poverty Reduction Act (2018). This bespoke dataset is not used in this report.</w:t>
      </w:r>
    </w:p>
  </w:footnote>
  <w:footnote w:id="5">
    <w:p w14:paraId="6F614191" w14:textId="5A76C8C3" w:rsidR="006252D5" w:rsidRPr="00E660C6" w:rsidRDefault="006252D5" w:rsidP="005C2556">
      <w:pPr>
        <w:pStyle w:val="FootnoteText"/>
        <w:spacing w:after="60"/>
        <w:ind w:left="284" w:hanging="284"/>
        <w:rPr>
          <w:rFonts w:ascii="Arial" w:hAnsi="Arial"/>
          <w:sz w:val="16"/>
          <w:szCs w:val="16"/>
        </w:rPr>
      </w:pPr>
      <w:r w:rsidRPr="00E660C6">
        <w:rPr>
          <w:rStyle w:val="FootnoteReference"/>
          <w:rFonts w:ascii="Arial" w:hAnsi="Arial"/>
          <w:sz w:val="16"/>
          <w:szCs w:val="16"/>
        </w:rPr>
        <w:footnoteRef/>
      </w:r>
      <w:r w:rsidRPr="00E660C6">
        <w:rPr>
          <w:rFonts w:ascii="Arial" w:hAnsi="Arial"/>
          <w:sz w:val="16"/>
          <w:szCs w:val="16"/>
        </w:rPr>
        <w:t xml:space="preserve"> </w:t>
      </w:r>
      <w:r>
        <w:rPr>
          <w:rFonts w:ascii="Arial" w:hAnsi="Arial"/>
          <w:sz w:val="16"/>
          <w:szCs w:val="16"/>
        </w:rPr>
        <w:tab/>
      </w:r>
      <w:r w:rsidRPr="00E660C6">
        <w:rPr>
          <w:rFonts w:ascii="Arial" w:hAnsi="Arial"/>
          <w:color w:val="000000" w:themeColor="text1"/>
          <w:sz w:val="16"/>
          <w:szCs w:val="16"/>
          <w:lang w:eastAsia="en-NZ"/>
        </w:rPr>
        <w:t xml:space="preserve">The presence of VLI households is a commonly-found feature </w:t>
      </w:r>
      <w:r>
        <w:rPr>
          <w:rFonts w:ascii="Arial" w:hAnsi="Arial"/>
          <w:color w:val="000000" w:themeColor="text1"/>
          <w:sz w:val="16"/>
          <w:szCs w:val="16"/>
          <w:lang w:eastAsia="en-NZ"/>
        </w:rPr>
        <w:t>in</w:t>
      </w:r>
      <w:r w:rsidRPr="00E660C6">
        <w:rPr>
          <w:rFonts w:ascii="Arial" w:hAnsi="Arial"/>
          <w:color w:val="000000" w:themeColor="text1"/>
          <w:sz w:val="16"/>
          <w:szCs w:val="16"/>
          <w:lang w:eastAsia="en-NZ"/>
        </w:rPr>
        <w:t xml:space="preserve"> surveys like the HES. They are found in both HES-TAWA and HES-admin – the proportion in HES-admin is just much higher.</w:t>
      </w:r>
      <w:r w:rsidR="0063083B">
        <w:rPr>
          <w:rFonts w:ascii="Arial" w:hAnsi="Arial"/>
          <w:color w:val="000000" w:themeColor="text1"/>
          <w:sz w:val="16"/>
          <w:szCs w:val="16"/>
          <w:lang w:eastAsia="en-NZ"/>
        </w:rPr>
        <w:t xml:space="preserve"> See </w:t>
      </w:r>
      <w:r w:rsidR="0063083B" w:rsidRPr="0063083B">
        <w:rPr>
          <w:rFonts w:ascii="Arial" w:hAnsi="Arial"/>
          <w:b/>
          <w:bCs/>
          <w:color w:val="000000" w:themeColor="text1"/>
          <w:sz w:val="16"/>
          <w:szCs w:val="16"/>
          <w:lang w:eastAsia="en-NZ"/>
        </w:rPr>
        <w:t>Appendix 7</w:t>
      </w:r>
      <w:r w:rsidR="0063083B">
        <w:rPr>
          <w:rFonts w:ascii="Arial" w:hAnsi="Arial"/>
          <w:color w:val="000000" w:themeColor="text1"/>
          <w:sz w:val="16"/>
          <w:szCs w:val="16"/>
          <w:lang w:eastAsia="en-NZ"/>
        </w:rPr>
        <w:t xml:space="preserve"> for more detail.</w:t>
      </w:r>
    </w:p>
  </w:footnote>
  <w:footnote w:id="6">
    <w:p w14:paraId="53E07E78" w14:textId="5815EC5E" w:rsidR="006252D5" w:rsidRPr="005C2556" w:rsidRDefault="006252D5" w:rsidP="005C2556">
      <w:pPr>
        <w:pStyle w:val="FootnoteText"/>
        <w:spacing w:after="60"/>
        <w:ind w:left="284" w:hanging="284"/>
        <w:rPr>
          <w:rFonts w:ascii="Arial" w:hAnsi="Arial"/>
          <w:sz w:val="16"/>
          <w:szCs w:val="16"/>
        </w:rPr>
      </w:pPr>
      <w:r w:rsidRPr="005C2556">
        <w:rPr>
          <w:rStyle w:val="FootnoteReference"/>
          <w:rFonts w:ascii="Arial" w:hAnsi="Arial"/>
          <w:sz w:val="16"/>
          <w:szCs w:val="16"/>
        </w:rPr>
        <w:footnoteRef/>
      </w:r>
      <w:r w:rsidRPr="005C2556">
        <w:rPr>
          <w:rFonts w:ascii="Arial" w:hAnsi="Arial"/>
          <w:sz w:val="16"/>
          <w:szCs w:val="16"/>
        </w:rPr>
        <w:t xml:space="preserve"> </w:t>
      </w:r>
      <w:r>
        <w:rPr>
          <w:rFonts w:ascii="Arial" w:hAnsi="Arial"/>
          <w:sz w:val="16"/>
          <w:szCs w:val="16"/>
        </w:rPr>
        <w:tab/>
        <w:t>OECD rates us</w:t>
      </w:r>
      <w:r w:rsidRPr="005C2556">
        <w:rPr>
          <w:rFonts w:ascii="Arial" w:hAnsi="Arial"/>
          <w:sz w:val="16"/>
          <w:szCs w:val="16"/>
        </w:rPr>
        <w:t>ing the HES 2019-20 data increases New Zealand’s rates</w:t>
      </w:r>
      <w:r>
        <w:rPr>
          <w:rFonts w:ascii="Arial" w:hAnsi="Arial"/>
          <w:sz w:val="16"/>
          <w:szCs w:val="16"/>
        </w:rPr>
        <w:t xml:space="preserve"> compared with those from 2017-18.</w:t>
      </w:r>
      <w:r w:rsidRPr="005C2556">
        <w:rPr>
          <w:rFonts w:ascii="Arial" w:hAnsi="Arial"/>
          <w:sz w:val="16"/>
          <w:szCs w:val="16"/>
        </w:rPr>
        <w:t xml:space="preserve"> This means that the overall finding about New Zealand’s OECD ranking (at or near the bottom of the league table</w:t>
      </w:r>
      <w:r>
        <w:rPr>
          <w:rFonts w:ascii="Arial" w:hAnsi="Arial"/>
          <w:sz w:val="16"/>
          <w:szCs w:val="16"/>
        </w:rPr>
        <w:t>s</w:t>
      </w:r>
      <w:r w:rsidRPr="005C2556">
        <w:rPr>
          <w:rFonts w:ascii="Arial" w:hAnsi="Arial"/>
          <w:sz w:val="16"/>
          <w:szCs w:val="16"/>
        </w:rPr>
        <w:t>) is a robust finding.</w:t>
      </w:r>
    </w:p>
  </w:footnote>
  <w:footnote w:id="7">
    <w:p w14:paraId="415422AE" w14:textId="4D434908" w:rsidR="006252D5" w:rsidRPr="00464845" w:rsidRDefault="006252D5" w:rsidP="005C2556">
      <w:pPr>
        <w:pStyle w:val="FootnoteText"/>
        <w:spacing w:after="60"/>
        <w:ind w:left="284" w:hanging="284"/>
        <w:rPr>
          <w:rFonts w:ascii="Arial" w:hAnsi="Arial"/>
          <w:sz w:val="16"/>
          <w:szCs w:val="16"/>
        </w:rPr>
      </w:pPr>
      <w:r w:rsidRPr="00E660C6">
        <w:rPr>
          <w:rStyle w:val="FootnoteReference"/>
          <w:rFonts w:ascii="Arial" w:hAnsi="Arial"/>
          <w:sz w:val="16"/>
          <w:szCs w:val="16"/>
        </w:rPr>
        <w:footnoteRef/>
      </w:r>
      <w:r w:rsidRPr="00E660C6">
        <w:rPr>
          <w:rFonts w:ascii="Arial" w:hAnsi="Arial"/>
          <w:sz w:val="16"/>
          <w:szCs w:val="16"/>
        </w:rPr>
        <w:t xml:space="preserve"> </w:t>
      </w:r>
      <w:r w:rsidRPr="00E660C6">
        <w:rPr>
          <w:rFonts w:ascii="Arial" w:hAnsi="Arial"/>
          <w:sz w:val="16"/>
          <w:szCs w:val="16"/>
        </w:rPr>
        <w:tab/>
        <w:t>For the 2017-18 OECD comparisons, households with negative or zero incomes are deleted to enable OTIs to be calculated. No other treatment is applied. If the treatment applied to 2018-19 were to be applied to 2017-18 data, the</w:t>
      </w:r>
      <w:r w:rsidRPr="00464845">
        <w:rPr>
          <w:rFonts w:ascii="Arial" w:hAnsi="Arial"/>
          <w:sz w:val="16"/>
          <w:szCs w:val="16"/>
        </w:rPr>
        <w:t xml:space="preserve"> impact would be negligible. See </w:t>
      </w:r>
      <w:r w:rsidRPr="00464845">
        <w:rPr>
          <w:rFonts w:ascii="Arial" w:hAnsi="Arial"/>
          <w:b/>
          <w:bCs/>
          <w:sz w:val="16"/>
          <w:szCs w:val="16"/>
        </w:rPr>
        <w:t>Appendix 5</w:t>
      </w:r>
      <w:r w:rsidRPr="00464845">
        <w:rPr>
          <w:rFonts w:ascii="Arial" w:hAnsi="Arial"/>
          <w:sz w:val="16"/>
          <w:szCs w:val="16"/>
        </w:rPr>
        <w:t xml:space="preserve"> for the sensitivity of Findings to different ‘treatments’ of the data </w:t>
      </w:r>
      <w:r>
        <w:rPr>
          <w:rFonts w:ascii="Arial" w:hAnsi="Arial"/>
          <w:sz w:val="16"/>
          <w:szCs w:val="16"/>
        </w:rPr>
        <w:t>that aim                                                                                                                                                                                                                                                                                         mitigate the impact of</w:t>
      </w:r>
      <w:r w:rsidRPr="00464845">
        <w:rPr>
          <w:rFonts w:ascii="Arial" w:hAnsi="Arial"/>
          <w:sz w:val="16"/>
          <w:szCs w:val="16"/>
        </w:rPr>
        <w:t xml:space="preserve"> the VLI issue. </w:t>
      </w:r>
    </w:p>
  </w:footnote>
  <w:footnote w:id="8">
    <w:p w14:paraId="24E09910" w14:textId="77777777" w:rsidR="006252D5" w:rsidRPr="00464845" w:rsidRDefault="006252D5" w:rsidP="0055178F">
      <w:pPr>
        <w:pStyle w:val="FootnoteText"/>
        <w:ind w:left="284" w:hanging="284"/>
        <w:rPr>
          <w:rFonts w:ascii="Arial" w:hAnsi="Arial"/>
          <w:sz w:val="16"/>
          <w:szCs w:val="16"/>
        </w:rPr>
      </w:pPr>
      <w:r w:rsidRPr="00AD043F">
        <w:rPr>
          <w:rStyle w:val="FootnoteReference"/>
          <w:rFonts w:ascii="Arial" w:hAnsi="Arial"/>
          <w:sz w:val="16"/>
          <w:szCs w:val="16"/>
        </w:rPr>
        <w:footnoteRef/>
      </w:r>
      <w:r w:rsidRPr="00AD043F">
        <w:rPr>
          <w:rFonts w:ascii="Arial" w:hAnsi="Arial"/>
          <w:sz w:val="16"/>
          <w:szCs w:val="16"/>
        </w:rPr>
        <w:t xml:space="preserve"> </w:t>
      </w:r>
      <w:r>
        <w:rPr>
          <w:rFonts w:ascii="Arial" w:hAnsi="Arial"/>
          <w:sz w:val="16"/>
          <w:szCs w:val="16"/>
        </w:rPr>
        <w:tab/>
      </w:r>
      <w:r w:rsidRPr="00464845">
        <w:rPr>
          <w:rFonts w:ascii="Arial" w:hAnsi="Arial"/>
          <w:sz w:val="16"/>
          <w:szCs w:val="16"/>
        </w:rPr>
        <w:t>The Household Incomes Report (HIR) is paused at present while Stats NZ resolve some income data issues</w:t>
      </w:r>
      <w:r>
        <w:rPr>
          <w:rFonts w:ascii="Arial" w:hAnsi="Arial"/>
          <w:sz w:val="16"/>
          <w:szCs w:val="16"/>
        </w:rPr>
        <w:t xml:space="preserve"> that can have an impact on some of the statistics usually reported in the HIR, including OTIs for low-income households.</w:t>
      </w:r>
      <w:r w:rsidRPr="00464845">
        <w:rPr>
          <w:rFonts w:ascii="Arial" w:hAnsi="Arial"/>
          <w:sz w:val="16"/>
          <w:szCs w:val="16"/>
        </w:rPr>
        <w:t xml:space="preserve"> See Perry (2021), Section O, for details. </w:t>
      </w:r>
      <w:r>
        <w:rPr>
          <w:rFonts w:ascii="Arial" w:hAnsi="Arial"/>
          <w:sz w:val="16"/>
          <w:szCs w:val="16"/>
        </w:rPr>
        <w:t xml:space="preserve">Stats NZ expect to have the issues sorted by December 2021. </w:t>
      </w:r>
      <w:r w:rsidRPr="00464845">
        <w:rPr>
          <w:rFonts w:ascii="Arial" w:hAnsi="Arial"/>
          <w:sz w:val="16"/>
          <w:szCs w:val="16"/>
        </w:rPr>
        <w:t>The next HIR is scheduled for the third quarter of 2022.</w:t>
      </w:r>
    </w:p>
  </w:footnote>
  <w:footnote w:id="9">
    <w:p w14:paraId="575CC61D" w14:textId="77777777" w:rsidR="006252D5" w:rsidRPr="00464845" w:rsidRDefault="006252D5" w:rsidP="0055178F">
      <w:pPr>
        <w:spacing w:before="60" w:after="0" w:line="240" w:lineRule="auto"/>
        <w:ind w:left="284" w:hanging="284"/>
        <w:rPr>
          <w:rFonts w:ascii="Arial" w:hAnsi="Arial"/>
        </w:rPr>
      </w:pPr>
      <w:r w:rsidRPr="00464845">
        <w:rPr>
          <w:rStyle w:val="FootnoteReference"/>
          <w:rFonts w:ascii="Arial" w:hAnsi="Arial"/>
          <w:sz w:val="16"/>
          <w:szCs w:val="16"/>
        </w:rPr>
        <w:footnoteRef/>
      </w:r>
      <w:r w:rsidRPr="00464845">
        <w:rPr>
          <w:rFonts w:ascii="Arial" w:hAnsi="Arial"/>
          <w:sz w:val="16"/>
          <w:szCs w:val="16"/>
        </w:rPr>
        <w:t xml:space="preserve"> </w:t>
      </w:r>
      <w:r w:rsidRPr="00464845">
        <w:rPr>
          <w:rFonts w:ascii="Arial" w:hAnsi="Arial"/>
          <w:sz w:val="16"/>
          <w:szCs w:val="16"/>
        </w:rPr>
        <w:tab/>
        <w:t>For example: NZ Productivity Commission (2012), Johnson et al (2018), CoreLogic (2021)</w:t>
      </w:r>
      <w:r>
        <w:rPr>
          <w:rFonts w:ascii="Arial" w:hAnsi="Arial"/>
          <w:sz w:val="16"/>
          <w:szCs w:val="16"/>
        </w:rPr>
        <w:t>, various Reserve Bank of New Zealand statements</w:t>
      </w:r>
    </w:p>
  </w:footnote>
  <w:footnote w:id="10">
    <w:p w14:paraId="6B427C58" w14:textId="3C475A1D" w:rsidR="006252D5" w:rsidRPr="004E1A73" w:rsidRDefault="006252D5" w:rsidP="002A6603">
      <w:pPr>
        <w:spacing w:after="0" w:line="240" w:lineRule="auto"/>
        <w:ind w:left="284" w:hanging="284"/>
        <w:rPr>
          <w:rFonts w:ascii="Arial" w:hAnsi="Arial"/>
          <w:i/>
          <w:iCs/>
          <w:color w:val="000000"/>
          <w:sz w:val="16"/>
          <w:szCs w:val="16"/>
        </w:rPr>
      </w:pPr>
      <w:r w:rsidRPr="004E1A73">
        <w:rPr>
          <w:rStyle w:val="FootnoteReference"/>
          <w:rFonts w:ascii="Arial" w:hAnsi="Arial"/>
          <w:sz w:val="16"/>
          <w:szCs w:val="16"/>
        </w:rPr>
        <w:footnoteRef/>
      </w:r>
      <w:r w:rsidRPr="004E1A73">
        <w:rPr>
          <w:rFonts w:ascii="Arial" w:hAnsi="Arial"/>
          <w:sz w:val="16"/>
          <w:szCs w:val="16"/>
        </w:rPr>
        <w:t xml:space="preserve"> </w:t>
      </w:r>
      <w:r>
        <w:rPr>
          <w:rFonts w:ascii="Arial" w:hAnsi="Arial"/>
          <w:sz w:val="16"/>
          <w:szCs w:val="16"/>
        </w:rPr>
        <w:tab/>
      </w:r>
      <w:r w:rsidRPr="004E1A73">
        <w:rPr>
          <w:rFonts w:ascii="Arial" w:hAnsi="Arial"/>
          <w:color w:val="000000"/>
          <w:sz w:val="16"/>
          <w:szCs w:val="16"/>
        </w:rPr>
        <w:t>For the purpose of this</w:t>
      </w:r>
      <w:r>
        <w:rPr>
          <w:rFonts w:ascii="Arial" w:hAnsi="Arial"/>
          <w:color w:val="000000"/>
          <w:sz w:val="16"/>
          <w:szCs w:val="16"/>
        </w:rPr>
        <w:t xml:space="preserve"> report</w:t>
      </w:r>
      <w:r w:rsidRPr="004E1A73">
        <w:rPr>
          <w:rFonts w:ascii="Arial" w:hAnsi="Arial"/>
          <w:color w:val="000000"/>
          <w:sz w:val="16"/>
          <w:szCs w:val="16"/>
        </w:rPr>
        <w:t xml:space="preserve">, ‘social rental housing’ refers to </w:t>
      </w:r>
      <w:r w:rsidRPr="004E1A73">
        <w:rPr>
          <w:rFonts w:ascii="Arial" w:hAnsi="Arial"/>
          <w:i/>
          <w:iCs/>
          <w:color w:val="000000"/>
          <w:sz w:val="16"/>
          <w:szCs w:val="16"/>
        </w:rPr>
        <w:t xml:space="preserve">the stock of residential rental accommodation provided at sub-market prices and allocated according to specific rules rather than market mechanisms </w:t>
      </w:r>
      <w:r w:rsidRPr="004E1A73">
        <w:rPr>
          <w:rFonts w:ascii="Arial" w:hAnsi="Arial"/>
          <w:color w:val="000000"/>
          <w:sz w:val="16"/>
          <w:szCs w:val="16"/>
        </w:rPr>
        <w:t>(Salvi Del Pero et al., 2016).</w:t>
      </w:r>
      <w:r>
        <w:rPr>
          <w:rFonts w:ascii="Arial" w:hAnsi="Arial"/>
          <w:color w:val="000000"/>
          <w:sz w:val="16"/>
          <w:szCs w:val="16"/>
        </w:rPr>
        <w:t xml:space="preserve"> Across countries there is a considerable variation in the degree of rent reduction, the eligibility criteria and in the range of providers used. For further detail and discussion see OECD (</w:t>
      </w:r>
      <w:r w:rsidRPr="005F3B78">
        <w:rPr>
          <w:rFonts w:ascii="Arial" w:hAnsi="Arial"/>
          <w:color w:val="000000"/>
          <w:sz w:val="16"/>
          <w:szCs w:val="16"/>
        </w:rPr>
        <w:t xml:space="preserve">2020b). </w:t>
      </w:r>
      <w:r>
        <w:rPr>
          <w:rFonts w:ascii="Arial" w:hAnsi="Arial"/>
          <w:color w:val="000000"/>
          <w:sz w:val="16"/>
          <w:szCs w:val="16"/>
        </w:rPr>
        <w:t>In New Zealand, social housing is now referred to as public housing. This report follows the international language and uses ‘social’</w:t>
      </w:r>
      <w:r w:rsidRPr="005F3B78">
        <w:rPr>
          <w:rFonts w:ascii="Arial" w:hAnsi="Arial"/>
          <w:color w:val="000000"/>
          <w:sz w:val="16"/>
          <w:szCs w:val="16"/>
        </w:rPr>
        <w:t>.</w:t>
      </w:r>
      <w:r>
        <w:rPr>
          <w:rFonts w:ascii="Arial" w:hAnsi="Arial"/>
          <w:color w:val="000000"/>
          <w:sz w:val="16"/>
          <w:szCs w:val="16"/>
        </w:rPr>
        <w:t xml:space="preserve"> Some studies use the term ‘subsidised’ rentals when referring to social / public housing (eg Figure</w:t>
      </w:r>
      <w:r w:rsidR="005D43C6">
        <w:rPr>
          <w:rFonts w:ascii="Arial" w:hAnsi="Arial"/>
          <w:color w:val="000000"/>
          <w:sz w:val="16"/>
          <w:szCs w:val="16"/>
        </w:rPr>
        <w:t>s 1 and 3</w:t>
      </w:r>
      <w:r>
        <w:rPr>
          <w:rFonts w:ascii="Arial" w:hAnsi="Arial"/>
          <w:color w:val="000000"/>
          <w:sz w:val="16"/>
          <w:szCs w:val="16"/>
        </w:rPr>
        <w:t xml:space="preserve"> below from the OECD). This report seeks to avoid the use of ‘subsidised’ as a descriptor as it is sometimes used for public housing and sometimes also used to include income support (eg the AS), which is confusing. The AS is given to those who pay market rent or a mortgage and meet eligibility criteria.</w:t>
      </w:r>
      <w:r w:rsidR="005D43C6">
        <w:rPr>
          <w:rFonts w:ascii="Arial" w:hAnsi="Arial"/>
          <w:color w:val="000000"/>
          <w:sz w:val="16"/>
          <w:szCs w:val="16"/>
        </w:rPr>
        <w:t xml:space="preserve"> </w:t>
      </w:r>
      <w:r w:rsidR="005D43C6" w:rsidRPr="005F3B78">
        <w:rPr>
          <w:rFonts w:ascii="Arial" w:hAnsi="Arial"/>
          <w:color w:val="000000"/>
          <w:sz w:val="16"/>
          <w:szCs w:val="16"/>
        </w:rPr>
        <w:t>See also n</w:t>
      </w:r>
      <w:r w:rsidR="005D43C6">
        <w:rPr>
          <w:rFonts w:ascii="Arial" w:hAnsi="Arial"/>
          <w:color w:val="000000"/>
          <w:sz w:val="16"/>
          <w:szCs w:val="16"/>
        </w:rPr>
        <w:t>11</w:t>
      </w:r>
      <w:r w:rsidR="005D43C6" w:rsidRPr="005F3B78">
        <w:rPr>
          <w:rFonts w:ascii="Arial" w:hAnsi="Arial"/>
          <w:color w:val="000000"/>
          <w:sz w:val="16"/>
          <w:szCs w:val="16"/>
        </w:rPr>
        <w:t xml:space="preserve"> and n</w:t>
      </w:r>
      <w:r w:rsidR="005D43C6">
        <w:rPr>
          <w:rFonts w:ascii="Arial" w:hAnsi="Arial"/>
          <w:color w:val="000000"/>
          <w:sz w:val="16"/>
          <w:szCs w:val="16"/>
        </w:rPr>
        <w:t>12</w:t>
      </w:r>
      <w:r w:rsidR="005D43C6" w:rsidRPr="005F3B78">
        <w:rPr>
          <w:rFonts w:ascii="Arial" w:hAnsi="Arial"/>
          <w:color w:val="000000"/>
          <w:sz w:val="16"/>
          <w:szCs w:val="16"/>
        </w:rPr>
        <w:t xml:space="preserve"> below</w:t>
      </w:r>
      <w:r w:rsidR="005D43C6">
        <w:rPr>
          <w:rFonts w:ascii="Arial" w:hAnsi="Arial"/>
          <w:color w:val="000000"/>
          <w:sz w:val="16"/>
          <w:szCs w:val="16"/>
        </w:rPr>
        <w:t>.</w:t>
      </w:r>
    </w:p>
    <w:p w14:paraId="70A929A9" w14:textId="77777777" w:rsidR="006252D5" w:rsidRDefault="006252D5" w:rsidP="00FB15F7">
      <w:pPr>
        <w:pStyle w:val="FootnoteText"/>
        <w:ind w:left="142" w:hanging="142"/>
      </w:pPr>
    </w:p>
  </w:footnote>
  <w:footnote w:id="11">
    <w:p w14:paraId="24B0359A" w14:textId="2E75E5D2" w:rsidR="006252D5" w:rsidRPr="003D32E2" w:rsidRDefault="006252D5" w:rsidP="00644D50">
      <w:pPr>
        <w:spacing w:after="60" w:line="240" w:lineRule="auto"/>
        <w:ind w:left="284" w:hanging="284"/>
        <w:rPr>
          <w:rFonts w:ascii="Arial" w:hAnsi="Arial"/>
          <w:sz w:val="16"/>
          <w:szCs w:val="16"/>
        </w:rPr>
      </w:pPr>
      <w:r w:rsidRPr="003D32E2">
        <w:rPr>
          <w:rStyle w:val="FootnoteReference"/>
          <w:rFonts w:ascii="Arial" w:hAnsi="Arial"/>
          <w:sz w:val="16"/>
          <w:szCs w:val="16"/>
        </w:rPr>
        <w:footnoteRef/>
      </w:r>
      <w:r w:rsidRPr="003D32E2">
        <w:rPr>
          <w:rFonts w:ascii="Arial" w:hAnsi="Arial"/>
          <w:sz w:val="16"/>
          <w:szCs w:val="16"/>
        </w:rPr>
        <w:t xml:space="preserve"> </w:t>
      </w:r>
      <w:r>
        <w:rPr>
          <w:rFonts w:ascii="Arial" w:hAnsi="Arial"/>
          <w:sz w:val="16"/>
          <w:szCs w:val="16"/>
        </w:rPr>
        <w:tab/>
        <w:t xml:space="preserve">See </w:t>
      </w:r>
      <w:r w:rsidRPr="0011196D">
        <w:rPr>
          <w:rFonts w:ascii="Arial" w:hAnsi="Arial"/>
          <w:b/>
          <w:bCs/>
          <w:sz w:val="16"/>
          <w:szCs w:val="16"/>
        </w:rPr>
        <w:t>Appendix 3</w:t>
      </w:r>
      <w:r>
        <w:rPr>
          <w:rFonts w:ascii="Arial" w:hAnsi="Arial"/>
          <w:sz w:val="16"/>
          <w:szCs w:val="16"/>
        </w:rPr>
        <w:t xml:space="preserve"> for the full details of the rankings and the differing conceptualisations of social housing used in the comparisons in this report. </w:t>
      </w:r>
      <w:r w:rsidRPr="003D32E2">
        <w:rPr>
          <w:rFonts w:ascii="Arial" w:hAnsi="Arial"/>
          <w:sz w:val="16"/>
          <w:szCs w:val="16"/>
        </w:rPr>
        <w:t xml:space="preserve">The </w:t>
      </w:r>
      <w:r>
        <w:rPr>
          <w:rFonts w:ascii="Arial" w:hAnsi="Arial"/>
          <w:sz w:val="16"/>
          <w:szCs w:val="16"/>
        </w:rPr>
        <w:t xml:space="preserve">main </w:t>
      </w:r>
      <w:r w:rsidRPr="003D32E2">
        <w:rPr>
          <w:rFonts w:ascii="Arial" w:hAnsi="Arial"/>
          <w:sz w:val="16"/>
          <w:szCs w:val="16"/>
        </w:rPr>
        <w:t xml:space="preserve">source for the figures and rankings is the </w:t>
      </w:r>
      <w:r w:rsidRPr="003D32E2">
        <w:rPr>
          <w:rFonts w:ascii="Arial" w:eastAsia="Times New Roman" w:hAnsi="Arial"/>
          <w:color w:val="000000"/>
          <w:sz w:val="16"/>
          <w:szCs w:val="16"/>
          <w:lang w:eastAsia="en-NZ"/>
        </w:rPr>
        <w:t xml:space="preserve">OECD Questionnaire on Social and Affordable Housing (QuASH), as reported in </w:t>
      </w:r>
      <w:r w:rsidRPr="00230B79">
        <w:rPr>
          <w:rFonts w:ascii="Arial" w:eastAsia="Times New Roman" w:hAnsi="Arial"/>
          <w:color w:val="000000"/>
          <w:sz w:val="16"/>
          <w:szCs w:val="16"/>
          <w:lang w:eastAsia="en-NZ"/>
        </w:rPr>
        <w:t xml:space="preserve">OECD </w:t>
      </w:r>
      <w:r>
        <w:rPr>
          <w:rFonts w:ascii="Arial" w:eastAsia="Times New Roman" w:hAnsi="Arial"/>
          <w:color w:val="000000"/>
          <w:sz w:val="16"/>
          <w:szCs w:val="16"/>
          <w:lang w:eastAsia="en-NZ"/>
        </w:rPr>
        <w:t>(</w:t>
      </w:r>
      <w:r w:rsidRPr="00230B79">
        <w:rPr>
          <w:rFonts w:ascii="Arial" w:eastAsia="Times New Roman" w:hAnsi="Arial"/>
          <w:color w:val="000000"/>
          <w:sz w:val="16"/>
          <w:szCs w:val="16"/>
          <w:lang w:eastAsia="en-NZ"/>
        </w:rPr>
        <w:t>2020b).</w:t>
      </w:r>
      <w:r w:rsidRPr="003D32E2">
        <w:rPr>
          <w:rFonts w:ascii="Arial" w:eastAsia="Times New Roman" w:hAnsi="Arial"/>
          <w:color w:val="000000"/>
          <w:sz w:val="16"/>
          <w:szCs w:val="16"/>
          <w:lang w:eastAsia="en-NZ"/>
        </w:rPr>
        <w:t xml:space="preserve"> They differ from the tenure </w:t>
      </w:r>
      <w:r w:rsidRPr="00712C75">
        <w:rPr>
          <w:rFonts w:ascii="Arial" w:eastAsia="Times New Roman" w:hAnsi="Arial"/>
          <w:color w:val="000000"/>
          <w:sz w:val="16"/>
          <w:szCs w:val="16"/>
          <w:lang w:eastAsia="en-NZ"/>
        </w:rPr>
        <w:t>figures reported in OECD (2021) which</w:t>
      </w:r>
      <w:r w:rsidRPr="003D32E2">
        <w:rPr>
          <w:rFonts w:ascii="Arial" w:eastAsia="Times New Roman" w:hAnsi="Arial"/>
          <w:color w:val="000000"/>
          <w:sz w:val="16"/>
          <w:szCs w:val="16"/>
          <w:lang w:eastAsia="en-NZ"/>
        </w:rPr>
        <w:t xml:space="preserve"> rely on EU-SILC survey data and on similar surveys in other countries (eg HES for New Zealand). While definitions and source information may vary, both sources support the main point being made above – the impact of including social housing in the estimates of housing stress for </w:t>
      </w:r>
      <w:r>
        <w:rPr>
          <w:rFonts w:ascii="Arial" w:eastAsia="Times New Roman" w:hAnsi="Arial"/>
          <w:color w:val="000000"/>
          <w:sz w:val="16"/>
          <w:szCs w:val="16"/>
          <w:lang w:eastAsia="en-NZ"/>
        </w:rPr>
        <w:t xml:space="preserve">renting </w:t>
      </w:r>
      <w:r w:rsidRPr="003D32E2">
        <w:rPr>
          <w:rFonts w:ascii="Arial" w:eastAsia="Times New Roman" w:hAnsi="Arial"/>
          <w:color w:val="000000"/>
          <w:sz w:val="16"/>
          <w:szCs w:val="16"/>
          <w:lang w:eastAsia="en-NZ"/>
        </w:rPr>
        <w:t>households varies across countries and readers need to be aware of this when interpreting the numbers and rankings</w:t>
      </w:r>
      <w:r>
        <w:rPr>
          <w:rFonts w:ascii="Arial" w:eastAsia="Times New Roman" w:hAnsi="Arial"/>
          <w:color w:val="000000"/>
          <w:sz w:val="16"/>
          <w:szCs w:val="16"/>
          <w:lang w:eastAsia="en-NZ"/>
        </w:rPr>
        <w:t xml:space="preserve"> when social housing is included.</w:t>
      </w:r>
    </w:p>
  </w:footnote>
  <w:footnote w:id="12">
    <w:p w14:paraId="3A23463F" w14:textId="721F5BEB" w:rsidR="006252D5" w:rsidRDefault="006252D5" w:rsidP="00644D50">
      <w:pPr>
        <w:spacing w:after="60" w:line="240" w:lineRule="auto"/>
        <w:ind w:left="284" w:hanging="284"/>
      </w:pPr>
      <w:r w:rsidRPr="00E222C2">
        <w:rPr>
          <w:rStyle w:val="FootnoteReference"/>
          <w:rFonts w:ascii="Arial" w:hAnsi="Arial"/>
          <w:sz w:val="16"/>
          <w:szCs w:val="16"/>
        </w:rPr>
        <w:footnoteRef/>
      </w:r>
      <w:r w:rsidRPr="00E222C2">
        <w:rPr>
          <w:rFonts w:ascii="Arial" w:hAnsi="Arial"/>
          <w:sz w:val="16"/>
          <w:szCs w:val="16"/>
        </w:rPr>
        <w:t xml:space="preserve"> </w:t>
      </w:r>
      <w:r>
        <w:rPr>
          <w:rFonts w:ascii="Arial" w:hAnsi="Arial"/>
          <w:sz w:val="16"/>
          <w:szCs w:val="16"/>
        </w:rPr>
        <w:tab/>
      </w:r>
      <w:r w:rsidRPr="00E222C2">
        <w:rPr>
          <w:rFonts w:ascii="Arial" w:hAnsi="Arial"/>
          <w:sz w:val="16"/>
          <w:szCs w:val="16"/>
        </w:rPr>
        <w:t>The New Zealand Government funds around 71,000 social housing rentals through the income-related-rent subsidy. Of the 71,000, around 10,000 social housing places are provided by community housing providers, and 61,000 by Kāinga Ora (a Crown agency</w:t>
      </w:r>
      <w:r>
        <w:rPr>
          <w:rFonts w:ascii="Arial" w:hAnsi="Arial"/>
          <w:sz w:val="16"/>
          <w:szCs w:val="16"/>
        </w:rPr>
        <w:t xml:space="preserve"> created in 2019, bringing together Housing New Zealand and the KiwiBuild Unit from the Ministry of Housing)</w:t>
      </w:r>
      <w:r w:rsidRPr="00E222C2">
        <w:rPr>
          <w:rFonts w:ascii="Arial" w:hAnsi="Arial"/>
          <w:sz w:val="16"/>
          <w:szCs w:val="16"/>
        </w:rPr>
        <w:t>.</w:t>
      </w:r>
      <w:r>
        <w:rPr>
          <w:rFonts w:ascii="Arial" w:hAnsi="Arial"/>
          <w:sz w:val="16"/>
          <w:szCs w:val="16"/>
        </w:rPr>
        <w:t xml:space="preserve"> Around </w:t>
      </w:r>
      <w:r w:rsidRPr="00E222C2">
        <w:rPr>
          <w:rFonts w:ascii="Arial" w:hAnsi="Arial"/>
          <w:sz w:val="16"/>
          <w:szCs w:val="16"/>
        </w:rPr>
        <w:t>4.5 per cent of all residential properties in New Zealand are Housing New Zealand properties.</w:t>
      </w:r>
    </w:p>
  </w:footnote>
  <w:footnote w:id="13">
    <w:p w14:paraId="764AC05E" w14:textId="34B8A468" w:rsidR="006252D5" w:rsidRPr="00120707" w:rsidRDefault="006252D5" w:rsidP="00644D50">
      <w:pPr>
        <w:spacing w:after="0" w:line="240" w:lineRule="auto"/>
        <w:ind w:left="284" w:hanging="284"/>
        <w:rPr>
          <w:rFonts w:ascii="Arial Mäori" w:hAnsi="Arial Mäori" w:cs="Calibri"/>
          <w:sz w:val="16"/>
          <w:szCs w:val="16"/>
        </w:rPr>
      </w:pPr>
      <w:r w:rsidRPr="00120707">
        <w:rPr>
          <w:rStyle w:val="FootnoteReference"/>
          <w:rFonts w:ascii="Arial" w:hAnsi="Arial"/>
          <w:sz w:val="16"/>
          <w:szCs w:val="16"/>
        </w:rPr>
        <w:footnoteRef/>
      </w:r>
      <w:r w:rsidRPr="00120707">
        <w:rPr>
          <w:rFonts w:ascii="Arial" w:hAnsi="Arial"/>
          <w:sz w:val="16"/>
          <w:szCs w:val="16"/>
        </w:rPr>
        <w:t xml:space="preserve"> </w:t>
      </w:r>
      <w:r>
        <w:rPr>
          <w:rFonts w:ascii="Arial" w:hAnsi="Arial"/>
          <w:sz w:val="16"/>
          <w:szCs w:val="16"/>
        </w:rPr>
        <w:tab/>
      </w:r>
      <w:r w:rsidRPr="00120707">
        <w:rPr>
          <w:rFonts w:ascii="Arial" w:hAnsi="Arial"/>
          <w:sz w:val="16"/>
          <w:szCs w:val="16"/>
        </w:rPr>
        <w:t>This drops to around two-thirds when counting individuals, as 65+ households are smaller on average than under 65 households.</w:t>
      </w:r>
    </w:p>
    <w:p w14:paraId="2CC2BC0D" w14:textId="77777777" w:rsidR="006252D5" w:rsidRPr="008B5C1F" w:rsidRDefault="006252D5" w:rsidP="00FB15F7">
      <w:pPr>
        <w:pStyle w:val="FootnoteText"/>
        <w:ind w:left="284" w:hanging="284"/>
        <w:rPr>
          <w:rFonts w:ascii="Arial" w:hAnsi="Arial"/>
        </w:rPr>
      </w:pPr>
      <w:r>
        <w:rPr>
          <w:rFonts w:ascii="Arial" w:hAnsi="Arial"/>
        </w:rPr>
        <w:tab/>
      </w:r>
    </w:p>
  </w:footnote>
  <w:footnote w:id="14">
    <w:p w14:paraId="3F3494E0" w14:textId="59379BCF" w:rsidR="006252D5" w:rsidRPr="005E3DD7" w:rsidRDefault="006252D5" w:rsidP="005E3DD7">
      <w:pPr>
        <w:spacing w:after="60" w:line="240" w:lineRule="auto"/>
        <w:ind w:left="284" w:hanging="284"/>
        <w:jc w:val="both"/>
        <w:rPr>
          <w:sz w:val="16"/>
          <w:szCs w:val="16"/>
        </w:rPr>
      </w:pPr>
      <w:r w:rsidRPr="005E3DD7">
        <w:rPr>
          <w:rStyle w:val="FootnoteReference"/>
          <w:rFonts w:ascii="Arial" w:hAnsi="Arial"/>
          <w:sz w:val="16"/>
          <w:szCs w:val="16"/>
        </w:rPr>
        <w:footnoteRef/>
      </w:r>
      <w:r w:rsidRPr="005E3DD7">
        <w:rPr>
          <w:rFonts w:ascii="Arial" w:hAnsi="Arial"/>
          <w:sz w:val="16"/>
          <w:szCs w:val="16"/>
        </w:rPr>
        <w:t xml:space="preserve"> </w:t>
      </w:r>
      <w:r w:rsidRPr="005E3DD7">
        <w:rPr>
          <w:rFonts w:ascii="Arial" w:hAnsi="Arial"/>
          <w:sz w:val="16"/>
          <w:szCs w:val="16"/>
        </w:rPr>
        <w:tab/>
        <w:t xml:space="preserve">It is worth noting </w:t>
      </w:r>
      <w:r>
        <w:rPr>
          <w:rFonts w:ascii="Arial" w:hAnsi="Arial"/>
          <w:sz w:val="16"/>
          <w:szCs w:val="16"/>
        </w:rPr>
        <w:t xml:space="preserve">though </w:t>
      </w:r>
      <w:r w:rsidRPr="005E3DD7">
        <w:rPr>
          <w:rFonts w:ascii="Arial" w:hAnsi="Arial"/>
          <w:sz w:val="16"/>
          <w:szCs w:val="16"/>
        </w:rPr>
        <w:t xml:space="preserve">that </w:t>
      </w:r>
      <w:r>
        <w:rPr>
          <w:rFonts w:ascii="Arial" w:hAnsi="Arial"/>
          <w:sz w:val="16"/>
          <w:szCs w:val="16"/>
        </w:rPr>
        <w:t xml:space="preserve">the </w:t>
      </w:r>
      <w:r w:rsidRPr="005E3DD7">
        <w:rPr>
          <w:rFonts w:ascii="Arial" w:eastAsia="Times New Roman" w:hAnsi="Arial"/>
          <w:sz w:val="16"/>
          <w:szCs w:val="16"/>
          <w:lang w:val="en-GB"/>
        </w:rPr>
        <w:t>rankings are nevertheless remarkably stable year on year for key (un)affordability statistics.</w:t>
      </w:r>
    </w:p>
  </w:footnote>
  <w:footnote w:id="15">
    <w:p w14:paraId="2CBEF87C" w14:textId="257FCAA2" w:rsidR="006252D5" w:rsidRPr="005E3DD7" w:rsidRDefault="006252D5" w:rsidP="005E3DD7">
      <w:pPr>
        <w:pStyle w:val="FootnoteText"/>
        <w:ind w:left="284" w:hanging="284"/>
        <w:rPr>
          <w:rFonts w:ascii="Arial" w:hAnsi="Arial"/>
          <w:sz w:val="16"/>
          <w:szCs w:val="16"/>
        </w:rPr>
      </w:pPr>
      <w:r w:rsidRPr="005E3DD7">
        <w:rPr>
          <w:rStyle w:val="FootnoteReference"/>
          <w:rFonts w:ascii="Arial" w:hAnsi="Arial"/>
          <w:sz w:val="16"/>
          <w:szCs w:val="16"/>
        </w:rPr>
        <w:footnoteRef/>
      </w:r>
      <w:r w:rsidRPr="005E3DD7">
        <w:rPr>
          <w:rFonts w:ascii="Arial" w:hAnsi="Arial"/>
          <w:sz w:val="16"/>
          <w:szCs w:val="16"/>
        </w:rPr>
        <w:t xml:space="preserve"> </w:t>
      </w:r>
      <w:r>
        <w:rPr>
          <w:rFonts w:ascii="Arial" w:hAnsi="Arial"/>
          <w:sz w:val="16"/>
          <w:szCs w:val="16"/>
        </w:rPr>
        <w:tab/>
        <w:t>For</w:t>
      </w:r>
      <w:r w:rsidRPr="005E3DD7">
        <w:rPr>
          <w:rFonts w:ascii="Arial" w:hAnsi="Arial"/>
          <w:sz w:val="16"/>
          <w:szCs w:val="16"/>
        </w:rPr>
        <w:t xml:space="preserve"> example,</w:t>
      </w:r>
      <w:r>
        <w:rPr>
          <w:rFonts w:ascii="Arial" w:hAnsi="Arial"/>
          <w:sz w:val="16"/>
          <w:szCs w:val="16"/>
        </w:rPr>
        <w:t xml:space="preserve"> see</w:t>
      </w:r>
      <w:r w:rsidRPr="005E3DD7">
        <w:rPr>
          <w:rFonts w:ascii="Arial" w:hAnsi="Arial"/>
          <w:sz w:val="16"/>
          <w:szCs w:val="16"/>
        </w:rPr>
        <w:t xml:space="preserve"> Johnson et al (2018) and Stats NZ (2020).</w:t>
      </w:r>
    </w:p>
  </w:footnote>
  <w:footnote w:id="16">
    <w:p w14:paraId="2D71C601" w14:textId="0B7C4918" w:rsidR="006252D5" w:rsidRPr="00E3596F" w:rsidRDefault="006252D5" w:rsidP="0038499F">
      <w:pPr>
        <w:pStyle w:val="FootnoteText"/>
        <w:ind w:left="284" w:hanging="284"/>
        <w:rPr>
          <w:rFonts w:ascii="Arial" w:hAnsi="Arial"/>
          <w:sz w:val="16"/>
          <w:szCs w:val="16"/>
        </w:rPr>
      </w:pPr>
      <w:r w:rsidRPr="00E3596F">
        <w:rPr>
          <w:rStyle w:val="FootnoteReference"/>
          <w:rFonts w:ascii="Arial" w:hAnsi="Arial"/>
          <w:sz w:val="16"/>
          <w:szCs w:val="16"/>
        </w:rPr>
        <w:footnoteRef/>
      </w:r>
      <w:r w:rsidRPr="00E3596F">
        <w:rPr>
          <w:rFonts w:ascii="Arial" w:hAnsi="Arial"/>
          <w:sz w:val="16"/>
          <w:szCs w:val="16"/>
        </w:rPr>
        <w:t xml:space="preserve"> </w:t>
      </w:r>
      <w:r w:rsidRPr="00E3596F">
        <w:rPr>
          <w:rFonts w:ascii="Arial" w:hAnsi="Arial"/>
          <w:sz w:val="16"/>
          <w:szCs w:val="16"/>
        </w:rPr>
        <w:tab/>
        <w:t>The housing affordability information on the OECD database ranges from 2017 to 2019. New Zealand data is from HES 2017-18, using MSD analysis. See also the box above on p14.</w:t>
      </w:r>
    </w:p>
  </w:footnote>
  <w:footnote w:id="17">
    <w:p w14:paraId="7D013559" w14:textId="6FF061AE" w:rsidR="006252D5" w:rsidRDefault="006252D5" w:rsidP="0038499F">
      <w:pPr>
        <w:pStyle w:val="FootnoteText"/>
        <w:spacing w:before="60"/>
        <w:ind w:left="284" w:hanging="284"/>
      </w:pPr>
      <w:r w:rsidRPr="00E3596F">
        <w:rPr>
          <w:rStyle w:val="FootnoteReference"/>
          <w:rFonts w:ascii="Arial" w:hAnsi="Arial"/>
          <w:sz w:val="16"/>
          <w:szCs w:val="16"/>
        </w:rPr>
        <w:footnoteRef/>
      </w:r>
      <w:r w:rsidRPr="00E3596F">
        <w:rPr>
          <w:rFonts w:ascii="Arial" w:hAnsi="Arial"/>
          <w:sz w:val="16"/>
          <w:szCs w:val="16"/>
        </w:rPr>
        <w:t xml:space="preserve"> </w:t>
      </w:r>
      <w:r w:rsidRPr="00E3596F">
        <w:rPr>
          <w:rFonts w:ascii="Arial" w:hAnsi="Arial"/>
          <w:sz w:val="16"/>
          <w:szCs w:val="16"/>
        </w:rPr>
        <w:tab/>
        <w:t xml:space="preserve">See </w:t>
      </w:r>
      <w:r w:rsidRPr="00E3596F">
        <w:rPr>
          <w:rFonts w:ascii="Arial" w:hAnsi="Arial"/>
          <w:b/>
          <w:bCs/>
          <w:sz w:val="16"/>
          <w:szCs w:val="16"/>
        </w:rPr>
        <w:t>Appendix 1</w:t>
      </w:r>
      <w:r w:rsidRPr="00E3596F">
        <w:rPr>
          <w:rFonts w:ascii="Arial" w:hAnsi="Arial"/>
          <w:sz w:val="16"/>
          <w:szCs w:val="16"/>
        </w:rPr>
        <w:t xml:space="preserve"> for</w:t>
      </w:r>
      <w:r w:rsidRPr="00C9054A">
        <w:rPr>
          <w:rFonts w:ascii="Arial" w:hAnsi="Arial"/>
          <w:sz w:val="16"/>
          <w:szCs w:val="16"/>
        </w:rPr>
        <w:t xml:space="preserve"> comparisons of material and financial hardship for those with higher and lower OTIs.</w:t>
      </w:r>
    </w:p>
  </w:footnote>
  <w:footnote w:id="18">
    <w:p w14:paraId="2865ADE8" w14:textId="0CF7EB4E" w:rsidR="006252D5" w:rsidRPr="00B73281" w:rsidRDefault="006252D5" w:rsidP="00BC2EEF">
      <w:pPr>
        <w:pStyle w:val="FootnoteText"/>
        <w:ind w:left="284" w:hanging="284"/>
        <w:rPr>
          <w:rFonts w:ascii="Arial" w:hAnsi="Arial"/>
          <w:sz w:val="16"/>
          <w:szCs w:val="16"/>
        </w:rPr>
      </w:pPr>
      <w:r w:rsidRPr="00B73281">
        <w:rPr>
          <w:rStyle w:val="FootnoteReference"/>
          <w:rFonts w:ascii="Arial" w:hAnsi="Arial"/>
          <w:sz w:val="16"/>
          <w:szCs w:val="16"/>
        </w:rPr>
        <w:footnoteRef/>
      </w:r>
      <w:r w:rsidRPr="00B73281">
        <w:rPr>
          <w:rFonts w:ascii="Arial" w:hAnsi="Arial"/>
          <w:sz w:val="16"/>
          <w:szCs w:val="16"/>
        </w:rPr>
        <w:t xml:space="preserve"> </w:t>
      </w:r>
      <w:r>
        <w:rPr>
          <w:rFonts w:ascii="Arial" w:hAnsi="Arial"/>
          <w:sz w:val="16"/>
          <w:szCs w:val="16"/>
        </w:rPr>
        <w:tab/>
      </w:r>
      <w:r w:rsidRPr="00B73281">
        <w:rPr>
          <w:rFonts w:ascii="Arial" w:hAnsi="Arial"/>
          <w:sz w:val="16"/>
          <w:szCs w:val="16"/>
        </w:rPr>
        <w:t>The New Zealand</w:t>
      </w:r>
      <w:r>
        <w:rPr>
          <w:rFonts w:ascii="Arial" w:hAnsi="Arial"/>
          <w:sz w:val="16"/>
          <w:szCs w:val="16"/>
        </w:rPr>
        <w:t xml:space="preserve"> Q1 private rental </w:t>
      </w:r>
      <w:r w:rsidRPr="00B73281">
        <w:rPr>
          <w:rFonts w:ascii="Arial" w:hAnsi="Arial"/>
          <w:sz w:val="16"/>
          <w:szCs w:val="16"/>
        </w:rPr>
        <w:t>figure (61%</w:t>
      </w:r>
      <w:r>
        <w:rPr>
          <w:rFonts w:ascii="Arial" w:hAnsi="Arial"/>
          <w:sz w:val="16"/>
          <w:szCs w:val="16"/>
        </w:rPr>
        <w:t xml:space="preserve"> from HES 2017-18</w:t>
      </w:r>
      <w:r w:rsidRPr="00B73281">
        <w:rPr>
          <w:rFonts w:ascii="Arial" w:hAnsi="Arial"/>
          <w:sz w:val="16"/>
          <w:szCs w:val="16"/>
        </w:rPr>
        <w:t>) is in line with</w:t>
      </w:r>
      <w:r>
        <w:rPr>
          <w:rFonts w:ascii="Arial" w:hAnsi="Arial"/>
          <w:sz w:val="16"/>
          <w:szCs w:val="16"/>
        </w:rPr>
        <w:t xml:space="preserve"> the HES 2016-17 figure (60%), and with </w:t>
      </w:r>
      <w:r w:rsidRPr="00B73281">
        <w:rPr>
          <w:rFonts w:ascii="Arial" w:hAnsi="Arial"/>
          <w:sz w:val="16"/>
          <w:szCs w:val="16"/>
        </w:rPr>
        <w:t xml:space="preserve">75% figure for </w:t>
      </w:r>
      <w:r>
        <w:rPr>
          <w:rFonts w:ascii="Arial" w:hAnsi="Arial"/>
          <w:sz w:val="16"/>
          <w:szCs w:val="16"/>
        </w:rPr>
        <w:t xml:space="preserve">Q1 </w:t>
      </w:r>
      <w:r w:rsidRPr="00B73281">
        <w:rPr>
          <w:rFonts w:ascii="Arial" w:hAnsi="Arial"/>
          <w:sz w:val="16"/>
          <w:szCs w:val="16"/>
        </w:rPr>
        <w:t>under 65 year olds published by MSD in the 2019 Household Incomes Report using a slightly different methodology</w:t>
      </w:r>
      <w:r>
        <w:rPr>
          <w:rFonts w:ascii="Arial" w:hAnsi="Arial"/>
          <w:sz w:val="16"/>
          <w:szCs w:val="16"/>
        </w:rPr>
        <w:t xml:space="preserve"> (Perry, 2019: Figure C.16).</w:t>
      </w:r>
    </w:p>
  </w:footnote>
  <w:footnote w:id="19">
    <w:p w14:paraId="3B80F94E" w14:textId="1978700A" w:rsidR="006252D5" w:rsidRPr="00786AE8" w:rsidRDefault="006252D5" w:rsidP="004C44A1">
      <w:pPr>
        <w:pStyle w:val="FootnoteText"/>
        <w:ind w:left="284" w:hanging="284"/>
        <w:rPr>
          <w:rFonts w:ascii="Arial" w:hAnsi="Arial"/>
          <w:b/>
          <w:bCs/>
          <w:color w:val="FF0000"/>
          <w:sz w:val="16"/>
          <w:szCs w:val="16"/>
        </w:rPr>
      </w:pPr>
      <w:r w:rsidRPr="00885387">
        <w:rPr>
          <w:rStyle w:val="FootnoteReference"/>
          <w:rFonts w:ascii="Arial" w:hAnsi="Arial"/>
          <w:sz w:val="16"/>
          <w:szCs w:val="16"/>
        </w:rPr>
        <w:footnoteRef/>
      </w:r>
      <w:r w:rsidRPr="00885387">
        <w:rPr>
          <w:rFonts w:ascii="Arial" w:hAnsi="Arial"/>
          <w:sz w:val="16"/>
          <w:szCs w:val="16"/>
        </w:rPr>
        <w:t xml:space="preserve"> </w:t>
      </w:r>
      <w:r w:rsidRPr="00885387">
        <w:rPr>
          <w:rFonts w:ascii="Arial" w:hAnsi="Arial"/>
          <w:sz w:val="16"/>
          <w:szCs w:val="16"/>
        </w:rPr>
        <w:tab/>
        <w:t>Mortgage repayments for 65+ households in Q1 are on average around $6,000 pa compared with around $12,000 pa for under 65s in Q1. Older New Zealanders (65+) with incomes from NZS alone or NZS and a little more are likely to experience material hardship if they are still paying off a mortgage even at only $6000 pa. Those paying market rent at, say, $12,000 pa ($230pw) are likely to be in an even more perilous situation even with assistance from the AS.</w:t>
      </w:r>
    </w:p>
  </w:footnote>
  <w:footnote w:id="20">
    <w:p w14:paraId="30D5BD5A" w14:textId="79381568" w:rsidR="006252D5" w:rsidRPr="00786AE8" w:rsidRDefault="006252D5" w:rsidP="00DB6CDB">
      <w:pPr>
        <w:pStyle w:val="FootnoteText"/>
        <w:ind w:left="284" w:hanging="284"/>
        <w:rPr>
          <w:rFonts w:ascii="Arial" w:hAnsi="Arial"/>
          <w:b/>
          <w:bCs/>
          <w:color w:val="FF0000"/>
          <w:sz w:val="16"/>
          <w:szCs w:val="16"/>
        </w:rPr>
      </w:pPr>
      <w:r w:rsidRPr="004C44A1">
        <w:rPr>
          <w:rStyle w:val="FootnoteReference"/>
          <w:rFonts w:ascii="Arial" w:hAnsi="Arial"/>
          <w:sz w:val="16"/>
          <w:szCs w:val="16"/>
        </w:rPr>
        <w:footnoteRef/>
      </w:r>
      <w:r w:rsidRPr="004C44A1">
        <w:rPr>
          <w:rFonts w:ascii="Arial" w:hAnsi="Arial"/>
          <w:sz w:val="16"/>
          <w:szCs w:val="16"/>
        </w:rPr>
        <w:t xml:space="preserve"> </w:t>
      </w:r>
      <w:r>
        <w:rPr>
          <w:rFonts w:ascii="Arial" w:hAnsi="Arial"/>
          <w:sz w:val="16"/>
          <w:szCs w:val="16"/>
        </w:rPr>
        <w:tab/>
        <w:t>Mortgage repayments for 65+ households in Q1 are on average around $6,000 pa compared with around $12,000 pa for under 65s in Q1. See also p18 above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1617198"/>
      <w:docPartObj>
        <w:docPartGallery w:val="Page Numbers (Top of Page)"/>
        <w:docPartUnique/>
      </w:docPartObj>
    </w:sdtPr>
    <w:sdtEndPr>
      <w:rPr>
        <w:rFonts w:ascii="Arial" w:hAnsi="Arial"/>
        <w:noProof/>
      </w:rPr>
    </w:sdtEndPr>
    <w:sdtContent>
      <w:p w14:paraId="3B66BF41" w14:textId="77777777" w:rsidR="006252D5" w:rsidRPr="004A3377" w:rsidRDefault="006252D5">
        <w:pPr>
          <w:pStyle w:val="Header"/>
          <w:jc w:val="right"/>
          <w:rPr>
            <w:rFonts w:ascii="Arial" w:hAnsi="Arial"/>
          </w:rPr>
        </w:pPr>
        <w:r w:rsidRPr="004A3377">
          <w:rPr>
            <w:rFonts w:ascii="Arial" w:hAnsi="Arial"/>
          </w:rPr>
          <w:fldChar w:fldCharType="begin"/>
        </w:r>
        <w:r w:rsidRPr="004A3377">
          <w:rPr>
            <w:rFonts w:ascii="Arial" w:hAnsi="Arial"/>
          </w:rPr>
          <w:instrText xml:space="preserve"> PAGE   \* MERGEFORMAT </w:instrText>
        </w:r>
        <w:r w:rsidRPr="004A3377">
          <w:rPr>
            <w:rFonts w:ascii="Arial" w:hAnsi="Arial"/>
          </w:rPr>
          <w:fldChar w:fldCharType="separate"/>
        </w:r>
        <w:r w:rsidRPr="004A3377">
          <w:rPr>
            <w:rFonts w:ascii="Arial" w:hAnsi="Arial"/>
            <w:noProof/>
          </w:rPr>
          <w:t>2</w:t>
        </w:r>
        <w:r w:rsidRPr="004A3377">
          <w:rPr>
            <w:rFonts w:ascii="Arial" w:hAnsi="Arial"/>
            <w:noProof/>
          </w:rPr>
          <w:fldChar w:fldCharType="end"/>
        </w:r>
      </w:p>
    </w:sdtContent>
  </w:sdt>
  <w:p w14:paraId="6FC3F97A" w14:textId="77777777" w:rsidR="006252D5" w:rsidRDefault="0062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A60CC6"/>
    <w:multiLevelType w:val="hybridMultilevel"/>
    <w:tmpl w:val="53C07F70"/>
    <w:lvl w:ilvl="0" w:tplc="14090001">
      <w:start w:val="1"/>
      <w:numFmt w:val="bullet"/>
      <w:lvlText w:val=""/>
      <w:lvlJc w:val="left"/>
      <w:pPr>
        <w:ind w:left="1570" w:hanging="360"/>
      </w:pPr>
      <w:rPr>
        <w:rFonts w:ascii="Symbol" w:hAnsi="Symbol"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3" w15:restartNumberingAfterBreak="0">
    <w:nsid w:val="05BE7EFC"/>
    <w:multiLevelType w:val="hybridMultilevel"/>
    <w:tmpl w:val="A49A19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907873"/>
    <w:multiLevelType w:val="hybridMultilevel"/>
    <w:tmpl w:val="E9B2E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FB07E4"/>
    <w:multiLevelType w:val="hybridMultilevel"/>
    <w:tmpl w:val="93803D6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07335C86"/>
    <w:multiLevelType w:val="hybridMultilevel"/>
    <w:tmpl w:val="7B84D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99F49A6"/>
    <w:multiLevelType w:val="hybridMultilevel"/>
    <w:tmpl w:val="3D100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D04E54"/>
    <w:multiLevelType w:val="hybridMultilevel"/>
    <w:tmpl w:val="3ED03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871837"/>
    <w:multiLevelType w:val="hybridMultilevel"/>
    <w:tmpl w:val="74D81C38"/>
    <w:lvl w:ilvl="0" w:tplc="DC1EF804">
      <w:numFmt w:val="bullet"/>
      <w:lvlText w:val="-"/>
      <w:lvlJc w:val="left"/>
      <w:pPr>
        <w:ind w:left="927" w:hanging="360"/>
      </w:pPr>
      <w:rPr>
        <w:rFonts w:ascii="Arial" w:eastAsia="Times New Roman" w:hAnsi="Arial" w:cs="Aria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0"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3" w15:restartNumberingAfterBreak="0">
    <w:nsid w:val="1AFF7067"/>
    <w:multiLevelType w:val="hybridMultilevel"/>
    <w:tmpl w:val="D3D88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4856BC"/>
    <w:multiLevelType w:val="hybridMultilevel"/>
    <w:tmpl w:val="64548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2A372FE"/>
    <w:multiLevelType w:val="hybridMultilevel"/>
    <w:tmpl w:val="A290DA5E"/>
    <w:lvl w:ilvl="0" w:tplc="14090001">
      <w:start w:val="1"/>
      <w:numFmt w:val="bullet"/>
      <w:lvlText w:val=""/>
      <w:lvlJc w:val="left"/>
      <w:pPr>
        <w:ind w:left="1570" w:hanging="360"/>
      </w:pPr>
      <w:rPr>
        <w:rFonts w:ascii="Symbol" w:hAnsi="Symbol"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6" w15:restartNumberingAfterBreak="0">
    <w:nsid w:val="25851343"/>
    <w:multiLevelType w:val="hybridMultilevel"/>
    <w:tmpl w:val="38C44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58E7B9E"/>
    <w:multiLevelType w:val="hybridMultilevel"/>
    <w:tmpl w:val="4F5879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96B35D8"/>
    <w:multiLevelType w:val="hybridMultilevel"/>
    <w:tmpl w:val="F6FE1ED4"/>
    <w:lvl w:ilvl="0" w:tplc="9252EE28">
      <w:numFmt w:val="bullet"/>
      <w:lvlText w:val="-"/>
      <w:lvlJc w:val="left"/>
      <w:pPr>
        <w:ind w:left="1210" w:hanging="360"/>
      </w:pPr>
      <w:rPr>
        <w:rFonts w:ascii="Arial" w:eastAsia="Times New Roman" w:hAnsi="Arial" w:cs="Arial" w:hint="default"/>
      </w:rPr>
    </w:lvl>
    <w:lvl w:ilvl="1" w:tplc="14090003" w:tentative="1">
      <w:start w:val="1"/>
      <w:numFmt w:val="bullet"/>
      <w:lvlText w:val="o"/>
      <w:lvlJc w:val="left"/>
      <w:pPr>
        <w:ind w:left="1930" w:hanging="360"/>
      </w:pPr>
      <w:rPr>
        <w:rFonts w:ascii="Courier New" w:hAnsi="Courier New" w:cs="Courier New" w:hint="default"/>
      </w:rPr>
    </w:lvl>
    <w:lvl w:ilvl="2" w:tplc="14090005" w:tentative="1">
      <w:start w:val="1"/>
      <w:numFmt w:val="bullet"/>
      <w:lvlText w:val=""/>
      <w:lvlJc w:val="left"/>
      <w:pPr>
        <w:ind w:left="2650" w:hanging="360"/>
      </w:pPr>
      <w:rPr>
        <w:rFonts w:ascii="Wingdings" w:hAnsi="Wingdings" w:hint="default"/>
      </w:rPr>
    </w:lvl>
    <w:lvl w:ilvl="3" w:tplc="14090001" w:tentative="1">
      <w:start w:val="1"/>
      <w:numFmt w:val="bullet"/>
      <w:lvlText w:val=""/>
      <w:lvlJc w:val="left"/>
      <w:pPr>
        <w:ind w:left="3370" w:hanging="360"/>
      </w:pPr>
      <w:rPr>
        <w:rFonts w:ascii="Symbol" w:hAnsi="Symbol" w:hint="default"/>
      </w:rPr>
    </w:lvl>
    <w:lvl w:ilvl="4" w:tplc="14090003" w:tentative="1">
      <w:start w:val="1"/>
      <w:numFmt w:val="bullet"/>
      <w:lvlText w:val="o"/>
      <w:lvlJc w:val="left"/>
      <w:pPr>
        <w:ind w:left="4090" w:hanging="360"/>
      </w:pPr>
      <w:rPr>
        <w:rFonts w:ascii="Courier New" w:hAnsi="Courier New" w:cs="Courier New" w:hint="default"/>
      </w:rPr>
    </w:lvl>
    <w:lvl w:ilvl="5" w:tplc="14090005" w:tentative="1">
      <w:start w:val="1"/>
      <w:numFmt w:val="bullet"/>
      <w:lvlText w:val=""/>
      <w:lvlJc w:val="left"/>
      <w:pPr>
        <w:ind w:left="4810" w:hanging="360"/>
      </w:pPr>
      <w:rPr>
        <w:rFonts w:ascii="Wingdings" w:hAnsi="Wingdings" w:hint="default"/>
      </w:rPr>
    </w:lvl>
    <w:lvl w:ilvl="6" w:tplc="14090001" w:tentative="1">
      <w:start w:val="1"/>
      <w:numFmt w:val="bullet"/>
      <w:lvlText w:val=""/>
      <w:lvlJc w:val="left"/>
      <w:pPr>
        <w:ind w:left="5530" w:hanging="360"/>
      </w:pPr>
      <w:rPr>
        <w:rFonts w:ascii="Symbol" w:hAnsi="Symbol" w:hint="default"/>
      </w:rPr>
    </w:lvl>
    <w:lvl w:ilvl="7" w:tplc="14090003" w:tentative="1">
      <w:start w:val="1"/>
      <w:numFmt w:val="bullet"/>
      <w:lvlText w:val="o"/>
      <w:lvlJc w:val="left"/>
      <w:pPr>
        <w:ind w:left="6250" w:hanging="360"/>
      </w:pPr>
      <w:rPr>
        <w:rFonts w:ascii="Courier New" w:hAnsi="Courier New" w:cs="Courier New" w:hint="default"/>
      </w:rPr>
    </w:lvl>
    <w:lvl w:ilvl="8" w:tplc="14090005" w:tentative="1">
      <w:start w:val="1"/>
      <w:numFmt w:val="bullet"/>
      <w:lvlText w:val=""/>
      <w:lvlJc w:val="left"/>
      <w:pPr>
        <w:ind w:left="6970" w:hanging="360"/>
      </w:pPr>
      <w:rPr>
        <w:rFonts w:ascii="Wingdings" w:hAnsi="Wingdings" w:hint="default"/>
      </w:rPr>
    </w:lvl>
  </w:abstractNum>
  <w:abstractNum w:abstractNumId="19" w15:restartNumberingAfterBreak="0">
    <w:nsid w:val="29C112ED"/>
    <w:multiLevelType w:val="hybridMultilevel"/>
    <w:tmpl w:val="7E6EA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A8021CC"/>
    <w:multiLevelType w:val="hybridMultilevel"/>
    <w:tmpl w:val="6D084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B4653D9"/>
    <w:multiLevelType w:val="hybridMultilevel"/>
    <w:tmpl w:val="E1120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E511D6E"/>
    <w:multiLevelType w:val="hybridMultilevel"/>
    <w:tmpl w:val="92566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0880A8C"/>
    <w:multiLevelType w:val="hybridMultilevel"/>
    <w:tmpl w:val="7B561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DD1714"/>
    <w:multiLevelType w:val="hybridMultilevel"/>
    <w:tmpl w:val="153C10CE"/>
    <w:lvl w:ilvl="0" w:tplc="94005340">
      <w:start w:val="1"/>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37A74393"/>
    <w:multiLevelType w:val="hybridMultilevel"/>
    <w:tmpl w:val="1F742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7AB6ABC"/>
    <w:multiLevelType w:val="hybridMultilevel"/>
    <w:tmpl w:val="E7287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9A3673D"/>
    <w:multiLevelType w:val="hybridMultilevel"/>
    <w:tmpl w:val="CBEEE12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406520DC"/>
    <w:multiLevelType w:val="hybridMultilevel"/>
    <w:tmpl w:val="21F41622"/>
    <w:lvl w:ilvl="0" w:tplc="9BF80C3E">
      <w:start w:val="1"/>
      <w:numFmt w:val="decimal"/>
      <w:lvlText w:val="%1"/>
      <w:lvlJc w:val="left"/>
      <w:pPr>
        <w:ind w:left="1636" w:hanging="36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29" w15:restartNumberingAfterBreak="0">
    <w:nsid w:val="46060F2B"/>
    <w:multiLevelType w:val="hybridMultilevel"/>
    <w:tmpl w:val="1D92D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1A080C"/>
    <w:multiLevelType w:val="hybridMultilevel"/>
    <w:tmpl w:val="BC662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DA03BD5"/>
    <w:multiLevelType w:val="hybridMultilevel"/>
    <w:tmpl w:val="54D28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4882F90"/>
    <w:multiLevelType w:val="hybridMultilevel"/>
    <w:tmpl w:val="D80E3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4C7214E"/>
    <w:multiLevelType w:val="hybridMultilevel"/>
    <w:tmpl w:val="B3AA2B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608435C"/>
    <w:multiLevelType w:val="hybridMultilevel"/>
    <w:tmpl w:val="C7827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BE24485"/>
    <w:multiLevelType w:val="hybridMultilevel"/>
    <w:tmpl w:val="D9EA9DC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CA7473A"/>
    <w:multiLevelType w:val="hybridMultilevel"/>
    <w:tmpl w:val="7F1CDD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F6D2B24"/>
    <w:multiLevelType w:val="hybridMultilevel"/>
    <w:tmpl w:val="64B4A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3964094"/>
    <w:multiLevelType w:val="hybridMultilevel"/>
    <w:tmpl w:val="7EDE7D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3C40FF7"/>
    <w:multiLevelType w:val="hybridMultilevel"/>
    <w:tmpl w:val="3E3AC28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B1A05E8"/>
    <w:multiLevelType w:val="hybridMultilevel"/>
    <w:tmpl w:val="9D369CD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C9B3F98"/>
    <w:multiLevelType w:val="hybridMultilevel"/>
    <w:tmpl w:val="E27E9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E7C579E"/>
    <w:multiLevelType w:val="hybridMultilevel"/>
    <w:tmpl w:val="28F6EF12"/>
    <w:lvl w:ilvl="0" w:tplc="14090001">
      <w:start w:val="1"/>
      <w:numFmt w:val="bullet"/>
      <w:lvlText w:val=""/>
      <w:lvlJc w:val="left"/>
      <w:pPr>
        <w:ind w:left="1930" w:hanging="360"/>
      </w:pPr>
      <w:rPr>
        <w:rFonts w:ascii="Symbol" w:hAnsi="Symbol" w:hint="default"/>
      </w:rPr>
    </w:lvl>
    <w:lvl w:ilvl="1" w:tplc="14090003" w:tentative="1">
      <w:start w:val="1"/>
      <w:numFmt w:val="bullet"/>
      <w:lvlText w:val="o"/>
      <w:lvlJc w:val="left"/>
      <w:pPr>
        <w:ind w:left="2650" w:hanging="360"/>
      </w:pPr>
      <w:rPr>
        <w:rFonts w:ascii="Courier New" w:hAnsi="Courier New" w:cs="Courier New" w:hint="default"/>
      </w:rPr>
    </w:lvl>
    <w:lvl w:ilvl="2" w:tplc="14090005" w:tentative="1">
      <w:start w:val="1"/>
      <w:numFmt w:val="bullet"/>
      <w:lvlText w:val=""/>
      <w:lvlJc w:val="left"/>
      <w:pPr>
        <w:ind w:left="3370" w:hanging="360"/>
      </w:pPr>
      <w:rPr>
        <w:rFonts w:ascii="Wingdings" w:hAnsi="Wingdings" w:hint="default"/>
      </w:rPr>
    </w:lvl>
    <w:lvl w:ilvl="3" w:tplc="14090001" w:tentative="1">
      <w:start w:val="1"/>
      <w:numFmt w:val="bullet"/>
      <w:lvlText w:val=""/>
      <w:lvlJc w:val="left"/>
      <w:pPr>
        <w:ind w:left="4090" w:hanging="360"/>
      </w:pPr>
      <w:rPr>
        <w:rFonts w:ascii="Symbol" w:hAnsi="Symbol" w:hint="default"/>
      </w:rPr>
    </w:lvl>
    <w:lvl w:ilvl="4" w:tplc="14090003" w:tentative="1">
      <w:start w:val="1"/>
      <w:numFmt w:val="bullet"/>
      <w:lvlText w:val="o"/>
      <w:lvlJc w:val="left"/>
      <w:pPr>
        <w:ind w:left="4810" w:hanging="360"/>
      </w:pPr>
      <w:rPr>
        <w:rFonts w:ascii="Courier New" w:hAnsi="Courier New" w:cs="Courier New" w:hint="default"/>
      </w:rPr>
    </w:lvl>
    <w:lvl w:ilvl="5" w:tplc="14090005" w:tentative="1">
      <w:start w:val="1"/>
      <w:numFmt w:val="bullet"/>
      <w:lvlText w:val=""/>
      <w:lvlJc w:val="left"/>
      <w:pPr>
        <w:ind w:left="5530" w:hanging="360"/>
      </w:pPr>
      <w:rPr>
        <w:rFonts w:ascii="Wingdings" w:hAnsi="Wingdings" w:hint="default"/>
      </w:rPr>
    </w:lvl>
    <w:lvl w:ilvl="6" w:tplc="14090001" w:tentative="1">
      <w:start w:val="1"/>
      <w:numFmt w:val="bullet"/>
      <w:lvlText w:val=""/>
      <w:lvlJc w:val="left"/>
      <w:pPr>
        <w:ind w:left="6250" w:hanging="360"/>
      </w:pPr>
      <w:rPr>
        <w:rFonts w:ascii="Symbol" w:hAnsi="Symbol" w:hint="default"/>
      </w:rPr>
    </w:lvl>
    <w:lvl w:ilvl="7" w:tplc="14090003" w:tentative="1">
      <w:start w:val="1"/>
      <w:numFmt w:val="bullet"/>
      <w:lvlText w:val="o"/>
      <w:lvlJc w:val="left"/>
      <w:pPr>
        <w:ind w:left="6970" w:hanging="360"/>
      </w:pPr>
      <w:rPr>
        <w:rFonts w:ascii="Courier New" w:hAnsi="Courier New" w:cs="Courier New" w:hint="default"/>
      </w:rPr>
    </w:lvl>
    <w:lvl w:ilvl="8" w:tplc="14090005" w:tentative="1">
      <w:start w:val="1"/>
      <w:numFmt w:val="bullet"/>
      <w:lvlText w:val=""/>
      <w:lvlJc w:val="left"/>
      <w:pPr>
        <w:ind w:left="7690" w:hanging="360"/>
      </w:pPr>
      <w:rPr>
        <w:rFonts w:ascii="Wingdings" w:hAnsi="Wingdings" w:hint="default"/>
      </w:rPr>
    </w:lvl>
  </w:abstractNum>
  <w:abstractNum w:abstractNumId="44" w15:restartNumberingAfterBreak="0">
    <w:nsid w:val="714D5D9A"/>
    <w:multiLevelType w:val="hybridMultilevel"/>
    <w:tmpl w:val="16F032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F000772"/>
    <w:multiLevelType w:val="hybridMultilevel"/>
    <w:tmpl w:val="8670D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10"/>
  </w:num>
  <w:num w:numId="5">
    <w:abstractNumId w:val="11"/>
  </w:num>
  <w:num w:numId="6">
    <w:abstractNumId w:val="32"/>
  </w:num>
  <w:num w:numId="7">
    <w:abstractNumId w:val="26"/>
  </w:num>
  <w:num w:numId="8">
    <w:abstractNumId w:val="20"/>
  </w:num>
  <w:num w:numId="9">
    <w:abstractNumId w:val="44"/>
  </w:num>
  <w:num w:numId="10">
    <w:abstractNumId w:val="45"/>
  </w:num>
  <w:num w:numId="11">
    <w:abstractNumId w:val="17"/>
  </w:num>
  <w:num w:numId="12">
    <w:abstractNumId w:val="38"/>
  </w:num>
  <w:num w:numId="13">
    <w:abstractNumId w:val="6"/>
  </w:num>
  <w:num w:numId="14">
    <w:abstractNumId w:val="23"/>
  </w:num>
  <w:num w:numId="15">
    <w:abstractNumId w:val="14"/>
  </w:num>
  <w:num w:numId="16">
    <w:abstractNumId w:val="34"/>
  </w:num>
  <w:num w:numId="17">
    <w:abstractNumId w:val="19"/>
  </w:num>
  <w:num w:numId="18">
    <w:abstractNumId w:val="7"/>
  </w:num>
  <w:num w:numId="19">
    <w:abstractNumId w:val="35"/>
  </w:num>
  <w:num w:numId="20">
    <w:abstractNumId w:val="25"/>
  </w:num>
  <w:num w:numId="21">
    <w:abstractNumId w:val="15"/>
  </w:num>
  <w:num w:numId="22">
    <w:abstractNumId w:val="24"/>
  </w:num>
  <w:num w:numId="23">
    <w:abstractNumId w:val="4"/>
  </w:num>
  <w:num w:numId="24">
    <w:abstractNumId w:val="18"/>
  </w:num>
  <w:num w:numId="25">
    <w:abstractNumId w:val="9"/>
  </w:num>
  <w:num w:numId="26">
    <w:abstractNumId w:val="2"/>
  </w:num>
  <w:num w:numId="27">
    <w:abstractNumId w:val="43"/>
  </w:num>
  <w:num w:numId="28">
    <w:abstractNumId w:val="33"/>
  </w:num>
  <w:num w:numId="29">
    <w:abstractNumId w:val="43"/>
  </w:num>
  <w:num w:numId="30">
    <w:abstractNumId w:val="37"/>
  </w:num>
  <w:num w:numId="31">
    <w:abstractNumId w:val="29"/>
  </w:num>
  <w:num w:numId="32">
    <w:abstractNumId w:val="42"/>
  </w:num>
  <w:num w:numId="33">
    <w:abstractNumId w:val="31"/>
  </w:num>
  <w:num w:numId="34">
    <w:abstractNumId w:val="27"/>
  </w:num>
  <w:num w:numId="35">
    <w:abstractNumId w:val="30"/>
  </w:num>
  <w:num w:numId="36">
    <w:abstractNumId w:val="8"/>
  </w:num>
  <w:num w:numId="37">
    <w:abstractNumId w:val="5"/>
  </w:num>
  <w:num w:numId="38">
    <w:abstractNumId w:val="21"/>
  </w:num>
  <w:num w:numId="39">
    <w:abstractNumId w:val="28"/>
  </w:num>
  <w:num w:numId="40">
    <w:abstractNumId w:val="41"/>
  </w:num>
  <w:num w:numId="41">
    <w:abstractNumId w:val="40"/>
  </w:num>
  <w:num w:numId="42">
    <w:abstractNumId w:val="36"/>
  </w:num>
  <w:num w:numId="43">
    <w:abstractNumId w:val="13"/>
  </w:num>
  <w:num w:numId="44">
    <w:abstractNumId w:val="3"/>
  </w:num>
  <w:num w:numId="45">
    <w:abstractNumId w:val="22"/>
  </w:num>
  <w:num w:numId="46">
    <w:abstractNumId w:val="16"/>
  </w:num>
  <w:num w:numId="47">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2C"/>
    <w:rsid w:val="00000B47"/>
    <w:rsid w:val="00000B4C"/>
    <w:rsid w:val="00001583"/>
    <w:rsid w:val="00003848"/>
    <w:rsid w:val="00005BBE"/>
    <w:rsid w:val="0000601D"/>
    <w:rsid w:val="00006EE6"/>
    <w:rsid w:val="000106D0"/>
    <w:rsid w:val="0001128F"/>
    <w:rsid w:val="000118F6"/>
    <w:rsid w:val="00013DE9"/>
    <w:rsid w:val="00014155"/>
    <w:rsid w:val="00020950"/>
    <w:rsid w:val="000209A5"/>
    <w:rsid w:val="00021918"/>
    <w:rsid w:val="00021E08"/>
    <w:rsid w:val="00022147"/>
    <w:rsid w:val="00023CF5"/>
    <w:rsid w:val="00024B4F"/>
    <w:rsid w:val="0002654C"/>
    <w:rsid w:val="00026DD5"/>
    <w:rsid w:val="0003075C"/>
    <w:rsid w:val="000322DD"/>
    <w:rsid w:val="00034336"/>
    <w:rsid w:val="000345C5"/>
    <w:rsid w:val="000358D2"/>
    <w:rsid w:val="00035B8B"/>
    <w:rsid w:val="00037CB0"/>
    <w:rsid w:val="00040318"/>
    <w:rsid w:val="000423EA"/>
    <w:rsid w:val="00044911"/>
    <w:rsid w:val="000455A3"/>
    <w:rsid w:val="00046E8B"/>
    <w:rsid w:val="00050BED"/>
    <w:rsid w:val="00053DD9"/>
    <w:rsid w:val="000544D5"/>
    <w:rsid w:val="00056F81"/>
    <w:rsid w:val="00057091"/>
    <w:rsid w:val="00057CAF"/>
    <w:rsid w:val="00061C23"/>
    <w:rsid w:val="00064DE9"/>
    <w:rsid w:val="0006755D"/>
    <w:rsid w:val="000675F9"/>
    <w:rsid w:val="000679A1"/>
    <w:rsid w:val="000721D0"/>
    <w:rsid w:val="00073D1C"/>
    <w:rsid w:val="00075CD1"/>
    <w:rsid w:val="00076234"/>
    <w:rsid w:val="0007759D"/>
    <w:rsid w:val="00080F4E"/>
    <w:rsid w:val="00085617"/>
    <w:rsid w:val="0008766C"/>
    <w:rsid w:val="00092304"/>
    <w:rsid w:val="00093A6A"/>
    <w:rsid w:val="00095858"/>
    <w:rsid w:val="000959B7"/>
    <w:rsid w:val="000A0216"/>
    <w:rsid w:val="000A0B8E"/>
    <w:rsid w:val="000A2B68"/>
    <w:rsid w:val="000A43DB"/>
    <w:rsid w:val="000A48DF"/>
    <w:rsid w:val="000A512B"/>
    <w:rsid w:val="000A576B"/>
    <w:rsid w:val="000A58DE"/>
    <w:rsid w:val="000A6797"/>
    <w:rsid w:val="000B02F7"/>
    <w:rsid w:val="000B0F5E"/>
    <w:rsid w:val="000B2120"/>
    <w:rsid w:val="000B34BA"/>
    <w:rsid w:val="000B42D6"/>
    <w:rsid w:val="000B77C8"/>
    <w:rsid w:val="000B78F7"/>
    <w:rsid w:val="000C1362"/>
    <w:rsid w:val="000C4563"/>
    <w:rsid w:val="000C7710"/>
    <w:rsid w:val="000D07EC"/>
    <w:rsid w:val="000D1455"/>
    <w:rsid w:val="000D31C5"/>
    <w:rsid w:val="000D31F9"/>
    <w:rsid w:val="000D39FE"/>
    <w:rsid w:val="000D4E81"/>
    <w:rsid w:val="000D6A15"/>
    <w:rsid w:val="000D78E3"/>
    <w:rsid w:val="000E191D"/>
    <w:rsid w:val="000E2F23"/>
    <w:rsid w:val="000E3BB9"/>
    <w:rsid w:val="000E4E09"/>
    <w:rsid w:val="000F28A1"/>
    <w:rsid w:val="000F2ECE"/>
    <w:rsid w:val="000F4232"/>
    <w:rsid w:val="000F44AD"/>
    <w:rsid w:val="000F457F"/>
    <w:rsid w:val="000F4DE1"/>
    <w:rsid w:val="000F59EE"/>
    <w:rsid w:val="000F5D0C"/>
    <w:rsid w:val="000F74FF"/>
    <w:rsid w:val="00100297"/>
    <w:rsid w:val="00101EFF"/>
    <w:rsid w:val="001056A6"/>
    <w:rsid w:val="00105E75"/>
    <w:rsid w:val="00106AED"/>
    <w:rsid w:val="0010790E"/>
    <w:rsid w:val="0011196D"/>
    <w:rsid w:val="00112EC9"/>
    <w:rsid w:val="00113989"/>
    <w:rsid w:val="00113F19"/>
    <w:rsid w:val="00120707"/>
    <w:rsid w:val="00121C26"/>
    <w:rsid w:val="00126D6C"/>
    <w:rsid w:val="00130230"/>
    <w:rsid w:val="00130A87"/>
    <w:rsid w:val="001328B2"/>
    <w:rsid w:val="0013469A"/>
    <w:rsid w:val="00134AC6"/>
    <w:rsid w:val="00141BD9"/>
    <w:rsid w:val="00141F94"/>
    <w:rsid w:val="001425B5"/>
    <w:rsid w:val="00143BAA"/>
    <w:rsid w:val="00144233"/>
    <w:rsid w:val="0014537B"/>
    <w:rsid w:val="00151B35"/>
    <w:rsid w:val="00154219"/>
    <w:rsid w:val="00154F92"/>
    <w:rsid w:val="001555C3"/>
    <w:rsid w:val="001559EE"/>
    <w:rsid w:val="0015633D"/>
    <w:rsid w:val="00160989"/>
    <w:rsid w:val="00160D1F"/>
    <w:rsid w:val="00161942"/>
    <w:rsid w:val="001625C0"/>
    <w:rsid w:val="00164E4F"/>
    <w:rsid w:val="001665A3"/>
    <w:rsid w:val="00167A31"/>
    <w:rsid w:val="00173E76"/>
    <w:rsid w:val="00174872"/>
    <w:rsid w:val="001816BC"/>
    <w:rsid w:val="001832D7"/>
    <w:rsid w:val="001863D9"/>
    <w:rsid w:val="0018788A"/>
    <w:rsid w:val="00187A12"/>
    <w:rsid w:val="001902C9"/>
    <w:rsid w:val="001904F7"/>
    <w:rsid w:val="0019140B"/>
    <w:rsid w:val="0019148B"/>
    <w:rsid w:val="00191BDD"/>
    <w:rsid w:val="00196B4A"/>
    <w:rsid w:val="001A064B"/>
    <w:rsid w:val="001A12F3"/>
    <w:rsid w:val="001A1909"/>
    <w:rsid w:val="001A4EB6"/>
    <w:rsid w:val="001A5A79"/>
    <w:rsid w:val="001A5DBB"/>
    <w:rsid w:val="001A700C"/>
    <w:rsid w:val="001B069B"/>
    <w:rsid w:val="001B06F1"/>
    <w:rsid w:val="001B1981"/>
    <w:rsid w:val="001B22F8"/>
    <w:rsid w:val="001B2EC6"/>
    <w:rsid w:val="001B4D57"/>
    <w:rsid w:val="001C12FB"/>
    <w:rsid w:val="001C1A54"/>
    <w:rsid w:val="001C30EC"/>
    <w:rsid w:val="001C496B"/>
    <w:rsid w:val="001C7931"/>
    <w:rsid w:val="001C7A61"/>
    <w:rsid w:val="001D082A"/>
    <w:rsid w:val="001D1416"/>
    <w:rsid w:val="001D2E7E"/>
    <w:rsid w:val="001D3744"/>
    <w:rsid w:val="001D768E"/>
    <w:rsid w:val="001E5D48"/>
    <w:rsid w:val="001E77EC"/>
    <w:rsid w:val="001F05C9"/>
    <w:rsid w:val="001F1798"/>
    <w:rsid w:val="001F6655"/>
    <w:rsid w:val="0020042A"/>
    <w:rsid w:val="00200531"/>
    <w:rsid w:val="00202DCC"/>
    <w:rsid w:val="00205E2A"/>
    <w:rsid w:val="002068D4"/>
    <w:rsid w:val="00206BF8"/>
    <w:rsid w:val="0021204C"/>
    <w:rsid w:val="00213A8D"/>
    <w:rsid w:val="00213DA6"/>
    <w:rsid w:val="00214972"/>
    <w:rsid w:val="00216302"/>
    <w:rsid w:val="00223161"/>
    <w:rsid w:val="00224107"/>
    <w:rsid w:val="00227B92"/>
    <w:rsid w:val="00230B79"/>
    <w:rsid w:val="00236D2D"/>
    <w:rsid w:val="00241F9E"/>
    <w:rsid w:val="00242B50"/>
    <w:rsid w:val="00245A2B"/>
    <w:rsid w:val="00245C4A"/>
    <w:rsid w:val="002469C4"/>
    <w:rsid w:val="002470F3"/>
    <w:rsid w:val="0025390B"/>
    <w:rsid w:val="00254F7E"/>
    <w:rsid w:val="002572FC"/>
    <w:rsid w:val="00257A50"/>
    <w:rsid w:val="00257FBA"/>
    <w:rsid w:val="002603BB"/>
    <w:rsid w:val="0026345E"/>
    <w:rsid w:val="0026354A"/>
    <w:rsid w:val="00266327"/>
    <w:rsid w:val="00270841"/>
    <w:rsid w:val="002714DC"/>
    <w:rsid w:val="00271DDA"/>
    <w:rsid w:val="00273A88"/>
    <w:rsid w:val="00276812"/>
    <w:rsid w:val="00276CC1"/>
    <w:rsid w:val="002770AE"/>
    <w:rsid w:val="00277AE7"/>
    <w:rsid w:val="0028088F"/>
    <w:rsid w:val="002839B0"/>
    <w:rsid w:val="002851BA"/>
    <w:rsid w:val="00287D11"/>
    <w:rsid w:val="00296730"/>
    <w:rsid w:val="00296CAB"/>
    <w:rsid w:val="002A539B"/>
    <w:rsid w:val="002A6603"/>
    <w:rsid w:val="002A6E19"/>
    <w:rsid w:val="002A7850"/>
    <w:rsid w:val="002B0A16"/>
    <w:rsid w:val="002B13E4"/>
    <w:rsid w:val="002B1CE6"/>
    <w:rsid w:val="002B20B0"/>
    <w:rsid w:val="002C15A1"/>
    <w:rsid w:val="002C2035"/>
    <w:rsid w:val="002C358C"/>
    <w:rsid w:val="002C54D0"/>
    <w:rsid w:val="002C6ACE"/>
    <w:rsid w:val="002C6EBE"/>
    <w:rsid w:val="002D1C62"/>
    <w:rsid w:val="002D367B"/>
    <w:rsid w:val="002D3A26"/>
    <w:rsid w:val="002D53A7"/>
    <w:rsid w:val="002D5578"/>
    <w:rsid w:val="002D5A6A"/>
    <w:rsid w:val="002E08C9"/>
    <w:rsid w:val="002E0EE1"/>
    <w:rsid w:val="002E6273"/>
    <w:rsid w:val="002E6E61"/>
    <w:rsid w:val="002F4DE8"/>
    <w:rsid w:val="002F584E"/>
    <w:rsid w:val="002F6816"/>
    <w:rsid w:val="002F6FD7"/>
    <w:rsid w:val="00301FC5"/>
    <w:rsid w:val="00302407"/>
    <w:rsid w:val="00303464"/>
    <w:rsid w:val="003051CC"/>
    <w:rsid w:val="00306C1A"/>
    <w:rsid w:val="003113DA"/>
    <w:rsid w:val="0031214D"/>
    <w:rsid w:val="00315473"/>
    <w:rsid w:val="00315C3F"/>
    <w:rsid w:val="003175C5"/>
    <w:rsid w:val="00324210"/>
    <w:rsid w:val="00324C67"/>
    <w:rsid w:val="00324E6E"/>
    <w:rsid w:val="00327F85"/>
    <w:rsid w:val="0033026B"/>
    <w:rsid w:val="0033032A"/>
    <w:rsid w:val="00331AB3"/>
    <w:rsid w:val="00331ACB"/>
    <w:rsid w:val="00334585"/>
    <w:rsid w:val="00334F26"/>
    <w:rsid w:val="00336252"/>
    <w:rsid w:val="00336C90"/>
    <w:rsid w:val="0034140E"/>
    <w:rsid w:val="003454EB"/>
    <w:rsid w:val="003473FD"/>
    <w:rsid w:val="00350DBE"/>
    <w:rsid w:val="003528C4"/>
    <w:rsid w:val="00352DDF"/>
    <w:rsid w:val="00354BB5"/>
    <w:rsid w:val="00354EC2"/>
    <w:rsid w:val="00356035"/>
    <w:rsid w:val="00360AE0"/>
    <w:rsid w:val="00361361"/>
    <w:rsid w:val="003628EB"/>
    <w:rsid w:val="00363FC8"/>
    <w:rsid w:val="00365A23"/>
    <w:rsid w:val="00366239"/>
    <w:rsid w:val="003666F5"/>
    <w:rsid w:val="00366856"/>
    <w:rsid w:val="00370136"/>
    <w:rsid w:val="00374CA2"/>
    <w:rsid w:val="00375322"/>
    <w:rsid w:val="00376C50"/>
    <w:rsid w:val="00380979"/>
    <w:rsid w:val="0038172A"/>
    <w:rsid w:val="00383878"/>
    <w:rsid w:val="00383F97"/>
    <w:rsid w:val="0038499F"/>
    <w:rsid w:val="00387056"/>
    <w:rsid w:val="00387BC9"/>
    <w:rsid w:val="00391E4D"/>
    <w:rsid w:val="00397220"/>
    <w:rsid w:val="003A06A2"/>
    <w:rsid w:val="003A39D8"/>
    <w:rsid w:val="003A3E03"/>
    <w:rsid w:val="003A4220"/>
    <w:rsid w:val="003A5215"/>
    <w:rsid w:val="003A530F"/>
    <w:rsid w:val="003B0A38"/>
    <w:rsid w:val="003B3196"/>
    <w:rsid w:val="003B7C9A"/>
    <w:rsid w:val="003C09F2"/>
    <w:rsid w:val="003C2A1F"/>
    <w:rsid w:val="003C32D8"/>
    <w:rsid w:val="003C522D"/>
    <w:rsid w:val="003C5CA4"/>
    <w:rsid w:val="003C7EBD"/>
    <w:rsid w:val="003D32E2"/>
    <w:rsid w:val="003D3DE1"/>
    <w:rsid w:val="003D500C"/>
    <w:rsid w:val="003D6D25"/>
    <w:rsid w:val="003D7B1F"/>
    <w:rsid w:val="003E023C"/>
    <w:rsid w:val="003E2C74"/>
    <w:rsid w:val="003E3068"/>
    <w:rsid w:val="003E3722"/>
    <w:rsid w:val="003E403F"/>
    <w:rsid w:val="003E40D9"/>
    <w:rsid w:val="003E486C"/>
    <w:rsid w:val="003E5A92"/>
    <w:rsid w:val="003F22F5"/>
    <w:rsid w:val="003F3E5F"/>
    <w:rsid w:val="003F5FA1"/>
    <w:rsid w:val="00402169"/>
    <w:rsid w:val="00402CB1"/>
    <w:rsid w:val="004049A7"/>
    <w:rsid w:val="00404B9B"/>
    <w:rsid w:val="0040625D"/>
    <w:rsid w:val="0040644F"/>
    <w:rsid w:val="00407BBA"/>
    <w:rsid w:val="00407F85"/>
    <w:rsid w:val="00407FFE"/>
    <w:rsid w:val="00410C87"/>
    <w:rsid w:val="00410E71"/>
    <w:rsid w:val="0041130E"/>
    <w:rsid w:val="00411A41"/>
    <w:rsid w:val="00416E46"/>
    <w:rsid w:val="00420425"/>
    <w:rsid w:val="004211F6"/>
    <w:rsid w:val="0042172E"/>
    <w:rsid w:val="0042193C"/>
    <w:rsid w:val="004227ED"/>
    <w:rsid w:val="00423DDB"/>
    <w:rsid w:val="004252D3"/>
    <w:rsid w:val="004267D9"/>
    <w:rsid w:val="00426A15"/>
    <w:rsid w:val="00432B30"/>
    <w:rsid w:val="0043695B"/>
    <w:rsid w:val="00436D7A"/>
    <w:rsid w:val="00442009"/>
    <w:rsid w:val="004425E3"/>
    <w:rsid w:val="00445BCE"/>
    <w:rsid w:val="00445EAE"/>
    <w:rsid w:val="00445FC9"/>
    <w:rsid w:val="00450390"/>
    <w:rsid w:val="00452546"/>
    <w:rsid w:val="00454620"/>
    <w:rsid w:val="00454F25"/>
    <w:rsid w:val="004558A7"/>
    <w:rsid w:val="004604FE"/>
    <w:rsid w:val="00461911"/>
    <w:rsid w:val="00462799"/>
    <w:rsid w:val="00464845"/>
    <w:rsid w:val="00465BF2"/>
    <w:rsid w:val="0046653C"/>
    <w:rsid w:val="00466B98"/>
    <w:rsid w:val="00467900"/>
    <w:rsid w:val="004710B8"/>
    <w:rsid w:val="0047167F"/>
    <w:rsid w:val="00473D68"/>
    <w:rsid w:val="00476FA0"/>
    <w:rsid w:val="004835C5"/>
    <w:rsid w:val="00483F28"/>
    <w:rsid w:val="00483F72"/>
    <w:rsid w:val="00486816"/>
    <w:rsid w:val="00490717"/>
    <w:rsid w:val="00490CD3"/>
    <w:rsid w:val="0049205D"/>
    <w:rsid w:val="0049283D"/>
    <w:rsid w:val="00493743"/>
    <w:rsid w:val="004A3377"/>
    <w:rsid w:val="004A63E5"/>
    <w:rsid w:val="004B01B9"/>
    <w:rsid w:val="004B07F2"/>
    <w:rsid w:val="004C1C4F"/>
    <w:rsid w:val="004C399D"/>
    <w:rsid w:val="004C3A0D"/>
    <w:rsid w:val="004C41CE"/>
    <w:rsid w:val="004C44A1"/>
    <w:rsid w:val="004C4C75"/>
    <w:rsid w:val="004C5918"/>
    <w:rsid w:val="004D0EE9"/>
    <w:rsid w:val="004D5F28"/>
    <w:rsid w:val="004D6C9A"/>
    <w:rsid w:val="004E0A53"/>
    <w:rsid w:val="004E135F"/>
    <w:rsid w:val="004E1A73"/>
    <w:rsid w:val="004E22CE"/>
    <w:rsid w:val="004E4638"/>
    <w:rsid w:val="004E6DCD"/>
    <w:rsid w:val="004F1A77"/>
    <w:rsid w:val="004F42ED"/>
    <w:rsid w:val="004F57A2"/>
    <w:rsid w:val="004F5F77"/>
    <w:rsid w:val="00503EFF"/>
    <w:rsid w:val="00504F7C"/>
    <w:rsid w:val="005061A9"/>
    <w:rsid w:val="005073C4"/>
    <w:rsid w:val="0050786A"/>
    <w:rsid w:val="00507CF6"/>
    <w:rsid w:val="00512593"/>
    <w:rsid w:val="005165A1"/>
    <w:rsid w:val="0051698F"/>
    <w:rsid w:val="0051767C"/>
    <w:rsid w:val="00520576"/>
    <w:rsid w:val="00521163"/>
    <w:rsid w:val="00530244"/>
    <w:rsid w:val="0053035E"/>
    <w:rsid w:val="005303D1"/>
    <w:rsid w:val="00531A85"/>
    <w:rsid w:val="00532BD0"/>
    <w:rsid w:val="00532FFE"/>
    <w:rsid w:val="0053327F"/>
    <w:rsid w:val="00533E65"/>
    <w:rsid w:val="00534354"/>
    <w:rsid w:val="00536AA1"/>
    <w:rsid w:val="00536C7B"/>
    <w:rsid w:val="00536D70"/>
    <w:rsid w:val="005413CC"/>
    <w:rsid w:val="00544075"/>
    <w:rsid w:val="00545706"/>
    <w:rsid w:val="00545F32"/>
    <w:rsid w:val="0055178F"/>
    <w:rsid w:val="0055263A"/>
    <w:rsid w:val="00555055"/>
    <w:rsid w:val="005554F1"/>
    <w:rsid w:val="00556500"/>
    <w:rsid w:val="0055682B"/>
    <w:rsid w:val="00557252"/>
    <w:rsid w:val="005610DB"/>
    <w:rsid w:val="00562349"/>
    <w:rsid w:val="0056681E"/>
    <w:rsid w:val="00572100"/>
    <w:rsid w:val="00572AA9"/>
    <w:rsid w:val="00572B58"/>
    <w:rsid w:val="005736FE"/>
    <w:rsid w:val="005744B7"/>
    <w:rsid w:val="005763A2"/>
    <w:rsid w:val="0057662B"/>
    <w:rsid w:val="00577B1D"/>
    <w:rsid w:val="0058068D"/>
    <w:rsid w:val="0058204F"/>
    <w:rsid w:val="00583BBD"/>
    <w:rsid w:val="00583E83"/>
    <w:rsid w:val="005841C1"/>
    <w:rsid w:val="005857E4"/>
    <w:rsid w:val="00585BE7"/>
    <w:rsid w:val="00587A0E"/>
    <w:rsid w:val="0059084F"/>
    <w:rsid w:val="00592FEB"/>
    <w:rsid w:val="00593014"/>
    <w:rsid w:val="0059400B"/>
    <w:rsid w:val="00595906"/>
    <w:rsid w:val="00597B97"/>
    <w:rsid w:val="005A07A4"/>
    <w:rsid w:val="005A0DED"/>
    <w:rsid w:val="005A6FA2"/>
    <w:rsid w:val="005A7B0D"/>
    <w:rsid w:val="005A7EF5"/>
    <w:rsid w:val="005B11F9"/>
    <w:rsid w:val="005B2901"/>
    <w:rsid w:val="005B6C26"/>
    <w:rsid w:val="005C0863"/>
    <w:rsid w:val="005C0921"/>
    <w:rsid w:val="005C2556"/>
    <w:rsid w:val="005C4D02"/>
    <w:rsid w:val="005C777F"/>
    <w:rsid w:val="005D0274"/>
    <w:rsid w:val="005D0929"/>
    <w:rsid w:val="005D1899"/>
    <w:rsid w:val="005D19DA"/>
    <w:rsid w:val="005D1BCC"/>
    <w:rsid w:val="005D1EE4"/>
    <w:rsid w:val="005D3B78"/>
    <w:rsid w:val="005D435A"/>
    <w:rsid w:val="005D43C6"/>
    <w:rsid w:val="005D54B2"/>
    <w:rsid w:val="005D6E20"/>
    <w:rsid w:val="005D70AD"/>
    <w:rsid w:val="005E132B"/>
    <w:rsid w:val="005E19FC"/>
    <w:rsid w:val="005E2D96"/>
    <w:rsid w:val="005E3DD7"/>
    <w:rsid w:val="005E5D0A"/>
    <w:rsid w:val="005E75CB"/>
    <w:rsid w:val="005F3B78"/>
    <w:rsid w:val="005F3C38"/>
    <w:rsid w:val="005F70BE"/>
    <w:rsid w:val="005F762A"/>
    <w:rsid w:val="00600A0B"/>
    <w:rsid w:val="00600BD1"/>
    <w:rsid w:val="006018F8"/>
    <w:rsid w:val="00603587"/>
    <w:rsid w:val="00604B79"/>
    <w:rsid w:val="0061026D"/>
    <w:rsid w:val="00612ADC"/>
    <w:rsid w:val="00612C44"/>
    <w:rsid w:val="00614C67"/>
    <w:rsid w:val="00616D2C"/>
    <w:rsid w:val="00620E32"/>
    <w:rsid w:val="0062231F"/>
    <w:rsid w:val="006241D3"/>
    <w:rsid w:val="006247A8"/>
    <w:rsid w:val="00624AEA"/>
    <w:rsid w:val="006252D5"/>
    <w:rsid w:val="00627324"/>
    <w:rsid w:val="00630293"/>
    <w:rsid w:val="0063035F"/>
    <w:rsid w:val="0063083B"/>
    <w:rsid w:val="00630C2C"/>
    <w:rsid w:val="0063112A"/>
    <w:rsid w:val="0063119A"/>
    <w:rsid w:val="00631D73"/>
    <w:rsid w:val="00631F08"/>
    <w:rsid w:val="0063207C"/>
    <w:rsid w:val="00634A9E"/>
    <w:rsid w:val="00635431"/>
    <w:rsid w:val="00637B1D"/>
    <w:rsid w:val="00637EF9"/>
    <w:rsid w:val="0064129C"/>
    <w:rsid w:val="00641B9B"/>
    <w:rsid w:val="00644D50"/>
    <w:rsid w:val="00645F98"/>
    <w:rsid w:val="00646B6C"/>
    <w:rsid w:val="00647521"/>
    <w:rsid w:val="006546F3"/>
    <w:rsid w:val="00657FB4"/>
    <w:rsid w:val="006608B3"/>
    <w:rsid w:val="00665FFD"/>
    <w:rsid w:val="006672C0"/>
    <w:rsid w:val="00671098"/>
    <w:rsid w:val="0067236B"/>
    <w:rsid w:val="006751C5"/>
    <w:rsid w:val="006770D1"/>
    <w:rsid w:val="006817BA"/>
    <w:rsid w:val="00682C12"/>
    <w:rsid w:val="00682DA6"/>
    <w:rsid w:val="006848DF"/>
    <w:rsid w:val="00684BF7"/>
    <w:rsid w:val="00687B07"/>
    <w:rsid w:val="00690E26"/>
    <w:rsid w:val="006917BD"/>
    <w:rsid w:val="00692B5F"/>
    <w:rsid w:val="00692CFB"/>
    <w:rsid w:val="006945A2"/>
    <w:rsid w:val="006954BA"/>
    <w:rsid w:val="006956D9"/>
    <w:rsid w:val="0069593F"/>
    <w:rsid w:val="00696015"/>
    <w:rsid w:val="00696346"/>
    <w:rsid w:val="006966D6"/>
    <w:rsid w:val="006A538D"/>
    <w:rsid w:val="006A6556"/>
    <w:rsid w:val="006A70D9"/>
    <w:rsid w:val="006B1548"/>
    <w:rsid w:val="006B19BD"/>
    <w:rsid w:val="006B431C"/>
    <w:rsid w:val="006B449D"/>
    <w:rsid w:val="006B7C3E"/>
    <w:rsid w:val="006C1113"/>
    <w:rsid w:val="006C3020"/>
    <w:rsid w:val="006C355E"/>
    <w:rsid w:val="006C3EF6"/>
    <w:rsid w:val="006C437A"/>
    <w:rsid w:val="006C474A"/>
    <w:rsid w:val="006C6420"/>
    <w:rsid w:val="006C6AEE"/>
    <w:rsid w:val="006C6B8C"/>
    <w:rsid w:val="006D00C6"/>
    <w:rsid w:val="006D3548"/>
    <w:rsid w:val="006D4FA8"/>
    <w:rsid w:val="006D7675"/>
    <w:rsid w:val="006E003C"/>
    <w:rsid w:val="006E1435"/>
    <w:rsid w:val="006E2B45"/>
    <w:rsid w:val="006E3C69"/>
    <w:rsid w:val="006E4305"/>
    <w:rsid w:val="006E4C5D"/>
    <w:rsid w:val="006E6B58"/>
    <w:rsid w:val="006F2932"/>
    <w:rsid w:val="006F4B6A"/>
    <w:rsid w:val="006F552D"/>
    <w:rsid w:val="006F6F60"/>
    <w:rsid w:val="006F711E"/>
    <w:rsid w:val="006F77A7"/>
    <w:rsid w:val="00704B95"/>
    <w:rsid w:val="00711D71"/>
    <w:rsid w:val="00711D9F"/>
    <w:rsid w:val="00712C75"/>
    <w:rsid w:val="00714329"/>
    <w:rsid w:val="0071560A"/>
    <w:rsid w:val="00716C19"/>
    <w:rsid w:val="007179ED"/>
    <w:rsid w:val="0072011E"/>
    <w:rsid w:val="007217FB"/>
    <w:rsid w:val="0072206A"/>
    <w:rsid w:val="0072284D"/>
    <w:rsid w:val="00730241"/>
    <w:rsid w:val="00736699"/>
    <w:rsid w:val="00740718"/>
    <w:rsid w:val="00741FDD"/>
    <w:rsid w:val="0074323B"/>
    <w:rsid w:val="0074638C"/>
    <w:rsid w:val="0075204E"/>
    <w:rsid w:val="00752214"/>
    <w:rsid w:val="0075230E"/>
    <w:rsid w:val="0076318A"/>
    <w:rsid w:val="00763753"/>
    <w:rsid w:val="00763E93"/>
    <w:rsid w:val="00764996"/>
    <w:rsid w:val="00764B06"/>
    <w:rsid w:val="00765401"/>
    <w:rsid w:val="007671A4"/>
    <w:rsid w:val="00767933"/>
    <w:rsid w:val="0077240D"/>
    <w:rsid w:val="00772B77"/>
    <w:rsid w:val="007732B5"/>
    <w:rsid w:val="00773A19"/>
    <w:rsid w:val="00773F94"/>
    <w:rsid w:val="0077468A"/>
    <w:rsid w:val="007765B5"/>
    <w:rsid w:val="00776B50"/>
    <w:rsid w:val="00780043"/>
    <w:rsid w:val="007812D4"/>
    <w:rsid w:val="00781D50"/>
    <w:rsid w:val="00785BFE"/>
    <w:rsid w:val="00785C3E"/>
    <w:rsid w:val="00786AE8"/>
    <w:rsid w:val="00790CA9"/>
    <w:rsid w:val="00791577"/>
    <w:rsid w:val="0079352E"/>
    <w:rsid w:val="00796251"/>
    <w:rsid w:val="007A2D31"/>
    <w:rsid w:val="007A4D93"/>
    <w:rsid w:val="007A644B"/>
    <w:rsid w:val="007B143B"/>
    <w:rsid w:val="007B1B87"/>
    <w:rsid w:val="007B1F85"/>
    <w:rsid w:val="007B201A"/>
    <w:rsid w:val="007B2EC8"/>
    <w:rsid w:val="007B587A"/>
    <w:rsid w:val="007C0590"/>
    <w:rsid w:val="007C2143"/>
    <w:rsid w:val="007C2B09"/>
    <w:rsid w:val="007C368B"/>
    <w:rsid w:val="007C6770"/>
    <w:rsid w:val="007C6A13"/>
    <w:rsid w:val="007D524E"/>
    <w:rsid w:val="007D6BAE"/>
    <w:rsid w:val="007E07C3"/>
    <w:rsid w:val="007E0E0D"/>
    <w:rsid w:val="007E3288"/>
    <w:rsid w:val="007E34F6"/>
    <w:rsid w:val="007E40D5"/>
    <w:rsid w:val="007E620E"/>
    <w:rsid w:val="007E7260"/>
    <w:rsid w:val="007E7638"/>
    <w:rsid w:val="007F36E0"/>
    <w:rsid w:val="007F3ACD"/>
    <w:rsid w:val="007F5C9F"/>
    <w:rsid w:val="0080133F"/>
    <w:rsid w:val="0080409D"/>
    <w:rsid w:val="0080498F"/>
    <w:rsid w:val="00804D79"/>
    <w:rsid w:val="00804EF5"/>
    <w:rsid w:val="008065DA"/>
    <w:rsid w:val="008120EA"/>
    <w:rsid w:val="008124E2"/>
    <w:rsid w:val="008125CB"/>
    <w:rsid w:val="0081500F"/>
    <w:rsid w:val="00815FF5"/>
    <w:rsid w:val="0082275E"/>
    <w:rsid w:val="00822927"/>
    <w:rsid w:val="00823236"/>
    <w:rsid w:val="00823281"/>
    <w:rsid w:val="00827C16"/>
    <w:rsid w:val="0083043B"/>
    <w:rsid w:val="00830A74"/>
    <w:rsid w:val="008323F5"/>
    <w:rsid w:val="008344BD"/>
    <w:rsid w:val="0083564C"/>
    <w:rsid w:val="00836FE7"/>
    <w:rsid w:val="008371A7"/>
    <w:rsid w:val="0084228A"/>
    <w:rsid w:val="00845521"/>
    <w:rsid w:val="008525CC"/>
    <w:rsid w:val="00853A5A"/>
    <w:rsid w:val="00855D4E"/>
    <w:rsid w:val="00860654"/>
    <w:rsid w:val="00863AA2"/>
    <w:rsid w:val="00863EF5"/>
    <w:rsid w:val="00867995"/>
    <w:rsid w:val="00870ECF"/>
    <w:rsid w:val="00871D67"/>
    <w:rsid w:val="00873EA3"/>
    <w:rsid w:val="00874A9C"/>
    <w:rsid w:val="008753FA"/>
    <w:rsid w:val="00877467"/>
    <w:rsid w:val="00884989"/>
    <w:rsid w:val="00885387"/>
    <w:rsid w:val="00885D46"/>
    <w:rsid w:val="008866F3"/>
    <w:rsid w:val="00890BA5"/>
    <w:rsid w:val="00890E74"/>
    <w:rsid w:val="008921BA"/>
    <w:rsid w:val="00892B4A"/>
    <w:rsid w:val="00893DFB"/>
    <w:rsid w:val="008978C7"/>
    <w:rsid w:val="00897D82"/>
    <w:rsid w:val="008A2506"/>
    <w:rsid w:val="008A2B56"/>
    <w:rsid w:val="008A3EF0"/>
    <w:rsid w:val="008A5630"/>
    <w:rsid w:val="008A64CE"/>
    <w:rsid w:val="008B324C"/>
    <w:rsid w:val="008B48B8"/>
    <w:rsid w:val="008B5C1F"/>
    <w:rsid w:val="008B7F57"/>
    <w:rsid w:val="008C0094"/>
    <w:rsid w:val="008C05DD"/>
    <w:rsid w:val="008C0875"/>
    <w:rsid w:val="008C398F"/>
    <w:rsid w:val="008C3E43"/>
    <w:rsid w:val="008C7BAB"/>
    <w:rsid w:val="008D0D6B"/>
    <w:rsid w:val="008D236D"/>
    <w:rsid w:val="008D5FC6"/>
    <w:rsid w:val="008D641D"/>
    <w:rsid w:val="008D6994"/>
    <w:rsid w:val="008E0AED"/>
    <w:rsid w:val="008E17E6"/>
    <w:rsid w:val="008E2A35"/>
    <w:rsid w:val="008E78AE"/>
    <w:rsid w:val="008F240C"/>
    <w:rsid w:val="009031C6"/>
    <w:rsid w:val="00903467"/>
    <w:rsid w:val="00904DED"/>
    <w:rsid w:val="00906EAA"/>
    <w:rsid w:val="00907AD5"/>
    <w:rsid w:val="00910659"/>
    <w:rsid w:val="00911464"/>
    <w:rsid w:val="00911CF5"/>
    <w:rsid w:val="00912D08"/>
    <w:rsid w:val="00914111"/>
    <w:rsid w:val="0091516E"/>
    <w:rsid w:val="00916023"/>
    <w:rsid w:val="00920AB5"/>
    <w:rsid w:val="009239B8"/>
    <w:rsid w:val="00923E10"/>
    <w:rsid w:val="00924CD7"/>
    <w:rsid w:val="00925CEF"/>
    <w:rsid w:val="009265C9"/>
    <w:rsid w:val="00926D4B"/>
    <w:rsid w:val="00932A71"/>
    <w:rsid w:val="00933589"/>
    <w:rsid w:val="00933721"/>
    <w:rsid w:val="00933FAE"/>
    <w:rsid w:val="00935AEB"/>
    <w:rsid w:val="00940309"/>
    <w:rsid w:val="00940676"/>
    <w:rsid w:val="00942827"/>
    <w:rsid w:val="00943DD9"/>
    <w:rsid w:val="009453BD"/>
    <w:rsid w:val="00946AA7"/>
    <w:rsid w:val="00947C23"/>
    <w:rsid w:val="00953215"/>
    <w:rsid w:val="00957F68"/>
    <w:rsid w:val="00962772"/>
    <w:rsid w:val="00962D9B"/>
    <w:rsid w:val="0096515E"/>
    <w:rsid w:val="00965239"/>
    <w:rsid w:val="00965E5C"/>
    <w:rsid w:val="00970DD2"/>
    <w:rsid w:val="00976ADC"/>
    <w:rsid w:val="009807CA"/>
    <w:rsid w:val="00983364"/>
    <w:rsid w:val="009838C4"/>
    <w:rsid w:val="00984901"/>
    <w:rsid w:val="00990C64"/>
    <w:rsid w:val="0099249E"/>
    <w:rsid w:val="00992CEC"/>
    <w:rsid w:val="00994190"/>
    <w:rsid w:val="00994A83"/>
    <w:rsid w:val="00995942"/>
    <w:rsid w:val="00997EB7"/>
    <w:rsid w:val="009A3CC1"/>
    <w:rsid w:val="009A64D0"/>
    <w:rsid w:val="009A67C9"/>
    <w:rsid w:val="009A6D51"/>
    <w:rsid w:val="009B3E77"/>
    <w:rsid w:val="009B50B7"/>
    <w:rsid w:val="009B6B20"/>
    <w:rsid w:val="009B70C4"/>
    <w:rsid w:val="009B715C"/>
    <w:rsid w:val="009C012C"/>
    <w:rsid w:val="009C0175"/>
    <w:rsid w:val="009C26A8"/>
    <w:rsid w:val="009C4843"/>
    <w:rsid w:val="009D15F1"/>
    <w:rsid w:val="009D1BF8"/>
    <w:rsid w:val="009D2B10"/>
    <w:rsid w:val="009E21E1"/>
    <w:rsid w:val="009E2293"/>
    <w:rsid w:val="009E376F"/>
    <w:rsid w:val="009E7FD2"/>
    <w:rsid w:val="009F2B87"/>
    <w:rsid w:val="009F3FC0"/>
    <w:rsid w:val="009F4CB1"/>
    <w:rsid w:val="009F5056"/>
    <w:rsid w:val="009F5C33"/>
    <w:rsid w:val="009F6D92"/>
    <w:rsid w:val="00A005FB"/>
    <w:rsid w:val="00A00CAB"/>
    <w:rsid w:val="00A00FF7"/>
    <w:rsid w:val="00A0166E"/>
    <w:rsid w:val="00A01FF3"/>
    <w:rsid w:val="00A04738"/>
    <w:rsid w:val="00A0515C"/>
    <w:rsid w:val="00A05E09"/>
    <w:rsid w:val="00A07AE4"/>
    <w:rsid w:val="00A100F7"/>
    <w:rsid w:val="00A13799"/>
    <w:rsid w:val="00A14893"/>
    <w:rsid w:val="00A15CDE"/>
    <w:rsid w:val="00A16AD6"/>
    <w:rsid w:val="00A17B47"/>
    <w:rsid w:val="00A17BFC"/>
    <w:rsid w:val="00A218E4"/>
    <w:rsid w:val="00A21970"/>
    <w:rsid w:val="00A2199C"/>
    <w:rsid w:val="00A27A90"/>
    <w:rsid w:val="00A31274"/>
    <w:rsid w:val="00A317EE"/>
    <w:rsid w:val="00A319FC"/>
    <w:rsid w:val="00A35EAA"/>
    <w:rsid w:val="00A36CD7"/>
    <w:rsid w:val="00A40198"/>
    <w:rsid w:val="00A4097C"/>
    <w:rsid w:val="00A41E6F"/>
    <w:rsid w:val="00A4216E"/>
    <w:rsid w:val="00A42367"/>
    <w:rsid w:val="00A43896"/>
    <w:rsid w:val="00A43A46"/>
    <w:rsid w:val="00A44AA4"/>
    <w:rsid w:val="00A4686D"/>
    <w:rsid w:val="00A4732A"/>
    <w:rsid w:val="00A55255"/>
    <w:rsid w:val="00A55C42"/>
    <w:rsid w:val="00A56473"/>
    <w:rsid w:val="00A579FA"/>
    <w:rsid w:val="00A57B35"/>
    <w:rsid w:val="00A604AA"/>
    <w:rsid w:val="00A6244E"/>
    <w:rsid w:val="00A62DBD"/>
    <w:rsid w:val="00A65F53"/>
    <w:rsid w:val="00A70D48"/>
    <w:rsid w:val="00A724EF"/>
    <w:rsid w:val="00A75DE6"/>
    <w:rsid w:val="00A75E79"/>
    <w:rsid w:val="00A760DD"/>
    <w:rsid w:val="00A7708A"/>
    <w:rsid w:val="00A820A8"/>
    <w:rsid w:val="00A84331"/>
    <w:rsid w:val="00A85269"/>
    <w:rsid w:val="00A85CFF"/>
    <w:rsid w:val="00A87F92"/>
    <w:rsid w:val="00A93C5E"/>
    <w:rsid w:val="00A94A08"/>
    <w:rsid w:val="00A94BE5"/>
    <w:rsid w:val="00A95D88"/>
    <w:rsid w:val="00A96100"/>
    <w:rsid w:val="00A97822"/>
    <w:rsid w:val="00AA050A"/>
    <w:rsid w:val="00AA07B4"/>
    <w:rsid w:val="00AA3465"/>
    <w:rsid w:val="00AA37AE"/>
    <w:rsid w:val="00AB18CB"/>
    <w:rsid w:val="00AB1E58"/>
    <w:rsid w:val="00AB2532"/>
    <w:rsid w:val="00AB4324"/>
    <w:rsid w:val="00AC021A"/>
    <w:rsid w:val="00AC2446"/>
    <w:rsid w:val="00AC2890"/>
    <w:rsid w:val="00AC369B"/>
    <w:rsid w:val="00AC57FE"/>
    <w:rsid w:val="00AC5FD8"/>
    <w:rsid w:val="00AC6E0E"/>
    <w:rsid w:val="00AC6E0F"/>
    <w:rsid w:val="00AD043F"/>
    <w:rsid w:val="00AD0837"/>
    <w:rsid w:val="00AD3A08"/>
    <w:rsid w:val="00AD7877"/>
    <w:rsid w:val="00AE09CB"/>
    <w:rsid w:val="00AE1185"/>
    <w:rsid w:val="00AE2B8B"/>
    <w:rsid w:val="00AE7A89"/>
    <w:rsid w:val="00AF0F69"/>
    <w:rsid w:val="00AF1373"/>
    <w:rsid w:val="00AF17E2"/>
    <w:rsid w:val="00AF34C7"/>
    <w:rsid w:val="00AF4D6F"/>
    <w:rsid w:val="00AF5B11"/>
    <w:rsid w:val="00AF6B10"/>
    <w:rsid w:val="00AF6E47"/>
    <w:rsid w:val="00B00122"/>
    <w:rsid w:val="00B0024D"/>
    <w:rsid w:val="00B007BE"/>
    <w:rsid w:val="00B04A9B"/>
    <w:rsid w:val="00B06358"/>
    <w:rsid w:val="00B07627"/>
    <w:rsid w:val="00B100E2"/>
    <w:rsid w:val="00B108B0"/>
    <w:rsid w:val="00B108BE"/>
    <w:rsid w:val="00B10CFA"/>
    <w:rsid w:val="00B133ED"/>
    <w:rsid w:val="00B156E5"/>
    <w:rsid w:val="00B161D0"/>
    <w:rsid w:val="00B16D44"/>
    <w:rsid w:val="00B170EF"/>
    <w:rsid w:val="00B20261"/>
    <w:rsid w:val="00B22818"/>
    <w:rsid w:val="00B229B4"/>
    <w:rsid w:val="00B23B04"/>
    <w:rsid w:val="00B24807"/>
    <w:rsid w:val="00B2523D"/>
    <w:rsid w:val="00B25729"/>
    <w:rsid w:val="00B27E94"/>
    <w:rsid w:val="00B32DEE"/>
    <w:rsid w:val="00B334FF"/>
    <w:rsid w:val="00B3601E"/>
    <w:rsid w:val="00B372AC"/>
    <w:rsid w:val="00B37F42"/>
    <w:rsid w:val="00B4050F"/>
    <w:rsid w:val="00B41635"/>
    <w:rsid w:val="00B448D8"/>
    <w:rsid w:val="00B51308"/>
    <w:rsid w:val="00B51AE7"/>
    <w:rsid w:val="00B53457"/>
    <w:rsid w:val="00B5357A"/>
    <w:rsid w:val="00B53DCD"/>
    <w:rsid w:val="00B55ACA"/>
    <w:rsid w:val="00B61DE1"/>
    <w:rsid w:val="00B653F4"/>
    <w:rsid w:val="00B73281"/>
    <w:rsid w:val="00B8259D"/>
    <w:rsid w:val="00B8528B"/>
    <w:rsid w:val="00B8583A"/>
    <w:rsid w:val="00B91E5D"/>
    <w:rsid w:val="00B938A0"/>
    <w:rsid w:val="00B96D33"/>
    <w:rsid w:val="00BA00A7"/>
    <w:rsid w:val="00BA2827"/>
    <w:rsid w:val="00BA3BB3"/>
    <w:rsid w:val="00BA3C1A"/>
    <w:rsid w:val="00BA4947"/>
    <w:rsid w:val="00BA5697"/>
    <w:rsid w:val="00BA6814"/>
    <w:rsid w:val="00BA6E96"/>
    <w:rsid w:val="00BA73D5"/>
    <w:rsid w:val="00BB2FE4"/>
    <w:rsid w:val="00BB3BCB"/>
    <w:rsid w:val="00BB6E23"/>
    <w:rsid w:val="00BB7C3A"/>
    <w:rsid w:val="00BC02D4"/>
    <w:rsid w:val="00BC1B29"/>
    <w:rsid w:val="00BC2756"/>
    <w:rsid w:val="00BC2EEF"/>
    <w:rsid w:val="00BC50BC"/>
    <w:rsid w:val="00BC51A2"/>
    <w:rsid w:val="00BD034C"/>
    <w:rsid w:val="00BD0500"/>
    <w:rsid w:val="00BD48A8"/>
    <w:rsid w:val="00BD4AC3"/>
    <w:rsid w:val="00BD4BEB"/>
    <w:rsid w:val="00BD638A"/>
    <w:rsid w:val="00BE08A6"/>
    <w:rsid w:val="00BE162F"/>
    <w:rsid w:val="00BE494A"/>
    <w:rsid w:val="00BE5321"/>
    <w:rsid w:val="00BF00E1"/>
    <w:rsid w:val="00BF2EF4"/>
    <w:rsid w:val="00BF5311"/>
    <w:rsid w:val="00BF5720"/>
    <w:rsid w:val="00BF6E9B"/>
    <w:rsid w:val="00BF790C"/>
    <w:rsid w:val="00C01F45"/>
    <w:rsid w:val="00C038AB"/>
    <w:rsid w:val="00C04499"/>
    <w:rsid w:val="00C073F4"/>
    <w:rsid w:val="00C12E09"/>
    <w:rsid w:val="00C12E39"/>
    <w:rsid w:val="00C14337"/>
    <w:rsid w:val="00C17971"/>
    <w:rsid w:val="00C22B10"/>
    <w:rsid w:val="00C245E4"/>
    <w:rsid w:val="00C30730"/>
    <w:rsid w:val="00C33AF6"/>
    <w:rsid w:val="00C33E6D"/>
    <w:rsid w:val="00C35EB3"/>
    <w:rsid w:val="00C37C72"/>
    <w:rsid w:val="00C41810"/>
    <w:rsid w:val="00C4323B"/>
    <w:rsid w:val="00C45AD4"/>
    <w:rsid w:val="00C462FF"/>
    <w:rsid w:val="00C4644A"/>
    <w:rsid w:val="00C503A7"/>
    <w:rsid w:val="00C50CD0"/>
    <w:rsid w:val="00C51A65"/>
    <w:rsid w:val="00C5215F"/>
    <w:rsid w:val="00C547A3"/>
    <w:rsid w:val="00C56B6F"/>
    <w:rsid w:val="00C56D87"/>
    <w:rsid w:val="00C60281"/>
    <w:rsid w:val="00C64440"/>
    <w:rsid w:val="00C6480E"/>
    <w:rsid w:val="00C65825"/>
    <w:rsid w:val="00C66E3F"/>
    <w:rsid w:val="00C67C55"/>
    <w:rsid w:val="00C67D3B"/>
    <w:rsid w:val="00C70097"/>
    <w:rsid w:val="00C71C78"/>
    <w:rsid w:val="00C72637"/>
    <w:rsid w:val="00C7349C"/>
    <w:rsid w:val="00C74296"/>
    <w:rsid w:val="00C74404"/>
    <w:rsid w:val="00C74AFC"/>
    <w:rsid w:val="00C75ADE"/>
    <w:rsid w:val="00C75D86"/>
    <w:rsid w:val="00C765DC"/>
    <w:rsid w:val="00C804E2"/>
    <w:rsid w:val="00C813A9"/>
    <w:rsid w:val="00C81EAA"/>
    <w:rsid w:val="00C840C5"/>
    <w:rsid w:val="00C8548C"/>
    <w:rsid w:val="00C9054A"/>
    <w:rsid w:val="00C90B4B"/>
    <w:rsid w:val="00C91F3A"/>
    <w:rsid w:val="00C924DC"/>
    <w:rsid w:val="00C9364F"/>
    <w:rsid w:val="00C95224"/>
    <w:rsid w:val="00C9533C"/>
    <w:rsid w:val="00C96947"/>
    <w:rsid w:val="00C9749E"/>
    <w:rsid w:val="00C97D87"/>
    <w:rsid w:val="00C97F16"/>
    <w:rsid w:val="00C97F56"/>
    <w:rsid w:val="00CA35AC"/>
    <w:rsid w:val="00CA5957"/>
    <w:rsid w:val="00CA6001"/>
    <w:rsid w:val="00CA629E"/>
    <w:rsid w:val="00CA67A2"/>
    <w:rsid w:val="00CB0999"/>
    <w:rsid w:val="00CB2D4D"/>
    <w:rsid w:val="00CB35A6"/>
    <w:rsid w:val="00CB413D"/>
    <w:rsid w:val="00CB4A28"/>
    <w:rsid w:val="00CB63B7"/>
    <w:rsid w:val="00CB6CBF"/>
    <w:rsid w:val="00CC292D"/>
    <w:rsid w:val="00CC2961"/>
    <w:rsid w:val="00CC462D"/>
    <w:rsid w:val="00CC47EF"/>
    <w:rsid w:val="00CC4B5D"/>
    <w:rsid w:val="00CC4BF9"/>
    <w:rsid w:val="00CC716A"/>
    <w:rsid w:val="00CC7808"/>
    <w:rsid w:val="00CC793E"/>
    <w:rsid w:val="00CD035A"/>
    <w:rsid w:val="00CD0F3B"/>
    <w:rsid w:val="00CD41E0"/>
    <w:rsid w:val="00CD6792"/>
    <w:rsid w:val="00CE3036"/>
    <w:rsid w:val="00CE40DC"/>
    <w:rsid w:val="00CE78E1"/>
    <w:rsid w:val="00CF2087"/>
    <w:rsid w:val="00CF23EC"/>
    <w:rsid w:val="00CF2986"/>
    <w:rsid w:val="00CF4F2F"/>
    <w:rsid w:val="00CF6CBB"/>
    <w:rsid w:val="00D004DA"/>
    <w:rsid w:val="00D00E1D"/>
    <w:rsid w:val="00D016B3"/>
    <w:rsid w:val="00D02237"/>
    <w:rsid w:val="00D02861"/>
    <w:rsid w:val="00D04C7D"/>
    <w:rsid w:val="00D07880"/>
    <w:rsid w:val="00D1069C"/>
    <w:rsid w:val="00D10E8F"/>
    <w:rsid w:val="00D120C2"/>
    <w:rsid w:val="00D12E83"/>
    <w:rsid w:val="00D13078"/>
    <w:rsid w:val="00D14ECD"/>
    <w:rsid w:val="00D14F24"/>
    <w:rsid w:val="00D15D43"/>
    <w:rsid w:val="00D16611"/>
    <w:rsid w:val="00D2435C"/>
    <w:rsid w:val="00D26C88"/>
    <w:rsid w:val="00D27282"/>
    <w:rsid w:val="00D273C1"/>
    <w:rsid w:val="00D278A3"/>
    <w:rsid w:val="00D3078A"/>
    <w:rsid w:val="00D342D1"/>
    <w:rsid w:val="00D34EA0"/>
    <w:rsid w:val="00D358D3"/>
    <w:rsid w:val="00D377EC"/>
    <w:rsid w:val="00D42163"/>
    <w:rsid w:val="00D44AF3"/>
    <w:rsid w:val="00D44BA6"/>
    <w:rsid w:val="00D462C6"/>
    <w:rsid w:val="00D4788D"/>
    <w:rsid w:val="00D47B4A"/>
    <w:rsid w:val="00D51C77"/>
    <w:rsid w:val="00D539DA"/>
    <w:rsid w:val="00D56C6D"/>
    <w:rsid w:val="00D579AE"/>
    <w:rsid w:val="00D66566"/>
    <w:rsid w:val="00D668FB"/>
    <w:rsid w:val="00D678DD"/>
    <w:rsid w:val="00D700D5"/>
    <w:rsid w:val="00D70280"/>
    <w:rsid w:val="00D70C2F"/>
    <w:rsid w:val="00D72BA6"/>
    <w:rsid w:val="00D76795"/>
    <w:rsid w:val="00D80841"/>
    <w:rsid w:val="00D84927"/>
    <w:rsid w:val="00D85C23"/>
    <w:rsid w:val="00D85F45"/>
    <w:rsid w:val="00D92BF6"/>
    <w:rsid w:val="00D9449A"/>
    <w:rsid w:val="00D96423"/>
    <w:rsid w:val="00D971C4"/>
    <w:rsid w:val="00DA07EE"/>
    <w:rsid w:val="00DA5E90"/>
    <w:rsid w:val="00DA6CD3"/>
    <w:rsid w:val="00DB0578"/>
    <w:rsid w:val="00DB337C"/>
    <w:rsid w:val="00DB39E0"/>
    <w:rsid w:val="00DB3D81"/>
    <w:rsid w:val="00DB5470"/>
    <w:rsid w:val="00DB56A8"/>
    <w:rsid w:val="00DB5734"/>
    <w:rsid w:val="00DB6CDB"/>
    <w:rsid w:val="00DB6F1B"/>
    <w:rsid w:val="00DB7266"/>
    <w:rsid w:val="00DC0ED8"/>
    <w:rsid w:val="00DC107E"/>
    <w:rsid w:val="00DC1A0D"/>
    <w:rsid w:val="00DC5062"/>
    <w:rsid w:val="00DD03C3"/>
    <w:rsid w:val="00DD0E1B"/>
    <w:rsid w:val="00DD12C3"/>
    <w:rsid w:val="00DD1A12"/>
    <w:rsid w:val="00DD1A14"/>
    <w:rsid w:val="00DD2EDB"/>
    <w:rsid w:val="00DD4DC3"/>
    <w:rsid w:val="00DD5516"/>
    <w:rsid w:val="00DD6589"/>
    <w:rsid w:val="00DD6907"/>
    <w:rsid w:val="00DD7526"/>
    <w:rsid w:val="00DE2DE3"/>
    <w:rsid w:val="00DE38B4"/>
    <w:rsid w:val="00DE3959"/>
    <w:rsid w:val="00DE45EF"/>
    <w:rsid w:val="00DE4C98"/>
    <w:rsid w:val="00DF5BD5"/>
    <w:rsid w:val="00DF6C5B"/>
    <w:rsid w:val="00DF77D7"/>
    <w:rsid w:val="00E00599"/>
    <w:rsid w:val="00E02B9E"/>
    <w:rsid w:val="00E06D54"/>
    <w:rsid w:val="00E11B70"/>
    <w:rsid w:val="00E11B8E"/>
    <w:rsid w:val="00E121DD"/>
    <w:rsid w:val="00E15A5E"/>
    <w:rsid w:val="00E167AC"/>
    <w:rsid w:val="00E179F7"/>
    <w:rsid w:val="00E20D2B"/>
    <w:rsid w:val="00E222C2"/>
    <w:rsid w:val="00E23EEC"/>
    <w:rsid w:val="00E26187"/>
    <w:rsid w:val="00E266E8"/>
    <w:rsid w:val="00E32069"/>
    <w:rsid w:val="00E330FE"/>
    <w:rsid w:val="00E3319B"/>
    <w:rsid w:val="00E35288"/>
    <w:rsid w:val="00E3596F"/>
    <w:rsid w:val="00E367CF"/>
    <w:rsid w:val="00E3755C"/>
    <w:rsid w:val="00E45988"/>
    <w:rsid w:val="00E45BDE"/>
    <w:rsid w:val="00E46AEF"/>
    <w:rsid w:val="00E51019"/>
    <w:rsid w:val="00E52E27"/>
    <w:rsid w:val="00E53998"/>
    <w:rsid w:val="00E609B0"/>
    <w:rsid w:val="00E61902"/>
    <w:rsid w:val="00E660C6"/>
    <w:rsid w:val="00E671C3"/>
    <w:rsid w:val="00E70FB6"/>
    <w:rsid w:val="00E715E8"/>
    <w:rsid w:val="00E7210B"/>
    <w:rsid w:val="00E726DE"/>
    <w:rsid w:val="00E77684"/>
    <w:rsid w:val="00E8069C"/>
    <w:rsid w:val="00E808DF"/>
    <w:rsid w:val="00E81A32"/>
    <w:rsid w:val="00E81DD2"/>
    <w:rsid w:val="00E830F1"/>
    <w:rsid w:val="00E83EA8"/>
    <w:rsid w:val="00E85A1D"/>
    <w:rsid w:val="00E85AA1"/>
    <w:rsid w:val="00E90142"/>
    <w:rsid w:val="00E90C77"/>
    <w:rsid w:val="00E9139B"/>
    <w:rsid w:val="00E9269E"/>
    <w:rsid w:val="00E93331"/>
    <w:rsid w:val="00E96348"/>
    <w:rsid w:val="00E97B99"/>
    <w:rsid w:val="00EA27E4"/>
    <w:rsid w:val="00EA6710"/>
    <w:rsid w:val="00EB089D"/>
    <w:rsid w:val="00EB0A45"/>
    <w:rsid w:val="00EB1D70"/>
    <w:rsid w:val="00EB2FB1"/>
    <w:rsid w:val="00EB3F7E"/>
    <w:rsid w:val="00EB59CE"/>
    <w:rsid w:val="00EB5D30"/>
    <w:rsid w:val="00EB7B13"/>
    <w:rsid w:val="00EB7FFD"/>
    <w:rsid w:val="00EC0B54"/>
    <w:rsid w:val="00EC0BB5"/>
    <w:rsid w:val="00EC0FE8"/>
    <w:rsid w:val="00EC51E3"/>
    <w:rsid w:val="00EC557B"/>
    <w:rsid w:val="00EC6E18"/>
    <w:rsid w:val="00ED0002"/>
    <w:rsid w:val="00ED3B2D"/>
    <w:rsid w:val="00ED3CB2"/>
    <w:rsid w:val="00ED7261"/>
    <w:rsid w:val="00EE46F9"/>
    <w:rsid w:val="00EE5578"/>
    <w:rsid w:val="00EF1755"/>
    <w:rsid w:val="00EF3581"/>
    <w:rsid w:val="00EF5108"/>
    <w:rsid w:val="00EF5645"/>
    <w:rsid w:val="00EF7C3E"/>
    <w:rsid w:val="00EF7CA5"/>
    <w:rsid w:val="00F038B4"/>
    <w:rsid w:val="00F03C3C"/>
    <w:rsid w:val="00F05777"/>
    <w:rsid w:val="00F05E65"/>
    <w:rsid w:val="00F06EE8"/>
    <w:rsid w:val="00F07349"/>
    <w:rsid w:val="00F102F5"/>
    <w:rsid w:val="00F113EF"/>
    <w:rsid w:val="00F11875"/>
    <w:rsid w:val="00F126F3"/>
    <w:rsid w:val="00F127B5"/>
    <w:rsid w:val="00F12DD9"/>
    <w:rsid w:val="00F13C60"/>
    <w:rsid w:val="00F157EA"/>
    <w:rsid w:val="00F179F0"/>
    <w:rsid w:val="00F212DA"/>
    <w:rsid w:val="00F22072"/>
    <w:rsid w:val="00F22AE5"/>
    <w:rsid w:val="00F23A5D"/>
    <w:rsid w:val="00F24DEA"/>
    <w:rsid w:val="00F2561C"/>
    <w:rsid w:val="00F32373"/>
    <w:rsid w:val="00F327DE"/>
    <w:rsid w:val="00F3511E"/>
    <w:rsid w:val="00F36CC8"/>
    <w:rsid w:val="00F36F08"/>
    <w:rsid w:val="00F37564"/>
    <w:rsid w:val="00F407B4"/>
    <w:rsid w:val="00F42126"/>
    <w:rsid w:val="00F4441A"/>
    <w:rsid w:val="00F4521C"/>
    <w:rsid w:val="00F47B0B"/>
    <w:rsid w:val="00F47D43"/>
    <w:rsid w:val="00F50885"/>
    <w:rsid w:val="00F524F9"/>
    <w:rsid w:val="00F526A8"/>
    <w:rsid w:val="00F6075B"/>
    <w:rsid w:val="00F6077F"/>
    <w:rsid w:val="00F610ED"/>
    <w:rsid w:val="00F63FBF"/>
    <w:rsid w:val="00F65F29"/>
    <w:rsid w:val="00F6631E"/>
    <w:rsid w:val="00F67147"/>
    <w:rsid w:val="00F70C6A"/>
    <w:rsid w:val="00F70D8F"/>
    <w:rsid w:val="00F70E4F"/>
    <w:rsid w:val="00F71A41"/>
    <w:rsid w:val="00F752B8"/>
    <w:rsid w:val="00F829C0"/>
    <w:rsid w:val="00F829F6"/>
    <w:rsid w:val="00F851FA"/>
    <w:rsid w:val="00F90A7B"/>
    <w:rsid w:val="00F90B61"/>
    <w:rsid w:val="00F90B68"/>
    <w:rsid w:val="00F90DA7"/>
    <w:rsid w:val="00F91474"/>
    <w:rsid w:val="00F9189C"/>
    <w:rsid w:val="00F925A2"/>
    <w:rsid w:val="00F95809"/>
    <w:rsid w:val="00F9600B"/>
    <w:rsid w:val="00F97151"/>
    <w:rsid w:val="00FA0F6B"/>
    <w:rsid w:val="00FA3176"/>
    <w:rsid w:val="00FA498C"/>
    <w:rsid w:val="00FB038B"/>
    <w:rsid w:val="00FB1518"/>
    <w:rsid w:val="00FB15F7"/>
    <w:rsid w:val="00FC19A7"/>
    <w:rsid w:val="00FC3590"/>
    <w:rsid w:val="00FD02D6"/>
    <w:rsid w:val="00FD23FD"/>
    <w:rsid w:val="00FD4A40"/>
    <w:rsid w:val="00FD4C74"/>
    <w:rsid w:val="00FD5325"/>
    <w:rsid w:val="00FD7A82"/>
    <w:rsid w:val="00FE2C51"/>
    <w:rsid w:val="00FE3C1C"/>
    <w:rsid w:val="00FE4619"/>
    <w:rsid w:val="00FE675E"/>
    <w:rsid w:val="00FF3F3A"/>
    <w:rsid w:val="00FF4BB5"/>
    <w:rsid w:val="00FF4E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1360"/>
  <w15:docId w15:val="{4A67B010-28C7-4FAF-9ADA-D1299DF3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37B"/>
    <w:pPr>
      <w:spacing w:after="120" w:line="288" w:lineRule="auto"/>
    </w:pPr>
    <w:rPr>
      <w:rFonts w:ascii="Verdana" w:hAnsi="Verdana" w:cs="Arial"/>
      <w:szCs w:val="22"/>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Body"/>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qFormat/>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99"/>
    <w:rsid w:val="003E3722"/>
    <w:pPr>
      <w:spacing w:after="0" w:line="240" w:lineRule="auto"/>
    </w:pPr>
    <w:rPr>
      <w:sz w:val="18"/>
      <w:szCs w:val="20"/>
    </w:rPr>
  </w:style>
  <w:style w:type="character" w:customStyle="1" w:styleId="FootnoteTextChar">
    <w:name w:val="Footnote Text Char"/>
    <w:basedOn w:val="DefaultParagraphFont"/>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character" w:styleId="Hyperlink">
    <w:name w:val="Hyperlink"/>
    <w:basedOn w:val="DefaultParagraphFont"/>
    <w:uiPriority w:val="99"/>
    <w:semiHidden/>
    <w:rsid w:val="000F4232"/>
    <w:rPr>
      <w:color w:val="0000FF" w:themeColor="hyperlink"/>
      <w:u w:val="single"/>
    </w:rPr>
  </w:style>
  <w:style w:type="character" w:styleId="FollowedHyperlink">
    <w:name w:val="FollowedHyperlink"/>
    <w:basedOn w:val="DefaultParagraphFont"/>
    <w:uiPriority w:val="99"/>
    <w:semiHidden/>
    <w:rsid w:val="00A01FF3"/>
    <w:rPr>
      <w:color w:val="800080" w:themeColor="followedHyperlink"/>
      <w:u w:val="single"/>
    </w:rPr>
  </w:style>
  <w:style w:type="character" w:styleId="FootnoteReference">
    <w:name w:val="footnote reference"/>
    <w:basedOn w:val="DefaultParagraphFont"/>
    <w:uiPriority w:val="99"/>
    <w:unhideWhenUsed/>
    <w:rsid w:val="001863D9"/>
    <w:rPr>
      <w:vertAlign w:val="superscript"/>
    </w:rPr>
  </w:style>
  <w:style w:type="paragraph" w:styleId="Header">
    <w:name w:val="header"/>
    <w:basedOn w:val="Normal"/>
    <w:link w:val="HeaderChar"/>
    <w:uiPriority w:val="99"/>
    <w:unhideWhenUsed/>
    <w:rsid w:val="00630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293"/>
    <w:rPr>
      <w:rFonts w:ascii="Verdana" w:hAnsi="Verdana" w:cs="Arial"/>
      <w:szCs w:val="22"/>
    </w:rPr>
  </w:style>
  <w:style w:type="character" w:styleId="PlaceholderText">
    <w:name w:val="Placeholder Text"/>
    <w:basedOn w:val="DefaultParagraphFont"/>
    <w:uiPriority w:val="99"/>
    <w:semiHidden/>
    <w:rsid w:val="007671A4"/>
    <w:rPr>
      <w:color w:val="808080"/>
    </w:rPr>
  </w:style>
  <w:style w:type="character" w:styleId="UnresolvedMention">
    <w:name w:val="Unresolved Mention"/>
    <w:basedOn w:val="DefaultParagraphFont"/>
    <w:uiPriority w:val="99"/>
    <w:semiHidden/>
    <w:unhideWhenUsed/>
    <w:rsid w:val="004604FE"/>
    <w:rPr>
      <w:color w:val="605E5C"/>
      <w:shd w:val="clear" w:color="auto" w:fill="E1DFDD"/>
    </w:rPr>
  </w:style>
  <w:style w:type="paragraph" w:customStyle="1" w:styleId="Default">
    <w:name w:val="Default"/>
    <w:rsid w:val="00572100"/>
    <w:pPr>
      <w:autoSpaceDE w:val="0"/>
      <w:autoSpaceDN w:val="0"/>
      <w:adjustRightInd w:val="0"/>
    </w:pPr>
    <w:rPr>
      <w:rFonts w:ascii="Arial" w:hAnsi="Arial" w:cs="Arial"/>
      <w:color w:val="000000"/>
      <w:sz w:val="24"/>
      <w:szCs w:val="24"/>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link w:val="ListParagraph"/>
    <w:uiPriority w:val="34"/>
    <w:locked/>
    <w:rsid w:val="00933FAE"/>
    <w:rPr>
      <w:rFonts w:ascii="Verdana" w:hAnsi="Verdana"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260173">
      <w:bodyDiv w:val="1"/>
      <w:marLeft w:val="0"/>
      <w:marRight w:val="0"/>
      <w:marTop w:val="0"/>
      <w:marBottom w:val="0"/>
      <w:divBdr>
        <w:top w:val="none" w:sz="0" w:space="0" w:color="auto"/>
        <w:left w:val="none" w:sz="0" w:space="0" w:color="auto"/>
        <w:bottom w:val="none" w:sz="0" w:space="0" w:color="auto"/>
        <w:right w:val="none" w:sz="0" w:space="0" w:color="auto"/>
      </w:divBdr>
    </w:div>
    <w:div w:id="491604011">
      <w:bodyDiv w:val="1"/>
      <w:marLeft w:val="0"/>
      <w:marRight w:val="0"/>
      <w:marTop w:val="0"/>
      <w:marBottom w:val="0"/>
      <w:divBdr>
        <w:top w:val="none" w:sz="0" w:space="0" w:color="auto"/>
        <w:left w:val="none" w:sz="0" w:space="0" w:color="auto"/>
        <w:bottom w:val="none" w:sz="0" w:space="0" w:color="auto"/>
        <w:right w:val="none" w:sz="0" w:space="0" w:color="auto"/>
      </w:divBdr>
    </w:div>
    <w:div w:id="1458796715">
      <w:bodyDiv w:val="1"/>
      <w:marLeft w:val="0"/>
      <w:marRight w:val="0"/>
      <w:marTop w:val="0"/>
      <w:marBottom w:val="0"/>
      <w:divBdr>
        <w:top w:val="none" w:sz="0" w:space="0" w:color="auto"/>
        <w:left w:val="none" w:sz="0" w:space="0" w:color="auto"/>
        <w:bottom w:val="none" w:sz="0" w:space="0" w:color="auto"/>
        <w:right w:val="none" w:sz="0" w:space="0" w:color="auto"/>
      </w:divBdr>
    </w:div>
    <w:div w:id="1509561975">
      <w:bodyDiv w:val="1"/>
      <w:marLeft w:val="0"/>
      <w:marRight w:val="0"/>
      <w:marTop w:val="0"/>
      <w:marBottom w:val="0"/>
      <w:divBdr>
        <w:top w:val="none" w:sz="0" w:space="0" w:color="auto"/>
        <w:left w:val="none" w:sz="0" w:space="0" w:color="auto"/>
        <w:bottom w:val="none" w:sz="0" w:space="0" w:color="auto"/>
        <w:right w:val="none" w:sz="0" w:space="0" w:color="auto"/>
      </w:divBdr>
    </w:div>
    <w:div w:id="1548226074">
      <w:bodyDiv w:val="1"/>
      <w:marLeft w:val="0"/>
      <w:marRight w:val="0"/>
      <w:marTop w:val="0"/>
      <w:marBottom w:val="0"/>
      <w:divBdr>
        <w:top w:val="none" w:sz="0" w:space="0" w:color="auto"/>
        <w:left w:val="none" w:sz="0" w:space="0" w:color="auto"/>
        <w:bottom w:val="none" w:sz="0" w:space="0" w:color="auto"/>
        <w:right w:val="none" w:sz="0" w:space="0" w:color="auto"/>
      </w:divBdr>
    </w:div>
    <w:div w:id="1574192779">
      <w:bodyDiv w:val="1"/>
      <w:marLeft w:val="0"/>
      <w:marRight w:val="0"/>
      <w:marTop w:val="0"/>
      <w:marBottom w:val="0"/>
      <w:divBdr>
        <w:top w:val="none" w:sz="0" w:space="0" w:color="auto"/>
        <w:left w:val="none" w:sz="0" w:space="0" w:color="auto"/>
        <w:bottom w:val="none" w:sz="0" w:space="0" w:color="auto"/>
        <w:right w:val="none" w:sz="0" w:space="0" w:color="auto"/>
      </w:divBdr>
    </w:div>
    <w:div w:id="1705012625">
      <w:bodyDiv w:val="1"/>
      <w:marLeft w:val="0"/>
      <w:marRight w:val="0"/>
      <w:marTop w:val="0"/>
      <w:marBottom w:val="0"/>
      <w:divBdr>
        <w:top w:val="none" w:sz="0" w:space="0" w:color="auto"/>
        <w:left w:val="none" w:sz="0" w:space="0" w:color="auto"/>
        <w:bottom w:val="none" w:sz="0" w:space="0" w:color="auto"/>
        <w:right w:val="none" w:sz="0" w:space="0" w:color="auto"/>
      </w:divBdr>
    </w:div>
    <w:div w:id="187538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787/b82d856b-en"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787/689afed1-en" TargetMode="External"/><Relationship Id="rId47" Type="http://schemas.openxmlformats.org/officeDocument/2006/relationships/hyperlink" Target="http://dx.doi.org/10.1787/5jm3p5gl4djd-en" TargetMode="External"/><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oe.cd/affordable-housing-202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massey.ac.nz/massey/learning/colleges/college-business/school-of-economics-and-finance/research/reau/home-affordability-report.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corelogic.co.nz/reports/housing-affordability-report" TargetMode="External"/><Relationship Id="rId45" Type="http://schemas.openxmlformats.org/officeDocument/2006/relationships/hyperlink" Target="http://oe.cd/social-housing-202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oecd.org/els/family/PH4-2-Social-rental-housing-stock.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1787/196db741-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787/b0b94dbd-en" TargetMode="External"/><Relationship Id="rId48" Type="http://schemas.openxmlformats.org/officeDocument/2006/relationships/hyperlink" Target="http://www.stats.govt.nz"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9F58-4F55-442B-8027-75DF2712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43</Pages>
  <Words>11165</Words>
  <Characters>63642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74658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Hodge</dc:creator>
  <cp:lastModifiedBy>Kevin Lee</cp:lastModifiedBy>
  <cp:revision>29</cp:revision>
  <dcterms:created xsi:type="dcterms:W3CDTF">2021-11-09T17:13:00Z</dcterms:created>
  <dcterms:modified xsi:type="dcterms:W3CDTF">2021-11-10T20:48:00Z</dcterms:modified>
</cp:coreProperties>
</file>