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FBF" w:rsidRDefault="00A65B7A" w:rsidP="005766DE">
      <w:pPr>
        <w:pStyle w:val="Heading1"/>
        <w:sectPr w:rsidR="00B01FBF" w:rsidSect="00E85C6B">
          <w:headerReference w:type="even" r:id="rId8"/>
          <w:pgSz w:w="11906" w:h="16838" w:code="9"/>
          <w:pgMar w:top="1701" w:right="1361" w:bottom="1134" w:left="1701" w:header="709" w:footer="709" w:gutter="0"/>
          <w:cols w:space="708"/>
          <w:docGrid w:linePitch="360"/>
        </w:sectPr>
      </w:pPr>
      <w:r>
        <w:rPr>
          <w:noProof/>
          <w:lang w:val="en-NZ" w:eastAsia="en-NZ"/>
        </w:rPr>
        <w:drawing>
          <wp:anchor distT="0" distB="0" distL="114300" distR="114300" simplePos="0" relativeHeight="251662335" behindDoc="0" locked="0" layoutInCell="1" allowOverlap="1">
            <wp:simplePos x="0" y="0"/>
            <wp:positionH relativeFrom="page">
              <wp:posOffset>-4445</wp:posOffset>
            </wp:positionH>
            <wp:positionV relativeFrom="page">
              <wp:posOffset>0</wp:posOffset>
            </wp:positionV>
            <wp:extent cx="7577455" cy="10739755"/>
            <wp:effectExtent l="19050" t="0" r="4445" b="0"/>
            <wp:wrapSquare wrapText="bothSides"/>
            <wp:docPr id="9" name="Picture 8" descr="New Zealand Schools: Ngā Kura o Aotearoa - 2012&#10;A report on the complusory schools sector in New Zealand &#10;&#10;Minister of Education&#10;&#10;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NZSchools_2012_FrontCover_Word_V2.png"/>
                    <pic:cNvPicPr/>
                  </pic:nvPicPr>
                  <pic:blipFill>
                    <a:blip r:embed="rId9" cstate="print"/>
                    <a:srcRect l="16176" t="1463" r="8484"/>
                    <a:stretch>
                      <a:fillRect/>
                    </a:stretch>
                  </pic:blipFill>
                  <pic:spPr>
                    <a:xfrm>
                      <a:off x="0" y="0"/>
                      <a:ext cx="7577455" cy="10739755"/>
                    </a:xfrm>
                    <a:prstGeom prst="rect">
                      <a:avLst/>
                    </a:prstGeom>
                  </pic:spPr>
                </pic:pic>
              </a:graphicData>
            </a:graphic>
          </wp:anchor>
        </w:drawing>
      </w:r>
    </w:p>
    <w:p w:rsidR="00D00FCF" w:rsidRDefault="00A65B7A" w:rsidP="005766DE">
      <w:pPr>
        <w:pStyle w:val="Heading1"/>
        <w:sectPr w:rsidR="00D00FCF" w:rsidSect="00E85C6B">
          <w:pgSz w:w="11906" w:h="16838" w:code="9"/>
          <w:pgMar w:top="1701" w:right="1361" w:bottom="1134" w:left="1701" w:header="709" w:footer="709" w:gutter="0"/>
          <w:cols w:space="708"/>
          <w:docGrid w:linePitch="360"/>
        </w:sectPr>
      </w:pPr>
      <w:r>
        <w:rPr>
          <w:noProof/>
          <w:lang w:val="en-NZ" w:eastAsia="en-NZ"/>
        </w:rPr>
        <w:lastRenderedPageBreak/>
        <w:drawing>
          <wp:anchor distT="0" distB="0" distL="114300" distR="114300" simplePos="0" relativeHeight="251663359" behindDoc="0" locked="0" layoutInCell="1" allowOverlap="1">
            <wp:simplePos x="0" y="0"/>
            <wp:positionH relativeFrom="page">
              <wp:posOffset>-4445</wp:posOffset>
            </wp:positionH>
            <wp:positionV relativeFrom="page">
              <wp:posOffset>0</wp:posOffset>
            </wp:positionV>
            <wp:extent cx="7577455" cy="10716260"/>
            <wp:effectExtent l="19050" t="0" r="4445" b="0"/>
            <wp:wrapSquare wrapText="bothSides"/>
            <wp:docPr id="12" name="Picture 11" descr="2012 New Zealand Schools/Ngä Kura o Aotearoa&#10;&#10;Ministry of Education&#10;National Office&#10;45–47 Pipitea Street, Thorndon&#10;Private Bag 1666, Wellington 6011&#10;Telephone: (04) 463 8000&#10;Fax: (04) 463 8001&#10;&#10;© Crown copyright 2013&#10;&#10;Permission to reproduce: The copyright owner authorises&#10;reproduction of this work, in whole or in part, so long as no&#10;charge is made for the supply of copies and the integrity&#10;and attribution of the work as a publication of the Ministry of Education is not interfered with in any way.&#10;&#10;All rights reserved.&#10;&#10;Enquiries should be made to the Ministry of Education.&#10;&#10;ISSN 1173–177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NZSchools_2012_CoverInsideFront_Word_V2.png"/>
                    <pic:cNvPicPr/>
                  </pic:nvPicPr>
                  <pic:blipFill>
                    <a:blip r:embed="rId10" cstate="print"/>
                    <a:stretch>
                      <a:fillRect/>
                    </a:stretch>
                  </pic:blipFill>
                  <pic:spPr>
                    <a:xfrm>
                      <a:off x="0" y="0"/>
                      <a:ext cx="7577455" cy="10716260"/>
                    </a:xfrm>
                    <a:prstGeom prst="rect">
                      <a:avLst/>
                    </a:prstGeom>
                  </pic:spPr>
                </pic:pic>
              </a:graphicData>
            </a:graphic>
          </wp:anchor>
        </w:drawing>
      </w:r>
    </w:p>
    <w:p w:rsidR="0031101A" w:rsidRDefault="00A65B7A" w:rsidP="005766DE">
      <w:pPr>
        <w:pStyle w:val="Heading1"/>
        <w:sectPr w:rsidR="0031101A" w:rsidSect="00E85C6B">
          <w:pgSz w:w="11906" w:h="16838" w:code="9"/>
          <w:pgMar w:top="1701" w:right="1361" w:bottom="1134" w:left="1701" w:header="709" w:footer="709" w:gutter="0"/>
          <w:cols w:space="708"/>
          <w:docGrid w:linePitch="360"/>
        </w:sectPr>
      </w:pPr>
      <w:r>
        <w:rPr>
          <w:noProof/>
          <w:lang w:val="en-NZ" w:eastAsia="en-NZ"/>
        </w:rPr>
        <w:lastRenderedPageBreak/>
        <w:drawing>
          <wp:anchor distT="0" distB="0" distL="114300" distR="114300" simplePos="0" relativeHeight="251664383" behindDoc="0" locked="0" layoutInCell="1" allowOverlap="1">
            <wp:simplePos x="0" y="0"/>
            <wp:positionH relativeFrom="page">
              <wp:posOffset>-4445</wp:posOffset>
            </wp:positionH>
            <wp:positionV relativeFrom="page">
              <wp:posOffset>0</wp:posOffset>
            </wp:positionV>
            <wp:extent cx="7577455" cy="10744835"/>
            <wp:effectExtent l="19050" t="0" r="4445" b="0"/>
            <wp:wrapSquare wrapText="bothSides"/>
            <wp:docPr id="14" name="Picture 13" descr="This Government has a vision for a country where &#10;all our young people haveaccess to effective education and the ability to achieve at a high standard, academically and otherwise. &#10;&#10;Report of the Minister of Education on the compulsory schools sector in New Zealand&#10;&#10;Presented to the House of Representatives pursuant to section 87B of the Education Act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NZSchools_2012_InsideFrontCover_Word_V2.png"/>
                    <pic:cNvPicPr/>
                  </pic:nvPicPr>
                  <pic:blipFill>
                    <a:blip r:embed="rId11" cstate="print"/>
                    <a:srcRect t="1536" r="4371"/>
                    <a:stretch>
                      <a:fillRect/>
                    </a:stretch>
                  </pic:blipFill>
                  <pic:spPr>
                    <a:xfrm>
                      <a:off x="0" y="0"/>
                      <a:ext cx="7577455" cy="10744835"/>
                    </a:xfrm>
                    <a:prstGeom prst="rect">
                      <a:avLst/>
                    </a:prstGeom>
                  </pic:spPr>
                </pic:pic>
              </a:graphicData>
            </a:graphic>
          </wp:anchor>
        </w:drawing>
      </w:r>
    </w:p>
    <w:p w:rsidR="00DC5119" w:rsidRPr="008A6837" w:rsidRDefault="00D032E8" w:rsidP="008A6837">
      <w:pPr>
        <w:pStyle w:val="Heading1"/>
      </w:pPr>
      <w:bookmarkStart w:id="0" w:name="_Toc304449068"/>
      <w:bookmarkStart w:id="1" w:name="_Toc304542845"/>
      <w:bookmarkStart w:id="2" w:name="_Toc304799222"/>
      <w:bookmarkStart w:id="3" w:name="_Toc334521974"/>
      <w:bookmarkStart w:id="4" w:name="_Toc363719974"/>
      <w:bookmarkStart w:id="5" w:name="_Toc367361614"/>
      <w:r w:rsidRPr="008A6837">
        <w:t>Contents</w:t>
      </w:r>
      <w:bookmarkEnd w:id="0"/>
      <w:bookmarkEnd w:id="1"/>
      <w:bookmarkEnd w:id="2"/>
      <w:bookmarkEnd w:id="3"/>
      <w:bookmarkEnd w:id="4"/>
      <w:bookmarkEnd w:id="5"/>
    </w:p>
    <w:p w:rsidR="00756A3E" w:rsidRDefault="00570122">
      <w:pPr>
        <w:pStyle w:val="TOC1"/>
        <w:tabs>
          <w:tab w:val="right" w:leader="dot" w:pos="8834"/>
        </w:tabs>
        <w:rPr>
          <w:rFonts w:asciiTheme="minorHAnsi" w:eastAsiaTheme="minorEastAsia" w:hAnsiTheme="minorHAnsi" w:cstheme="minorBidi"/>
          <w:b w:val="0"/>
          <w:bCs w:val="0"/>
          <w:noProof/>
          <w:color w:val="auto"/>
          <w:sz w:val="22"/>
          <w:szCs w:val="22"/>
          <w:lang w:val="en-NZ" w:eastAsia="en-NZ"/>
        </w:rPr>
      </w:pPr>
      <w:r w:rsidRPr="00570122">
        <w:rPr>
          <w:sz w:val="19"/>
          <w:highlight w:val="yellow"/>
        </w:rPr>
        <w:fldChar w:fldCharType="begin"/>
      </w:r>
      <w:r w:rsidR="005379D7" w:rsidRPr="0060013A">
        <w:rPr>
          <w:highlight w:val="yellow"/>
        </w:rPr>
        <w:instrText xml:space="preserve"> TOC \o "1-2" \h \z \u </w:instrText>
      </w:r>
      <w:r w:rsidRPr="00570122">
        <w:rPr>
          <w:sz w:val="19"/>
          <w:highlight w:val="yellow"/>
        </w:rPr>
        <w:fldChar w:fldCharType="separate"/>
      </w:r>
      <w:hyperlink w:anchor="_Toc367361617" w:history="1">
        <w:r w:rsidR="00756A3E" w:rsidRPr="002E7981">
          <w:rPr>
            <w:rStyle w:val="Hyperlink"/>
            <w:noProof/>
          </w:rPr>
          <w:t>Foreword</w:t>
        </w:r>
        <w:r w:rsidR="00756A3E">
          <w:rPr>
            <w:noProof/>
            <w:webHidden/>
          </w:rPr>
          <w:tab/>
        </w:r>
        <w:r>
          <w:rPr>
            <w:noProof/>
            <w:webHidden/>
          </w:rPr>
          <w:fldChar w:fldCharType="begin"/>
        </w:r>
        <w:r w:rsidR="00756A3E">
          <w:rPr>
            <w:noProof/>
            <w:webHidden/>
          </w:rPr>
          <w:instrText xml:space="preserve"> PAGEREF _Toc367361617 \h </w:instrText>
        </w:r>
        <w:r>
          <w:rPr>
            <w:noProof/>
            <w:webHidden/>
          </w:rPr>
        </w:r>
        <w:r>
          <w:rPr>
            <w:noProof/>
            <w:webHidden/>
          </w:rPr>
          <w:fldChar w:fldCharType="separate"/>
        </w:r>
        <w:r w:rsidR="00A45165">
          <w:rPr>
            <w:noProof/>
            <w:webHidden/>
          </w:rPr>
          <w:t>6</w:t>
        </w:r>
        <w:r>
          <w:rPr>
            <w:noProof/>
            <w:webHidden/>
          </w:rPr>
          <w:fldChar w:fldCharType="end"/>
        </w:r>
      </w:hyperlink>
    </w:p>
    <w:p w:rsidR="00756A3E" w:rsidRDefault="00570122">
      <w:pPr>
        <w:pStyle w:val="TOC1"/>
        <w:tabs>
          <w:tab w:val="right" w:leader="dot" w:pos="8834"/>
        </w:tabs>
        <w:rPr>
          <w:rFonts w:asciiTheme="minorHAnsi" w:eastAsiaTheme="minorEastAsia" w:hAnsiTheme="minorHAnsi" w:cstheme="minorBidi"/>
          <w:b w:val="0"/>
          <w:bCs w:val="0"/>
          <w:noProof/>
          <w:color w:val="auto"/>
          <w:sz w:val="22"/>
          <w:szCs w:val="22"/>
          <w:lang w:val="en-NZ" w:eastAsia="en-NZ"/>
        </w:rPr>
      </w:pPr>
      <w:hyperlink w:anchor="_Toc367361618" w:history="1">
        <w:r w:rsidR="00756A3E" w:rsidRPr="002E7981">
          <w:rPr>
            <w:rStyle w:val="Hyperlink"/>
            <w:noProof/>
          </w:rPr>
          <w:t>Chapter 1: Key features of the 2012 year</w:t>
        </w:r>
        <w:r w:rsidR="00756A3E">
          <w:rPr>
            <w:noProof/>
            <w:webHidden/>
          </w:rPr>
          <w:tab/>
        </w:r>
        <w:r>
          <w:rPr>
            <w:noProof/>
            <w:webHidden/>
          </w:rPr>
          <w:fldChar w:fldCharType="begin"/>
        </w:r>
        <w:r w:rsidR="00756A3E">
          <w:rPr>
            <w:noProof/>
            <w:webHidden/>
          </w:rPr>
          <w:instrText xml:space="preserve"> PAGEREF _Toc367361618 \h </w:instrText>
        </w:r>
        <w:r>
          <w:rPr>
            <w:noProof/>
            <w:webHidden/>
          </w:rPr>
        </w:r>
        <w:r>
          <w:rPr>
            <w:noProof/>
            <w:webHidden/>
          </w:rPr>
          <w:fldChar w:fldCharType="separate"/>
        </w:r>
        <w:r w:rsidR="00A45165">
          <w:rPr>
            <w:noProof/>
            <w:webHidden/>
          </w:rPr>
          <w:t>7</w:t>
        </w:r>
        <w:r>
          <w:rPr>
            <w:noProof/>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19" w:history="1">
        <w:r w:rsidR="00756A3E" w:rsidRPr="002E7981">
          <w:rPr>
            <w:rStyle w:val="Hyperlink"/>
          </w:rPr>
          <w:t>Background</w:t>
        </w:r>
        <w:r w:rsidR="00756A3E">
          <w:rPr>
            <w:webHidden/>
          </w:rPr>
          <w:tab/>
        </w:r>
        <w:r>
          <w:rPr>
            <w:webHidden/>
          </w:rPr>
          <w:fldChar w:fldCharType="begin"/>
        </w:r>
        <w:r w:rsidR="00756A3E">
          <w:rPr>
            <w:webHidden/>
          </w:rPr>
          <w:instrText xml:space="preserve"> PAGEREF _Toc367361619 \h </w:instrText>
        </w:r>
        <w:r>
          <w:rPr>
            <w:webHidden/>
          </w:rPr>
        </w:r>
        <w:r>
          <w:rPr>
            <w:webHidden/>
          </w:rPr>
          <w:fldChar w:fldCharType="separate"/>
        </w:r>
        <w:r w:rsidR="00A45165">
          <w:rPr>
            <w:webHidden/>
          </w:rPr>
          <w:t>7</w:t>
        </w:r>
        <w:r>
          <w:rPr>
            <w:webHidden/>
          </w:rPr>
          <w:fldChar w:fldCharType="end"/>
        </w:r>
      </w:hyperlink>
    </w:p>
    <w:p w:rsidR="00756A3E" w:rsidRDefault="00570122">
      <w:pPr>
        <w:pStyle w:val="TOC1"/>
        <w:tabs>
          <w:tab w:val="right" w:leader="dot" w:pos="8834"/>
        </w:tabs>
        <w:rPr>
          <w:rFonts w:asciiTheme="minorHAnsi" w:eastAsiaTheme="minorEastAsia" w:hAnsiTheme="minorHAnsi" w:cstheme="minorBidi"/>
          <w:b w:val="0"/>
          <w:bCs w:val="0"/>
          <w:noProof/>
          <w:color w:val="auto"/>
          <w:sz w:val="22"/>
          <w:szCs w:val="22"/>
          <w:lang w:val="en-NZ" w:eastAsia="en-NZ"/>
        </w:rPr>
      </w:pPr>
      <w:hyperlink w:anchor="_Toc367361620" w:history="1">
        <w:r w:rsidR="00756A3E" w:rsidRPr="002E7981">
          <w:rPr>
            <w:rStyle w:val="Hyperlink"/>
            <w:noProof/>
          </w:rPr>
          <w:t>An overview of performance</w:t>
        </w:r>
        <w:r w:rsidR="00756A3E">
          <w:rPr>
            <w:noProof/>
            <w:webHidden/>
          </w:rPr>
          <w:tab/>
        </w:r>
        <w:r>
          <w:rPr>
            <w:noProof/>
            <w:webHidden/>
          </w:rPr>
          <w:fldChar w:fldCharType="begin"/>
        </w:r>
        <w:r w:rsidR="00756A3E">
          <w:rPr>
            <w:noProof/>
            <w:webHidden/>
          </w:rPr>
          <w:instrText xml:space="preserve"> PAGEREF _Toc367361620 \h </w:instrText>
        </w:r>
        <w:r>
          <w:rPr>
            <w:noProof/>
            <w:webHidden/>
          </w:rPr>
        </w:r>
        <w:r>
          <w:rPr>
            <w:noProof/>
            <w:webHidden/>
          </w:rPr>
          <w:fldChar w:fldCharType="separate"/>
        </w:r>
        <w:r w:rsidR="00A45165">
          <w:rPr>
            <w:noProof/>
            <w:webHidden/>
          </w:rPr>
          <w:t>8</w:t>
        </w:r>
        <w:r>
          <w:rPr>
            <w:noProof/>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21" w:history="1">
        <w:r w:rsidR="00756A3E" w:rsidRPr="002E7981">
          <w:rPr>
            <w:rStyle w:val="Hyperlink"/>
          </w:rPr>
          <w:t>Expectations of schools in 2012</w:t>
        </w:r>
        <w:r w:rsidR="00756A3E">
          <w:rPr>
            <w:webHidden/>
          </w:rPr>
          <w:tab/>
        </w:r>
        <w:r>
          <w:rPr>
            <w:webHidden/>
          </w:rPr>
          <w:fldChar w:fldCharType="begin"/>
        </w:r>
        <w:r w:rsidR="00756A3E">
          <w:rPr>
            <w:webHidden/>
          </w:rPr>
          <w:instrText xml:space="preserve"> PAGEREF _Toc367361621 \h </w:instrText>
        </w:r>
        <w:r>
          <w:rPr>
            <w:webHidden/>
          </w:rPr>
        </w:r>
        <w:r>
          <w:rPr>
            <w:webHidden/>
          </w:rPr>
          <w:fldChar w:fldCharType="separate"/>
        </w:r>
        <w:r w:rsidR="00A45165">
          <w:rPr>
            <w:webHidden/>
          </w:rPr>
          <w:t>8</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22" w:history="1">
        <w:r w:rsidR="00756A3E" w:rsidRPr="002E7981">
          <w:rPr>
            <w:rStyle w:val="Hyperlink"/>
          </w:rPr>
          <w:t>Designing and implementing standards for English and Māori  medium settings</w:t>
        </w:r>
        <w:r w:rsidR="00756A3E">
          <w:rPr>
            <w:webHidden/>
          </w:rPr>
          <w:tab/>
        </w:r>
        <w:r>
          <w:rPr>
            <w:webHidden/>
          </w:rPr>
          <w:fldChar w:fldCharType="begin"/>
        </w:r>
        <w:r w:rsidR="00756A3E">
          <w:rPr>
            <w:webHidden/>
          </w:rPr>
          <w:instrText xml:space="preserve"> PAGEREF _Toc367361622 \h </w:instrText>
        </w:r>
        <w:r>
          <w:rPr>
            <w:webHidden/>
          </w:rPr>
        </w:r>
        <w:r>
          <w:rPr>
            <w:webHidden/>
          </w:rPr>
          <w:fldChar w:fldCharType="separate"/>
        </w:r>
        <w:r w:rsidR="00A45165">
          <w:rPr>
            <w:webHidden/>
          </w:rPr>
          <w:t>10</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23" w:history="1">
        <w:r w:rsidR="00756A3E" w:rsidRPr="002E7981">
          <w:rPr>
            <w:rStyle w:val="Hyperlink"/>
          </w:rPr>
          <w:t>Youth Guarantee</w:t>
        </w:r>
        <w:r w:rsidR="00756A3E">
          <w:rPr>
            <w:webHidden/>
          </w:rPr>
          <w:tab/>
        </w:r>
        <w:r>
          <w:rPr>
            <w:webHidden/>
          </w:rPr>
          <w:fldChar w:fldCharType="begin"/>
        </w:r>
        <w:r w:rsidR="00756A3E">
          <w:rPr>
            <w:webHidden/>
          </w:rPr>
          <w:instrText xml:space="preserve"> PAGEREF _Toc367361623 \h </w:instrText>
        </w:r>
        <w:r>
          <w:rPr>
            <w:webHidden/>
          </w:rPr>
        </w:r>
        <w:r>
          <w:rPr>
            <w:webHidden/>
          </w:rPr>
          <w:fldChar w:fldCharType="separate"/>
        </w:r>
        <w:r w:rsidR="00A45165">
          <w:rPr>
            <w:webHidden/>
          </w:rPr>
          <w:t>14</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24" w:history="1">
        <w:r w:rsidR="00756A3E" w:rsidRPr="002E7981">
          <w:rPr>
            <w:rStyle w:val="Hyperlink"/>
          </w:rPr>
          <w:t>Implementing strategies to improve Māori and Pasifika achievement</w:t>
        </w:r>
        <w:r w:rsidR="00756A3E">
          <w:rPr>
            <w:webHidden/>
          </w:rPr>
          <w:tab/>
        </w:r>
        <w:r>
          <w:rPr>
            <w:webHidden/>
          </w:rPr>
          <w:fldChar w:fldCharType="begin"/>
        </w:r>
        <w:r w:rsidR="00756A3E">
          <w:rPr>
            <w:webHidden/>
          </w:rPr>
          <w:instrText xml:space="preserve"> PAGEREF _Toc367361624 \h </w:instrText>
        </w:r>
        <w:r>
          <w:rPr>
            <w:webHidden/>
          </w:rPr>
        </w:r>
        <w:r>
          <w:rPr>
            <w:webHidden/>
          </w:rPr>
          <w:fldChar w:fldCharType="separate"/>
        </w:r>
        <w:r w:rsidR="00A45165">
          <w:rPr>
            <w:webHidden/>
          </w:rPr>
          <w:t>15</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25" w:history="1">
        <w:r w:rsidR="00756A3E" w:rsidRPr="002E7981">
          <w:rPr>
            <w:rStyle w:val="Hyperlink"/>
          </w:rPr>
          <w:t>Ultra-Fast Broadband in Schools (UFBiS)</w:t>
        </w:r>
        <w:r w:rsidR="00756A3E">
          <w:rPr>
            <w:webHidden/>
          </w:rPr>
          <w:tab/>
        </w:r>
        <w:r>
          <w:rPr>
            <w:webHidden/>
          </w:rPr>
          <w:fldChar w:fldCharType="begin"/>
        </w:r>
        <w:r w:rsidR="00756A3E">
          <w:rPr>
            <w:webHidden/>
          </w:rPr>
          <w:instrText xml:space="preserve"> PAGEREF _Toc367361625 \h </w:instrText>
        </w:r>
        <w:r>
          <w:rPr>
            <w:webHidden/>
          </w:rPr>
        </w:r>
        <w:r>
          <w:rPr>
            <w:webHidden/>
          </w:rPr>
          <w:fldChar w:fldCharType="separate"/>
        </w:r>
        <w:r w:rsidR="00A45165">
          <w:rPr>
            <w:webHidden/>
          </w:rPr>
          <w:t>17</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26" w:history="1">
        <w:r w:rsidR="00756A3E" w:rsidRPr="002E7981">
          <w:rPr>
            <w:rStyle w:val="Hyperlink"/>
          </w:rPr>
          <w:t>Special education developments in 2012</w:t>
        </w:r>
        <w:r w:rsidR="00756A3E">
          <w:rPr>
            <w:webHidden/>
          </w:rPr>
          <w:tab/>
        </w:r>
        <w:r>
          <w:rPr>
            <w:webHidden/>
          </w:rPr>
          <w:fldChar w:fldCharType="begin"/>
        </w:r>
        <w:r w:rsidR="00756A3E">
          <w:rPr>
            <w:webHidden/>
          </w:rPr>
          <w:instrText xml:space="preserve"> PAGEREF _Toc367361626 \h </w:instrText>
        </w:r>
        <w:r>
          <w:rPr>
            <w:webHidden/>
          </w:rPr>
        </w:r>
        <w:r>
          <w:rPr>
            <w:webHidden/>
          </w:rPr>
          <w:fldChar w:fldCharType="separate"/>
        </w:r>
        <w:r w:rsidR="00A45165">
          <w:rPr>
            <w:webHidden/>
          </w:rPr>
          <w:t>18</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27" w:history="1">
        <w:r w:rsidR="00756A3E" w:rsidRPr="002E7981">
          <w:rPr>
            <w:rStyle w:val="Hyperlink"/>
          </w:rPr>
          <w:t>The Canterbury earthquakes</w:t>
        </w:r>
        <w:r w:rsidR="00756A3E">
          <w:rPr>
            <w:webHidden/>
          </w:rPr>
          <w:tab/>
        </w:r>
        <w:r>
          <w:rPr>
            <w:webHidden/>
          </w:rPr>
          <w:fldChar w:fldCharType="begin"/>
        </w:r>
        <w:r w:rsidR="00756A3E">
          <w:rPr>
            <w:webHidden/>
          </w:rPr>
          <w:instrText xml:space="preserve"> PAGEREF _Toc367361627 \h </w:instrText>
        </w:r>
        <w:r>
          <w:rPr>
            <w:webHidden/>
          </w:rPr>
        </w:r>
        <w:r>
          <w:rPr>
            <w:webHidden/>
          </w:rPr>
          <w:fldChar w:fldCharType="separate"/>
        </w:r>
        <w:r w:rsidR="00A45165">
          <w:rPr>
            <w:webHidden/>
          </w:rPr>
          <w:t>19</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28" w:history="1">
        <w:r w:rsidR="00756A3E" w:rsidRPr="002E7981">
          <w:rPr>
            <w:rStyle w:val="Hyperlink"/>
          </w:rPr>
          <w:t>Novopay</w:t>
        </w:r>
        <w:r w:rsidR="00756A3E">
          <w:rPr>
            <w:webHidden/>
          </w:rPr>
          <w:tab/>
        </w:r>
        <w:r>
          <w:rPr>
            <w:webHidden/>
          </w:rPr>
          <w:fldChar w:fldCharType="begin"/>
        </w:r>
        <w:r w:rsidR="00756A3E">
          <w:rPr>
            <w:webHidden/>
          </w:rPr>
          <w:instrText xml:space="preserve"> PAGEREF _Toc367361628 \h </w:instrText>
        </w:r>
        <w:r>
          <w:rPr>
            <w:webHidden/>
          </w:rPr>
        </w:r>
        <w:r>
          <w:rPr>
            <w:webHidden/>
          </w:rPr>
          <w:fldChar w:fldCharType="separate"/>
        </w:r>
        <w:r w:rsidR="00A45165">
          <w:rPr>
            <w:webHidden/>
          </w:rPr>
          <w:t>20</w:t>
        </w:r>
        <w:r>
          <w:rPr>
            <w:webHidden/>
          </w:rPr>
          <w:fldChar w:fldCharType="end"/>
        </w:r>
      </w:hyperlink>
    </w:p>
    <w:p w:rsidR="00756A3E" w:rsidRDefault="00570122">
      <w:pPr>
        <w:pStyle w:val="TOC1"/>
        <w:tabs>
          <w:tab w:val="right" w:leader="dot" w:pos="8834"/>
        </w:tabs>
        <w:rPr>
          <w:rFonts w:asciiTheme="minorHAnsi" w:eastAsiaTheme="minorEastAsia" w:hAnsiTheme="minorHAnsi" w:cstheme="minorBidi"/>
          <w:b w:val="0"/>
          <w:bCs w:val="0"/>
          <w:noProof/>
          <w:color w:val="auto"/>
          <w:sz w:val="22"/>
          <w:szCs w:val="22"/>
          <w:lang w:val="en-NZ" w:eastAsia="en-NZ"/>
        </w:rPr>
      </w:pPr>
      <w:hyperlink w:anchor="_Toc367361629" w:history="1">
        <w:r w:rsidR="00756A3E" w:rsidRPr="002E7981">
          <w:rPr>
            <w:rStyle w:val="Hyperlink"/>
            <w:noProof/>
          </w:rPr>
          <w:t>Chapter 2: Resourcing</w:t>
        </w:r>
        <w:r w:rsidR="00756A3E">
          <w:rPr>
            <w:noProof/>
            <w:webHidden/>
          </w:rPr>
          <w:tab/>
        </w:r>
        <w:r>
          <w:rPr>
            <w:noProof/>
            <w:webHidden/>
          </w:rPr>
          <w:fldChar w:fldCharType="begin"/>
        </w:r>
        <w:r w:rsidR="00756A3E">
          <w:rPr>
            <w:noProof/>
            <w:webHidden/>
          </w:rPr>
          <w:instrText xml:space="preserve"> PAGEREF _Toc367361629 \h </w:instrText>
        </w:r>
        <w:r>
          <w:rPr>
            <w:noProof/>
            <w:webHidden/>
          </w:rPr>
        </w:r>
        <w:r>
          <w:rPr>
            <w:noProof/>
            <w:webHidden/>
          </w:rPr>
          <w:fldChar w:fldCharType="separate"/>
        </w:r>
        <w:r w:rsidR="00A45165">
          <w:rPr>
            <w:noProof/>
            <w:webHidden/>
          </w:rPr>
          <w:t>22</w:t>
        </w:r>
        <w:r>
          <w:rPr>
            <w:noProof/>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30" w:history="1">
        <w:r w:rsidR="00756A3E" w:rsidRPr="002E7981">
          <w:rPr>
            <w:rStyle w:val="Hyperlink"/>
          </w:rPr>
          <w:t>School resources</w:t>
        </w:r>
        <w:r w:rsidR="00756A3E">
          <w:rPr>
            <w:webHidden/>
          </w:rPr>
          <w:tab/>
        </w:r>
        <w:r>
          <w:rPr>
            <w:webHidden/>
          </w:rPr>
          <w:fldChar w:fldCharType="begin"/>
        </w:r>
        <w:r w:rsidR="00756A3E">
          <w:rPr>
            <w:webHidden/>
          </w:rPr>
          <w:instrText xml:space="preserve"> PAGEREF _Toc367361630 \h </w:instrText>
        </w:r>
        <w:r>
          <w:rPr>
            <w:webHidden/>
          </w:rPr>
        </w:r>
        <w:r>
          <w:rPr>
            <w:webHidden/>
          </w:rPr>
          <w:fldChar w:fldCharType="separate"/>
        </w:r>
        <w:r w:rsidR="00A45165">
          <w:rPr>
            <w:webHidden/>
          </w:rPr>
          <w:t>22</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31" w:history="1">
        <w:r w:rsidR="00756A3E" w:rsidRPr="002E7981">
          <w:rPr>
            <w:rStyle w:val="Hyperlink"/>
          </w:rPr>
          <w:t>Financial performance of New Zealand schools</w:t>
        </w:r>
        <w:r w:rsidR="00756A3E">
          <w:rPr>
            <w:webHidden/>
          </w:rPr>
          <w:tab/>
        </w:r>
        <w:r>
          <w:rPr>
            <w:webHidden/>
          </w:rPr>
          <w:fldChar w:fldCharType="begin"/>
        </w:r>
        <w:r w:rsidR="00756A3E">
          <w:rPr>
            <w:webHidden/>
          </w:rPr>
          <w:instrText xml:space="preserve"> PAGEREF _Toc367361631 \h </w:instrText>
        </w:r>
        <w:r>
          <w:rPr>
            <w:webHidden/>
          </w:rPr>
        </w:r>
        <w:r>
          <w:rPr>
            <w:webHidden/>
          </w:rPr>
          <w:fldChar w:fldCharType="separate"/>
        </w:r>
        <w:r w:rsidR="00A45165">
          <w:rPr>
            <w:webHidden/>
          </w:rPr>
          <w:t>25</w:t>
        </w:r>
        <w:r>
          <w:rPr>
            <w:webHidden/>
          </w:rPr>
          <w:fldChar w:fldCharType="end"/>
        </w:r>
      </w:hyperlink>
    </w:p>
    <w:p w:rsidR="00756A3E" w:rsidRDefault="00570122">
      <w:pPr>
        <w:pStyle w:val="TOC1"/>
        <w:tabs>
          <w:tab w:val="right" w:leader="dot" w:pos="8834"/>
        </w:tabs>
        <w:rPr>
          <w:rFonts w:asciiTheme="minorHAnsi" w:eastAsiaTheme="minorEastAsia" w:hAnsiTheme="minorHAnsi" w:cstheme="minorBidi"/>
          <w:b w:val="0"/>
          <w:bCs w:val="0"/>
          <w:noProof/>
          <w:color w:val="auto"/>
          <w:sz w:val="22"/>
          <w:szCs w:val="22"/>
          <w:lang w:val="en-NZ" w:eastAsia="en-NZ"/>
        </w:rPr>
      </w:pPr>
      <w:hyperlink w:anchor="_Toc367361632" w:history="1">
        <w:r w:rsidR="00756A3E" w:rsidRPr="002E7981">
          <w:rPr>
            <w:rStyle w:val="Hyperlink"/>
            <w:noProof/>
          </w:rPr>
          <w:t>Chapter</w:t>
        </w:r>
        <w:r w:rsidR="00756A3E" w:rsidRPr="002E7981">
          <w:rPr>
            <w:rStyle w:val="Hyperlink"/>
            <w:noProof/>
            <w:lang w:val="en-NZ"/>
          </w:rPr>
          <w:t xml:space="preserve"> 3: Foundation skills</w:t>
        </w:r>
        <w:r w:rsidR="00756A3E">
          <w:rPr>
            <w:noProof/>
            <w:webHidden/>
          </w:rPr>
          <w:tab/>
        </w:r>
        <w:r>
          <w:rPr>
            <w:noProof/>
            <w:webHidden/>
          </w:rPr>
          <w:fldChar w:fldCharType="begin"/>
        </w:r>
        <w:r w:rsidR="00756A3E">
          <w:rPr>
            <w:noProof/>
            <w:webHidden/>
          </w:rPr>
          <w:instrText xml:space="preserve"> PAGEREF _Toc367361632 \h </w:instrText>
        </w:r>
        <w:r>
          <w:rPr>
            <w:noProof/>
            <w:webHidden/>
          </w:rPr>
        </w:r>
        <w:r>
          <w:rPr>
            <w:noProof/>
            <w:webHidden/>
          </w:rPr>
          <w:fldChar w:fldCharType="separate"/>
        </w:r>
        <w:r w:rsidR="00A45165">
          <w:rPr>
            <w:noProof/>
            <w:webHidden/>
          </w:rPr>
          <w:t>29</w:t>
        </w:r>
        <w:r>
          <w:rPr>
            <w:noProof/>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33" w:history="1">
        <w:r w:rsidR="00756A3E" w:rsidRPr="002E7981">
          <w:rPr>
            <w:rStyle w:val="Hyperlink"/>
          </w:rPr>
          <w:t>Reading and writing literacy</w:t>
        </w:r>
        <w:r w:rsidR="00756A3E">
          <w:rPr>
            <w:webHidden/>
          </w:rPr>
          <w:tab/>
        </w:r>
        <w:r>
          <w:rPr>
            <w:webHidden/>
          </w:rPr>
          <w:fldChar w:fldCharType="begin"/>
        </w:r>
        <w:r w:rsidR="00756A3E">
          <w:rPr>
            <w:webHidden/>
          </w:rPr>
          <w:instrText xml:space="preserve"> PAGEREF _Toc367361633 \h </w:instrText>
        </w:r>
        <w:r>
          <w:rPr>
            <w:webHidden/>
          </w:rPr>
        </w:r>
        <w:r>
          <w:rPr>
            <w:webHidden/>
          </w:rPr>
          <w:fldChar w:fldCharType="separate"/>
        </w:r>
        <w:r w:rsidR="00A45165">
          <w:rPr>
            <w:webHidden/>
          </w:rPr>
          <w:t>29</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34" w:history="1">
        <w:r w:rsidR="00756A3E" w:rsidRPr="002E7981">
          <w:rPr>
            <w:rStyle w:val="Hyperlink"/>
          </w:rPr>
          <w:t>Reading literacy in primary schooling</w:t>
        </w:r>
        <w:r w:rsidR="00756A3E">
          <w:rPr>
            <w:webHidden/>
          </w:rPr>
          <w:tab/>
        </w:r>
        <w:r>
          <w:rPr>
            <w:webHidden/>
          </w:rPr>
          <w:fldChar w:fldCharType="begin"/>
        </w:r>
        <w:r w:rsidR="00756A3E">
          <w:rPr>
            <w:webHidden/>
          </w:rPr>
          <w:instrText xml:space="preserve"> PAGEREF _Toc367361634 \h </w:instrText>
        </w:r>
        <w:r>
          <w:rPr>
            <w:webHidden/>
          </w:rPr>
        </w:r>
        <w:r>
          <w:rPr>
            <w:webHidden/>
          </w:rPr>
          <w:fldChar w:fldCharType="separate"/>
        </w:r>
        <w:r w:rsidR="00A45165">
          <w:rPr>
            <w:webHidden/>
          </w:rPr>
          <w:t>29</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35" w:history="1">
        <w:r w:rsidR="00756A3E" w:rsidRPr="002E7981">
          <w:rPr>
            <w:rStyle w:val="Hyperlink"/>
          </w:rPr>
          <w:t>Reading literacy in secondary schooling</w:t>
        </w:r>
        <w:r w:rsidR="00756A3E">
          <w:rPr>
            <w:webHidden/>
          </w:rPr>
          <w:tab/>
        </w:r>
        <w:r>
          <w:rPr>
            <w:webHidden/>
          </w:rPr>
          <w:fldChar w:fldCharType="begin"/>
        </w:r>
        <w:r w:rsidR="00756A3E">
          <w:rPr>
            <w:webHidden/>
          </w:rPr>
          <w:instrText xml:space="preserve"> PAGEREF _Toc367361635 \h </w:instrText>
        </w:r>
        <w:r>
          <w:rPr>
            <w:webHidden/>
          </w:rPr>
        </w:r>
        <w:r>
          <w:rPr>
            <w:webHidden/>
          </w:rPr>
          <w:fldChar w:fldCharType="separate"/>
        </w:r>
        <w:r w:rsidR="00A45165">
          <w:rPr>
            <w:webHidden/>
          </w:rPr>
          <w:t>34</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36" w:history="1">
        <w:r w:rsidR="00756A3E" w:rsidRPr="002E7981">
          <w:rPr>
            <w:rStyle w:val="Hyperlink"/>
          </w:rPr>
          <w:t>Mathematics</w:t>
        </w:r>
        <w:r w:rsidR="00756A3E">
          <w:rPr>
            <w:webHidden/>
          </w:rPr>
          <w:tab/>
        </w:r>
        <w:r>
          <w:rPr>
            <w:webHidden/>
          </w:rPr>
          <w:fldChar w:fldCharType="begin"/>
        </w:r>
        <w:r w:rsidR="00756A3E">
          <w:rPr>
            <w:webHidden/>
          </w:rPr>
          <w:instrText xml:space="preserve"> PAGEREF _Toc367361636 \h </w:instrText>
        </w:r>
        <w:r>
          <w:rPr>
            <w:webHidden/>
          </w:rPr>
        </w:r>
        <w:r>
          <w:rPr>
            <w:webHidden/>
          </w:rPr>
          <w:fldChar w:fldCharType="separate"/>
        </w:r>
        <w:r w:rsidR="00A45165">
          <w:rPr>
            <w:webHidden/>
          </w:rPr>
          <w:t>38</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37" w:history="1">
        <w:r w:rsidR="00756A3E" w:rsidRPr="002E7981">
          <w:rPr>
            <w:rStyle w:val="Hyperlink"/>
          </w:rPr>
          <w:t>Mathematics in primary schooling</w:t>
        </w:r>
        <w:r w:rsidR="00756A3E">
          <w:rPr>
            <w:webHidden/>
          </w:rPr>
          <w:tab/>
        </w:r>
        <w:r>
          <w:rPr>
            <w:webHidden/>
          </w:rPr>
          <w:fldChar w:fldCharType="begin"/>
        </w:r>
        <w:r w:rsidR="00756A3E">
          <w:rPr>
            <w:webHidden/>
          </w:rPr>
          <w:instrText xml:space="preserve"> PAGEREF _Toc367361637 \h </w:instrText>
        </w:r>
        <w:r>
          <w:rPr>
            <w:webHidden/>
          </w:rPr>
        </w:r>
        <w:r>
          <w:rPr>
            <w:webHidden/>
          </w:rPr>
          <w:fldChar w:fldCharType="separate"/>
        </w:r>
        <w:r w:rsidR="00A45165">
          <w:rPr>
            <w:webHidden/>
          </w:rPr>
          <w:t>38</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38" w:history="1">
        <w:r w:rsidR="00756A3E" w:rsidRPr="002E7981">
          <w:rPr>
            <w:rStyle w:val="Hyperlink"/>
          </w:rPr>
          <w:t>Mathematics in secondary schooling</w:t>
        </w:r>
        <w:r w:rsidR="00756A3E">
          <w:rPr>
            <w:webHidden/>
          </w:rPr>
          <w:tab/>
        </w:r>
        <w:r>
          <w:rPr>
            <w:webHidden/>
          </w:rPr>
          <w:fldChar w:fldCharType="begin"/>
        </w:r>
        <w:r w:rsidR="00756A3E">
          <w:rPr>
            <w:webHidden/>
          </w:rPr>
          <w:instrText xml:space="preserve"> PAGEREF _Toc367361638 \h </w:instrText>
        </w:r>
        <w:r>
          <w:rPr>
            <w:webHidden/>
          </w:rPr>
        </w:r>
        <w:r>
          <w:rPr>
            <w:webHidden/>
          </w:rPr>
          <w:fldChar w:fldCharType="separate"/>
        </w:r>
        <w:r w:rsidR="00A45165">
          <w:rPr>
            <w:webHidden/>
          </w:rPr>
          <w:t>41</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39" w:history="1">
        <w:r w:rsidR="00756A3E" w:rsidRPr="002E7981">
          <w:rPr>
            <w:rStyle w:val="Hyperlink"/>
          </w:rPr>
          <w:t>Science</w:t>
        </w:r>
        <w:r w:rsidR="00756A3E">
          <w:rPr>
            <w:webHidden/>
          </w:rPr>
          <w:tab/>
        </w:r>
        <w:r>
          <w:rPr>
            <w:webHidden/>
          </w:rPr>
          <w:fldChar w:fldCharType="begin"/>
        </w:r>
        <w:r w:rsidR="00756A3E">
          <w:rPr>
            <w:webHidden/>
          </w:rPr>
          <w:instrText xml:space="preserve"> PAGEREF _Toc367361639 \h </w:instrText>
        </w:r>
        <w:r>
          <w:rPr>
            <w:webHidden/>
          </w:rPr>
        </w:r>
        <w:r>
          <w:rPr>
            <w:webHidden/>
          </w:rPr>
          <w:fldChar w:fldCharType="separate"/>
        </w:r>
        <w:r w:rsidR="00A45165">
          <w:rPr>
            <w:webHidden/>
          </w:rPr>
          <w:t>44</w:t>
        </w:r>
        <w:r>
          <w:rPr>
            <w:webHidden/>
          </w:rPr>
          <w:fldChar w:fldCharType="end"/>
        </w:r>
      </w:hyperlink>
    </w:p>
    <w:p w:rsidR="00756A3E" w:rsidRDefault="00570122">
      <w:pPr>
        <w:pStyle w:val="TOC1"/>
        <w:tabs>
          <w:tab w:val="right" w:leader="dot" w:pos="8834"/>
        </w:tabs>
        <w:rPr>
          <w:rFonts w:asciiTheme="minorHAnsi" w:eastAsiaTheme="minorEastAsia" w:hAnsiTheme="minorHAnsi" w:cstheme="minorBidi"/>
          <w:b w:val="0"/>
          <w:bCs w:val="0"/>
          <w:noProof/>
          <w:color w:val="auto"/>
          <w:sz w:val="22"/>
          <w:szCs w:val="22"/>
          <w:lang w:val="en-NZ" w:eastAsia="en-NZ"/>
        </w:rPr>
      </w:pPr>
      <w:hyperlink w:anchor="_Toc367361640" w:history="1">
        <w:r w:rsidR="00756A3E" w:rsidRPr="002E7981">
          <w:rPr>
            <w:rStyle w:val="Hyperlink"/>
            <w:noProof/>
          </w:rPr>
          <w:t>Chapter 4: Student outcomes</w:t>
        </w:r>
        <w:r w:rsidR="00756A3E">
          <w:rPr>
            <w:noProof/>
            <w:webHidden/>
          </w:rPr>
          <w:tab/>
        </w:r>
        <w:r>
          <w:rPr>
            <w:noProof/>
            <w:webHidden/>
          </w:rPr>
          <w:fldChar w:fldCharType="begin"/>
        </w:r>
        <w:r w:rsidR="00756A3E">
          <w:rPr>
            <w:noProof/>
            <w:webHidden/>
          </w:rPr>
          <w:instrText xml:space="preserve"> PAGEREF _Toc367361640 \h </w:instrText>
        </w:r>
        <w:r>
          <w:rPr>
            <w:noProof/>
            <w:webHidden/>
          </w:rPr>
        </w:r>
        <w:r>
          <w:rPr>
            <w:noProof/>
            <w:webHidden/>
          </w:rPr>
          <w:fldChar w:fldCharType="separate"/>
        </w:r>
        <w:r w:rsidR="00A45165">
          <w:rPr>
            <w:noProof/>
            <w:webHidden/>
          </w:rPr>
          <w:t>48</w:t>
        </w:r>
        <w:r>
          <w:rPr>
            <w:noProof/>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41" w:history="1">
        <w:r w:rsidR="00756A3E" w:rsidRPr="002E7981">
          <w:rPr>
            <w:rStyle w:val="Hyperlink"/>
          </w:rPr>
          <w:t>Proportion of 18-year-olds with NCEA Level 2 or equivalent qualification</w:t>
        </w:r>
        <w:r w:rsidR="00756A3E">
          <w:rPr>
            <w:webHidden/>
          </w:rPr>
          <w:tab/>
        </w:r>
        <w:r>
          <w:rPr>
            <w:webHidden/>
          </w:rPr>
          <w:fldChar w:fldCharType="begin"/>
        </w:r>
        <w:r w:rsidR="00756A3E">
          <w:rPr>
            <w:webHidden/>
          </w:rPr>
          <w:instrText xml:space="preserve"> PAGEREF _Toc367361641 \h </w:instrText>
        </w:r>
        <w:r>
          <w:rPr>
            <w:webHidden/>
          </w:rPr>
        </w:r>
        <w:r>
          <w:rPr>
            <w:webHidden/>
          </w:rPr>
          <w:fldChar w:fldCharType="separate"/>
        </w:r>
        <w:r w:rsidR="00A45165">
          <w:rPr>
            <w:webHidden/>
          </w:rPr>
          <w:t>48</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42" w:history="1">
        <w:r w:rsidR="00756A3E" w:rsidRPr="002E7981">
          <w:rPr>
            <w:rStyle w:val="Hyperlink"/>
          </w:rPr>
          <w:t>School-leaver qualifications</w:t>
        </w:r>
        <w:r w:rsidR="00756A3E">
          <w:rPr>
            <w:webHidden/>
          </w:rPr>
          <w:tab/>
        </w:r>
        <w:r>
          <w:rPr>
            <w:webHidden/>
          </w:rPr>
          <w:fldChar w:fldCharType="begin"/>
        </w:r>
        <w:r w:rsidR="00756A3E">
          <w:rPr>
            <w:webHidden/>
          </w:rPr>
          <w:instrText xml:space="preserve"> PAGEREF _Toc367361642 \h </w:instrText>
        </w:r>
        <w:r>
          <w:rPr>
            <w:webHidden/>
          </w:rPr>
        </w:r>
        <w:r>
          <w:rPr>
            <w:webHidden/>
          </w:rPr>
          <w:fldChar w:fldCharType="separate"/>
        </w:r>
        <w:r w:rsidR="00A45165">
          <w:rPr>
            <w:webHidden/>
          </w:rPr>
          <w:t>49</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43" w:history="1">
        <w:r w:rsidR="00756A3E" w:rsidRPr="002E7981">
          <w:rPr>
            <w:rStyle w:val="Hyperlink"/>
          </w:rPr>
          <w:t>Māori language in education</w:t>
        </w:r>
        <w:r w:rsidR="00756A3E">
          <w:rPr>
            <w:webHidden/>
          </w:rPr>
          <w:tab/>
        </w:r>
        <w:r>
          <w:rPr>
            <w:webHidden/>
          </w:rPr>
          <w:fldChar w:fldCharType="begin"/>
        </w:r>
        <w:r w:rsidR="00756A3E">
          <w:rPr>
            <w:webHidden/>
          </w:rPr>
          <w:instrText xml:space="preserve"> PAGEREF _Toc367361643 \h </w:instrText>
        </w:r>
        <w:r>
          <w:rPr>
            <w:webHidden/>
          </w:rPr>
        </w:r>
        <w:r>
          <w:rPr>
            <w:webHidden/>
          </w:rPr>
          <w:fldChar w:fldCharType="separate"/>
        </w:r>
        <w:r w:rsidR="00A45165">
          <w:rPr>
            <w:webHidden/>
          </w:rPr>
          <w:t>55</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44" w:history="1">
        <w:r w:rsidR="00756A3E" w:rsidRPr="002E7981">
          <w:rPr>
            <w:rStyle w:val="Hyperlink"/>
          </w:rPr>
          <w:t>Definitions</w:t>
        </w:r>
        <w:r w:rsidR="00756A3E">
          <w:rPr>
            <w:webHidden/>
          </w:rPr>
          <w:tab/>
        </w:r>
        <w:r>
          <w:rPr>
            <w:webHidden/>
          </w:rPr>
          <w:fldChar w:fldCharType="begin"/>
        </w:r>
        <w:r w:rsidR="00756A3E">
          <w:rPr>
            <w:webHidden/>
          </w:rPr>
          <w:instrText xml:space="preserve"> PAGEREF _Toc367361644 \h </w:instrText>
        </w:r>
        <w:r>
          <w:rPr>
            <w:webHidden/>
          </w:rPr>
        </w:r>
        <w:r>
          <w:rPr>
            <w:webHidden/>
          </w:rPr>
          <w:fldChar w:fldCharType="separate"/>
        </w:r>
        <w:r w:rsidR="00A45165">
          <w:rPr>
            <w:webHidden/>
          </w:rPr>
          <w:t>56</w:t>
        </w:r>
        <w:r>
          <w:rPr>
            <w:webHidden/>
          </w:rPr>
          <w:fldChar w:fldCharType="end"/>
        </w:r>
      </w:hyperlink>
    </w:p>
    <w:p w:rsidR="00756A3E" w:rsidRDefault="00570122">
      <w:pPr>
        <w:pStyle w:val="TOC1"/>
        <w:tabs>
          <w:tab w:val="right" w:leader="dot" w:pos="8834"/>
        </w:tabs>
        <w:rPr>
          <w:rFonts w:asciiTheme="minorHAnsi" w:eastAsiaTheme="minorEastAsia" w:hAnsiTheme="minorHAnsi" w:cstheme="minorBidi"/>
          <w:b w:val="0"/>
          <w:bCs w:val="0"/>
          <w:noProof/>
          <w:color w:val="auto"/>
          <w:sz w:val="22"/>
          <w:szCs w:val="22"/>
          <w:lang w:val="en-NZ" w:eastAsia="en-NZ"/>
        </w:rPr>
      </w:pPr>
      <w:hyperlink w:anchor="_Toc367361645" w:history="1">
        <w:r w:rsidR="00756A3E" w:rsidRPr="002E7981">
          <w:rPr>
            <w:rStyle w:val="Hyperlink"/>
            <w:noProof/>
          </w:rPr>
          <w:t>Chapter 5: Student participation and engagement with learning</w:t>
        </w:r>
        <w:r w:rsidR="00756A3E">
          <w:rPr>
            <w:noProof/>
            <w:webHidden/>
          </w:rPr>
          <w:tab/>
        </w:r>
        <w:r>
          <w:rPr>
            <w:noProof/>
            <w:webHidden/>
          </w:rPr>
          <w:fldChar w:fldCharType="begin"/>
        </w:r>
        <w:r w:rsidR="00756A3E">
          <w:rPr>
            <w:noProof/>
            <w:webHidden/>
          </w:rPr>
          <w:instrText xml:space="preserve"> PAGEREF _Toc367361645 \h </w:instrText>
        </w:r>
        <w:r>
          <w:rPr>
            <w:noProof/>
            <w:webHidden/>
          </w:rPr>
        </w:r>
        <w:r>
          <w:rPr>
            <w:noProof/>
            <w:webHidden/>
          </w:rPr>
          <w:fldChar w:fldCharType="separate"/>
        </w:r>
        <w:r w:rsidR="00A45165">
          <w:rPr>
            <w:noProof/>
            <w:webHidden/>
          </w:rPr>
          <w:t>57</w:t>
        </w:r>
        <w:r>
          <w:rPr>
            <w:noProof/>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46" w:history="1">
        <w:r w:rsidR="00756A3E" w:rsidRPr="002E7981">
          <w:rPr>
            <w:rStyle w:val="Hyperlink"/>
          </w:rPr>
          <w:t>Youths in Education Employment or Training</w:t>
        </w:r>
        <w:r w:rsidR="00756A3E">
          <w:rPr>
            <w:webHidden/>
          </w:rPr>
          <w:tab/>
        </w:r>
        <w:r>
          <w:rPr>
            <w:webHidden/>
          </w:rPr>
          <w:fldChar w:fldCharType="begin"/>
        </w:r>
        <w:r w:rsidR="00756A3E">
          <w:rPr>
            <w:webHidden/>
          </w:rPr>
          <w:instrText xml:space="preserve"> PAGEREF _Toc367361646 \h </w:instrText>
        </w:r>
        <w:r>
          <w:rPr>
            <w:webHidden/>
          </w:rPr>
        </w:r>
        <w:r>
          <w:rPr>
            <w:webHidden/>
          </w:rPr>
          <w:fldChar w:fldCharType="separate"/>
        </w:r>
        <w:r w:rsidR="00A45165">
          <w:rPr>
            <w:webHidden/>
          </w:rPr>
          <w:t>57</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47" w:history="1">
        <w:r w:rsidR="00756A3E" w:rsidRPr="002E7981">
          <w:rPr>
            <w:rStyle w:val="Hyperlink"/>
          </w:rPr>
          <w:t>Non-enrolled students</w:t>
        </w:r>
        <w:r w:rsidR="00756A3E">
          <w:rPr>
            <w:webHidden/>
          </w:rPr>
          <w:tab/>
        </w:r>
        <w:r>
          <w:rPr>
            <w:webHidden/>
          </w:rPr>
          <w:fldChar w:fldCharType="begin"/>
        </w:r>
        <w:r w:rsidR="00756A3E">
          <w:rPr>
            <w:webHidden/>
          </w:rPr>
          <w:instrText xml:space="preserve"> PAGEREF _Toc367361647 \h </w:instrText>
        </w:r>
        <w:r>
          <w:rPr>
            <w:webHidden/>
          </w:rPr>
        </w:r>
        <w:r>
          <w:rPr>
            <w:webHidden/>
          </w:rPr>
          <w:fldChar w:fldCharType="separate"/>
        </w:r>
        <w:r w:rsidR="00A45165">
          <w:rPr>
            <w:webHidden/>
          </w:rPr>
          <w:t>58</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48" w:history="1">
        <w:r w:rsidR="00756A3E" w:rsidRPr="002E7981">
          <w:rPr>
            <w:rStyle w:val="Hyperlink"/>
          </w:rPr>
          <w:t>Retention of students in secondary schooling to 17 years</w:t>
        </w:r>
        <w:r w:rsidR="00756A3E">
          <w:rPr>
            <w:webHidden/>
          </w:rPr>
          <w:tab/>
        </w:r>
        <w:r>
          <w:rPr>
            <w:webHidden/>
          </w:rPr>
          <w:fldChar w:fldCharType="begin"/>
        </w:r>
        <w:r w:rsidR="00756A3E">
          <w:rPr>
            <w:webHidden/>
          </w:rPr>
          <w:instrText xml:space="preserve"> PAGEREF _Toc367361648 \h </w:instrText>
        </w:r>
        <w:r>
          <w:rPr>
            <w:webHidden/>
          </w:rPr>
        </w:r>
        <w:r>
          <w:rPr>
            <w:webHidden/>
          </w:rPr>
          <w:fldChar w:fldCharType="separate"/>
        </w:r>
        <w:r w:rsidR="00A45165">
          <w:rPr>
            <w:webHidden/>
          </w:rPr>
          <w:t>60</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49" w:history="1">
        <w:r w:rsidR="00756A3E" w:rsidRPr="002E7981">
          <w:rPr>
            <w:rStyle w:val="Hyperlink"/>
          </w:rPr>
          <w:t>Early leaving exemptions</w:t>
        </w:r>
        <w:r w:rsidR="00756A3E">
          <w:rPr>
            <w:webHidden/>
          </w:rPr>
          <w:tab/>
        </w:r>
        <w:r>
          <w:rPr>
            <w:webHidden/>
          </w:rPr>
          <w:fldChar w:fldCharType="begin"/>
        </w:r>
        <w:r w:rsidR="00756A3E">
          <w:rPr>
            <w:webHidden/>
          </w:rPr>
          <w:instrText xml:space="preserve"> PAGEREF _Toc367361649 \h </w:instrText>
        </w:r>
        <w:r>
          <w:rPr>
            <w:webHidden/>
          </w:rPr>
        </w:r>
        <w:r>
          <w:rPr>
            <w:webHidden/>
          </w:rPr>
          <w:fldChar w:fldCharType="separate"/>
        </w:r>
        <w:r w:rsidR="00A45165">
          <w:rPr>
            <w:webHidden/>
          </w:rPr>
          <w:t>61</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50" w:history="1">
        <w:r w:rsidR="00756A3E" w:rsidRPr="002E7981">
          <w:rPr>
            <w:rStyle w:val="Hyperlink"/>
          </w:rPr>
          <w:t>Positive Behaviour for Learning</w:t>
        </w:r>
        <w:r w:rsidR="00756A3E">
          <w:rPr>
            <w:webHidden/>
          </w:rPr>
          <w:tab/>
        </w:r>
        <w:r>
          <w:rPr>
            <w:webHidden/>
          </w:rPr>
          <w:fldChar w:fldCharType="begin"/>
        </w:r>
        <w:r w:rsidR="00756A3E">
          <w:rPr>
            <w:webHidden/>
          </w:rPr>
          <w:instrText xml:space="preserve"> PAGEREF _Toc367361650 \h </w:instrText>
        </w:r>
        <w:r>
          <w:rPr>
            <w:webHidden/>
          </w:rPr>
        </w:r>
        <w:r>
          <w:rPr>
            <w:webHidden/>
          </w:rPr>
          <w:fldChar w:fldCharType="separate"/>
        </w:r>
        <w:r w:rsidR="00A45165">
          <w:rPr>
            <w:webHidden/>
          </w:rPr>
          <w:t>64</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51" w:history="1">
        <w:r w:rsidR="00756A3E" w:rsidRPr="002E7981">
          <w:rPr>
            <w:rStyle w:val="Hyperlink"/>
          </w:rPr>
          <w:t>Attendance at school</w:t>
        </w:r>
        <w:r w:rsidR="00756A3E">
          <w:rPr>
            <w:webHidden/>
          </w:rPr>
          <w:tab/>
        </w:r>
        <w:r>
          <w:rPr>
            <w:webHidden/>
          </w:rPr>
          <w:fldChar w:fldCharType="begin"/>
        </w:r>
        <w:r w:rsidR="00756A3E">
          <w:rPr>
            <w:webHidden/>
          </w:rPr>
          <w:instrText xml:space="preserve"> PAGEREF _Toc367361651 \h </w:instrText>
        </w:r>
        <w:r>
          <w:rPr>
            <w:webHidden/>
          </w:rPr>
        </w:r>
        <w:r>
          <w:rPr>
            <w:webHidden/>
          </w:rPr>
          <w:fldChar w:fldCharType="separate"/>
        </w:r>
        <w:r w:rsidR="00A45165">
          <w:rPr>
            <w:webHidden/>
          </w:rPr>
          <w:t>65</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52" w:history="1">
        <w:r w:rsidR="00756A3E" w:rsidRPr="002E7981">
          <w:rPr>
            <w:rStyle w:val="Hyperlink"/>
          </w:rPr>
          <w:t>Stand-downs and suspensions from school</w:t>
        </w:r>
        <w:r w:rsidR="00756A3E">
          <w:rPr>
            <w:webHidden/>
          </w:rPr>
          <w:tab/>
        </w:r>
        <w:r>
          <w:rPr>
            <w:webHidden/>
          </w:rPr>
          <w:fldChar w:fldCharType="begin"/>
        </w:r>
        <w:r w:rsidR="00756A3E">
          <w:rPr>
            <w:webHidden/>
          </w:rPr>
          <w:instrText xml:space="preserve"> PAGEREF _Toc367361652 \h </w:instrText>
        </w:r>
        <w:r>
          <w:rPr>
            <w:webHidden/>
          </w:rPr>
        </w:r>
        <w:r>
          <w:rPr>
            <w:webHidden/>
          </w:rPr>
          <w:fldChar w:fldCharType="separate"/>
        </w:r>
        <w:r w:rsidR="00A45165">
          <w:rPr>
            <w:webHidden/>
          </w:rPr>
          <w:t>68</w:t>
        </w:r>
        <w:r>
          <w:rPr>
            <w:webHidden/>
          </w:rPr>
          <w:fldChar w:fldCharType="end"/>
        </w:r>
      </w:hyperlink>
    </w:p>
    <w:p w:rsidR="00756A3E" w:rsidRDefault="00570122">
      <w:pPr>
        <w:pStyle w:val="TOC1"/>
        <w:tabs>
          <w:tab w:val="right" w:leader="dot" w:pos="8834"/>
        </w:tabs>
        <w:rPr>
          <w:rFonts w:asciiTheme="minorHAnsi" w:eastAsiaTheme="minorEastAsia" w:hAnsiTheme="minorHAnsi" w:cstheme="minorBidi"/>
          <w:b w:val="0"/>
          <w:bCs w:val="0"/>
          <w:noProof/>
          <w:color w:val="auto"/>
          <w:sz w:val="22"/>
          <w:szCs w:val="22"/>
          <w:lang w:val="en-NZ" w:eastAsia="en-NZ"/>
        </w:rPr>
      </w:pPr>
      <w:hyperlink w:anchor="_Toc367361653" w:history="1">
        <w:r w:rsidR="00756A3E" w:rsidRPr="002E7981">
          <w:rPr>
            <w:rStyle w:val="Hyperlink"/>
            <w:noProof/>
          </w:rPr>
          <w:t>Chapter 6: Quality teaching and education providers</w:t>
        </w:r>
        <w:r w:rsidR="00756A3E">
          <w:rPr>
            <w:noProof/>
            <w:webHidden/>
          </w:rPr>
          <w:tab/>
        </w:r>
        <w:r>
          <w:rPr>
            <w:noProof/>
            <w:webHidden/>
          </w:rPr>
          <w:fldChar w:fldCharType="begin"/>
        </w:r>
        <w:r w:rsidR="00756A3E">
          <w:rPr>
            <w:noProof/>
            <w:webHidden/>
          </w:rPr>
          <w:instrText xml:space="preserve"> PAGEREF _Toc367361653 \h </w:instrText>
        </w:r>
        <w:r>
          <w:rPr>
            <w:noProof/>
            <w:webHidden/>
          </w:rPr>
        </w:r>
        <w:r>
          <w:rPr>
            <w:noProof/>
            <w:webHidden/>
          </w:rPr>
          <w:fldChar w:fldCharType="separate"/>
        </w:r>
        <w:r w:rsidR="00A45165">
          <w:rPr>
            <w:noProof/>
            <w:webHidden/>
          </w:rPr>
          <w:t>72</w:t>
        </w:r>
        <w:r>
          <w:rPr>
            <w:noProof/>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54" w:history="1">
        <w:r w:rsidR="00756A3E" w:rsidRPr="002E7981">
          <w:rPr>
            <w:rStyle w:val="Hyperlink"/>
          </w:rPr>
          <w:t>Teachers</w:t>
        </w:r>
        <w:r w:rsidR="00756A3E">
          <w:rPr>
            <w:webHidden/>
          </w:rPr>
          <w:tab/>
        </w:r>
        <w:r>
          <w:rPr>
            <w:webHidden/>
          </w:rPr>
          <w:fldChar w:fldCharType="begin"/>
        </w:r>
        <w:r w:rsidR="00756A3E">
          <w:rPr>
            <w:webHidden/>
          </w:rPr>
          <w:instrText xml:space="preserve"> PAGEREF _Toc367361654 \h </w:instrText>
        </w:r>
        <w:r>
          <w:rPr>
            <w:webHidden/>
          </w:rPr>
        </w:r>
        <w:r>
          <w:rPr>
            <w:webHidden/>
          </w:rPr>
          <w:fldChar w:fldCharType="separate"/>
        </w:r>
        <w:r w:rsidR="00A45165">
          <w:rPr>
            <w:webHidden/>
          </w:rPr>
          <w:t>72</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55" w:history="1">
        <w:r w:rsidR="00756A3E" w:rsidRPr="002E7981">
          <w:rPr>
            <w:rStyle w:val="Hyperlink"/>
          </w:rPr>
          <w:t>Professional learning and development</w:t>
        </w:r>
        <w:r w:rsidR="00756A3E">
          <w:rPr>
            <w:webHidden/>
          </w:rPr>
          <w:tab/>
        </w:r>
        <w:r>
          <w:rPr>
            <w:webHidden/>
          </w:rPr>
          <w:fldChar w:fldCharType="begin"/>
        </w:r>
        <w:r w:rsidR="00756A3E">
          <w:rPr>
            <w:webHidden/>
          </w:rPr>
          <w:instrText xml:space="preserve"> PAGEREF _Toc367361655 \h </w:instrText>
        </w:r>
        <w:r>
          <w:rPr>
            <w:webHidden/>
          </w:rPr>
        </w:r>
        <w:r>
          <w:rPr>
            <w:webHidden/>
          </w:rPr>
          <w:fldChar w:fldCharType="separate"/>
        </w:r>
        <w:r w:rsidR="00A45165">
          <w:rPr>
            <w:webHidden/>
          </w:rPr>
          <w:t>73</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56" w:history="1">
        <w:r w:rsidR="00756A3E" w:rsidRPr="002E7981">
          <w:rPr>
            <w:rStyle w:val="Hyperlink"/>
          </w:rPr>
          <w:t>Student Achievement Function</w:t>
        </w:r>
        <w:r w:rsidR="00756A3E">
          <w:rPr>
            <w:webHidden/>
          </w:rPr>
          <w:tab/>
        </w:r>
        <w:r>
          <w:rPr>
            <w:webHidden/>
          </w:rPr>
          <w:fldChar w:fldCharType="begin"/>
        </w:r>
        <w:r w:rsidR="00756A3E">
          <w:rPr>
            <w:webHidden/>
          </w:rPr>
          <w:instrText xml:space="preserve"> PAGEREF _Toc367361656 \h </w:instrText>
        </w:r>
        <w:r>
          <w:rPr>
            <w:webHidden/>
          </w:rPr>
        </w:r>
        <w:r>
          <w:rPr>
            <w:webHidden/>
          </w:rPr>
          <w:fldChar w:fldCharType="separate"/>
        </w:r>
        <w:r w:rsidR="00A45165">
          <w:rPr>
            <w:webHidden/>
          </w:rPr>
          <w:t>74</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57" w:history="1">
        <w:r w:rsidR="00756A3E" w:rsidRPr="002E7981">
          <w:rPr>
            <w:rStyle w:val="Hyperlink"/>
          </w:rPr>
          <w:t>Services and support for children and young people with special education needs</w:t>
        </w:r>
        <w:r w:rsidR="00756A3E">
          <w:rPr>
            <w:webHidden/>
          </w:rPr>
          <w:tab/>
        </w:r>
        <w:r>
          <w:rPr>
            <w:webHidden/>
          </w:rPr>
          <w:fldChar w:fldCharType="begin"/>
        </w:r>
        <w:r w:rsidR="00756A3E">
          <w:rPr>
            <w:webHidden/>
          </w:rPr>
          <w:instrText xml:space="preserve"> PAGEREF _Toc367361657 \h </w:instrText>
        </w:r>
        <w:r>
          <w:rPr>
            <w:webHidden/>
          </w:rPr>
        </w:r>
        <w:r>
          <w:rPr>
            <w:webHidden/>
          </w:rPr>
          <w:fldChar w:fldCharType="separate"/>
        </w:r>
        <w:r w:rsidR="00A45165">
          <w:rPr>
            <w:webHidden/>
          </w:rPr>
          <w:t>75</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58" w:history="1">
        <w:r w:rsidR="00756A3E" w:rsidRPr="002E7981">
          <w:rPr>
            <w:rStyle w:val="Hyperlink"/>
          </w:rPr>
          <w:t>School leadership</w:t>
        </w:r>
        <w:r w:rsidR="00756A3E">
          <w:rPr>
            <w:webHidden/>
          </w:rPr>
          <w:tab/>
        </w:r>
        <w:r>
          <w:rPr>
            <w:webHidden/>
          </w:rPr>
          <w:fldChar w:fldCharType="begin"/>
        </w:r>
        <w:r w:rsidR="00756A3E">
          <w:rPr>
            <w:webHidden/>
          </w:rPr>
          <w:instrText xml:space="preserve"> PAGEREF _Toc367361658 \h </w:instrText>
        </w:r>
        <w:r>
          <w:rPr>
            <w:webHidden/>
          </w:rPr>
        </w:r>
        <w:r>
          <w:rPr>
            <w:webHidden/>
          </w:rPr>
          <w:fldChar w:fldCharType="separate"/>
        </w:r>
        <w:r w:rsidR="00A45165">
          <w:rPr>
            <w:webHidden/>
          </w:rPr>
          <w:t>75</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59" w:history="1">
        <w:r w:rsidR="00756A3E" w:rsidRPr="002E7981">
          <w:rPr>
            <w:rStyle w:val="Hyperlink"/>
          </w:rPr>
          <w:t>Community representation by school trustees</w:t>
        </w:r>
        <w:r w:rsidR="00756A3E">
          <w:rPr>
            <w:webHidden/>
          </w:rPr>
          <w:tab/>
        </w:r>
        <w:r>
          <w:rPr>
            <w:webHidden/>
          </w:rPr>
          <w:fldChar w:fldCharType="begin"/>
        </w:r>
        <w:r w:rsidR="00756A3E">
          <w:rPr>
            <w:webHidden/>
          </w:rPr>
          <w:instrText xml:space="preserve"> PAGEREF _Toc367361659 \h </w:instrText>
        </w:r>
        <w:r>
          <w:rPr>
            <w:webHidden/>
          </w:rPr>
        </w:r>
        <w:r>
          <w:rPr>
            <w:webHidden/>
          </w:rPr>
          <w:fldChar w:fldCharType="separate"/>
        </w:r>
        <w:r w:rsidR="00A45165">
          <w:rPr>
            <w:webHidden/>
          </w:rPr>
          <w:t>78</w:t>
        </w:r>
        <w:r>
          <w:rPr>
            <w:webHidden/>
          </w:rPr>
          <w:fldChar w:fldCharType="end"/>
        </w:r>
      </w:hyperlink>
    </w:p>
    <w:p w:rsidR="00756A3E" w:rsidRDefault="00570122">
      <w:pPr>
        <w:pStyle w:val="TOC1"/>
        <w:tabs>
          <w:tab w:val="right" w:leader="dot" w:pos="8834"/>
        </w:tabs>
        <w:rPr>
          <w:rFonts w:asciiTheme="minorHAnsi" w:eastAsiaTheme="minorEastAsia" w:hAnsiTheme="minorHAnsi" w:cstheme="minorBidi"/>
          <w:b w:val="0"/>
          <w:bCs w:val="0"/>
          <w:noProof/>
          <w:color w:val="auto"/>
          <w:sz w:val="22"/>
          <w:szCs w:val="22"/>
          <w:lang w:val="en-NZ" w:eastAsia="en-NZ"/>
        </w:rPr>
      </w:pPr>
      <w:hyperlink w:anchor="_Toc367361660" w:history="1">
        <w:r w:rsidR="00756A3E" w:rsidRPr="002E7981">
          <w:rPr>
            <w:rStyle w:val="Hyperlink"/>
            <w:noProof/>
          </w:rPr>
          <w:t>Appendix one</w:t>
        </w:r>
        <w:r w:rsidR="00756A3E">
          <w:rPr>
            <w:noProof/>
            <w:webHidden/>
          </w:rPr>
          <w:tab/>
        </w:r>
        <w:r>
          <w:rPr>
            <w:noProof/>
            <w:webHidden/>
          </w:rPr>
          <w:fldChar w:fldCharType="begin"/>
        </w:r>
        <w:r w:rsidR="00756A3E">
          <w:rPr>
            <w:noProof/>
            <w:webHidden/>
          </w:rPr>
          <w:instrText xml:space="preserve"> PAGEREF _Toc367361660 \h </w:instrText>
        </w:r>
        <w:r>
          <w:rPr>
            <w:noProof/>
            <w:webHidden/>
          </w:rPr>
        </w:r>
        <w:r>
          <w:rPr>
            <w:noProof/>
            <w:webHidden/>
          </w:rPr>
          <w:fldChar w:fldCharType="separate"/>
        </w:r>
        <w:r w:rsidR="00A45165">
          <w:rPr>
            <w:noProof/>
            <w:webHidden/>
          </w:rPr>
          <w:t>80</w:t>
        </w:r>
        <w:r>
          <w:rPr>
            <w:noProof/>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61" w:history="1">
        <w:r w:rsidR="00756A3E" w:rsidRPr="002E7981">
          <w:rPr>
            <w:rStyle w:val="Hyperlink"/>
            <w:lang w:eastAsia="en-NZ"/>
          </w:rPr>
          <w:t>Plans to address pressures on school capacity</w:t>
        </w:r>
        <w:r w:rsidR="00756A3E">
          <w:rPr>
            <w:webHidden/>
          </w:rPr>
          <w:tab/>
        </w:r>
        <w:r>
          <w:rPr>
            <w:webHidden/>
          </w:rPr>
          <w:fldChar w:fldCharType="begin"/>
        </w:r>
        <w:r w:rsidR="00756A3E">
          <w:rPr>
            <w:webHidden/>
          </w:rPr>
          <w:instrText xml:space="preserve"> PAGEREF _Toc367361661 \h </w:instrText>
        </w:r>
        <w:r>
          <w:rPr>
            <w:webHidden/>
          </w:rPr>
        </w:r>
        <w:r>
          <w:rPr>
            <w:webHidden/>
          </w:rPr>
          <w:fldChar w:fldCharType="separate"/>
        </w:r>
        <w:r w:rsidR="00A45165">
          <w:rPr>
            <w:webHidden/>
          </w:rPr>
          <w:t>80</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62" w:history="1">
        <w:r w:rsidR="00756A3E" w:rsidRPr="002E7981">
          <w:rPr>
            <w:rStyle w:val="Hyperlink"/>
          </w:rPr>
          <w:t>Schools with enrolment schemes in place for part of or all of 2012</w:t>
        </w:r>
        <w:r w:rsidR="00756A3E">
          <w:rPr>
            <w:webHidden/>
          </w:rPr>
          <w:tab/>
        </w:r>
        <w:r>
          <w:rPr>
            <w:webHidden/>
          </w:rPr>
          <w:fldChar w:fldCharType="begin"/>
        </w:r>
        <w:r w:rsidR="00756A3E">
          <w:rPr>
            <w:webHidden/>
          </w:rPr>
          <w:instrText xml:space="preserve"> PAGEREF _Toc367361662 \h </w:instrText>
        </w:r>
        <w:r>
          <w:rPr>
            <w:webHidden/>
          </w:rPr>
        </w:r>
        <w:r>
          <w:rPr>
            <w:webHidden/>
          </w:rPr>
          <w:fldChar w:fldCharType="separate"/>
        </w:r>
        <w:r w:rsidR="00A45165">
          <w:rPr>
            <w:webHidden/>
          </w:rPr>
          <w:t>82</w:t>
        </w:r>
        <w:r>
          <w:rPr>
            <w:webHidden/>
          </w:rPr>
          <w:fldChar w:fldCharType="end"/>
        </w:r>
      </w:hyperlink>
    </w:p>
    <w:p w:rsidR="00756A3E" w:rsidRDefault="00570122">
      <w:pPr>
        <w:pStyle w:val="TOC1"/>
        <w:tabs>
          <w:tab w:val="right" w:leader="dot" w:pos="8834"/>
        </w:tabs>
        <w:rPr>
          <w:rFonts w:asciiTheme="minorHAnsi" w:eastAsiaTheme="minorEastAsia" w:hAnsiTheme="minorHAnsi" w:cstheme="minorBidi"/>
          <w:b w:val="0"/>
          <w:bCs w:val="0"/>
          <w:noProof/>
          <w:color w:val="auto"/>
          <w:sz w:val="22"/>
          <w:szCs w:val="22"/>
          <w:lang w:val="en-NZ" w:eastAsia="en-NZ"/>
        </w:rPr>
      </w:pPr>
      <w:hyperlink w:anchor="_Toc367361663" w:history="1">
        <w:r w:rsidR="00756A3E" w:rsidRPr="002E7981">
          <w:rPr>
            <w:rStyle w:val="Hyperlink"/>
            <w:noProof/>
          </w:rPr>
          <w:t>Appendix 2</w:t>
        </w:r>
        <w:r w:rsidR="00756A3E">
          <w:rPr>
            <w:noProof/>
            <w:webHidden/>
          </w:rPr>
          <w:tab/>
        </w:r>
        <w:r>
          <w:rPr>
            <w:noProof/>
            <w:webHidden/>
          </w:rPr>
          <w:fldChar w:fldCharType="begin"/>
        </w:r>
        <w:r w:rsidR="00756A3E">
          <w:rPr>
            <w:noProof/>
            <w:webHidden/>
          </w:rPr>
          <w:instrText xml:space="preserve"> PAGEREF _Toc367361663 \h </w:instrText>
        </w:r>
        <w:r>
          <w:rPr>
            <w:noProof/>
            <w:webHidden/>
          </w:rPr>
        </w:r>
        <w:r>
          <w:rPr>
            <w:noProof/>
            <w:webHidden/>
          </w:rPr>
          <w:fldChar w:fldCharType="separate"/>
        </w:r>
        <w:r w:rsidR="00A45165">
          <w:rPr>
            <w:noProof/>
            <w:webHidden/>
          </w:rPr>
          <w:t>89</w:t>
        </w:r>
        <w:r>
          <w:rPr>
            <w:noProof/>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64" w:history="1">
        <w:r w:rsidR="00756A3E" w:rsidRPr="002E7981">
          <w:rPr>
            <w:rStyle w:val="Hyperlink"/>
            <w:lang w:eastAsia="en-NZ"/>
          </w:rPr>
          <w:t>Statement of Results</w:t>
        </w:r>
        <w:r w:rsidR="00756A3E">
          <w:rPr>
            <w:webHidden/>
          </w:rPr>
          <w:tab/>
        </w:r>
        <w:r>
          <w:rPr>
            <w:webHidden/>
          </w:rPr>
          <w:fldChar w:fldCharType="begin"/>
        </w:r>
        <w:r w:rsidR="00756A3E">
          <w:rPr>
            <w:webHidden/>
          </w:rPr>
          <w:instrText xml:space="preserve"> PAGEREF _Toc367361664 \h </w:instrText>
        </w:r>
        <w:r>
          <w:rPr>
            <w:webHidden/>
          </w:rPr>
        </w:r>
        <w:r>
          <w:rPr>
            <w:webHidden/>
          </w:rPr>
          <w:fldChar w:fldCharType="separate"/>
        </w:r>
        <w:r w:rsidR="00A45165">
          <w:rPr>
            <w:webHidden/>
          </w:rPr>
          <w:t>89</w:t>
        </w:r>
        <w:r>
          <w:rPr>
            <w:webHidden/>
          </w:rPr>
          <w:fldChar w:fldCharType="end"/>
        </w:r>
      </w:hyperlink>
    </w:p>
    <w:p w:rsidR="00756A3E" w:rsidRDefault="00570122">
      <w:pPr>
        <w:pStyle w:val="TOC2"/>
        <w:rPr>
          <w:rFonts w:asciiTheme="minorHAnsi" w:eastAsiaTheme="minorEastAsia" w:hAnsiTheme="minorHAnsi" w:cstheme="minorBidi"/>
          <w:bCs w:val="0"/>
          <w:iCs w:val="0"/>
          <w:sz w:val="22"/>
          <w:szCs w:val="22"/>
          <w:lang w:val="en-NZ" w:eastAsia="en-NZ"/>
        </w:rPr>
      </w:pPr>
      <w:hyperlink w:anchor="_Toc367361665" w:history="1">
        <w:r w:rsidR="00756A3E" w:rsidRPr="002E7981">
          <w:rPr>
            <w:rStyle w:val="Hyperlink"/>
          </w:rPr>
          <w:t>Non-departmental other expenses</w:t>
        </w:r>
        <w:r w:rsidR="00756A3E">
          <w:rPr>
            <w:webHidden/>
          </w:rPr>
          <w:tab/>
        </w:r>
        <w:r>
          <w:rPr>
            <w:webHidden/>
          </w:rPr>
          <w:fldChar w:fldCharType="begin"/>
        </w:r>
        <w:r w:rsidR="00756A3E">
          <w:rPr>
            <w:webHidden/>
          </w:rPr>
          <w:instrText xml:space="preserve"> PAGEREF _Toc367361665 \h </w:instrText>
        </w:r>
        <w:r>
          <w:rPr>
            <w:webHidden/>
          </w:rPr>
        </w:r>
        <w:r>
          <w:rPr>
            <w:webHidden/>
          </w:rPr>
          <w:fldChar w:fldCharType="separate"/>
        </w:r>
        <w:r w:rsidR="00A45165">
          <w:rPr>
            <w:webHidden/>
          </w:rPr>
          <w:t>89</w:t>
        </w:r>
        <w:r>
          <w:rPr>
            <w:webHidden/>
          </w:rPr>
          <w:fldChar w:fldCharType="end"/>
        </w:r>
      </w:hyperlink>
    </w:p>
    <w:p w:rsidR="00756A3E" w:rsidRDefault="00570122">
      <w:pPr>
        <w:pStyle w:val="TOC1"/>
        <w:tabs>
          <w:tab w:val="right" w:leader="dot" w:pos="8834"/>
        </w:tabs>
        <w:rPr>
          <w:noProof/>
        </w:rPr>
      </w:pPr>
      <w:hyperlink w:anchor="_Toc367361666" w:history="1">
        <w:r w:rsidR="00756A3E" w:rsidRPr="002E7981">
          <w:rPr>
            <w:rStyle w:val="Hyperlink"/>
            <w:noProof/>
          </w:rPr>
          <w:t>References</w:t>
        </w:r>
        <w:r w:rsidR="00756A3E">
          <w:rPr>
            <w:noProof/>
            <w:webHidden/>
          </w:rPr>
          <w:tab/>
        </w:r>
        <w:r>
          <w:rPr>
            <w:noProof/>
            <w:webHidden/>
          </w:rPr>
          <w:fldChar w:fldCharType="begin"/>
        </w:r>
        <w:r w:rsidR="00756A3E">
          <w:rPr>
            <w:noProof/>
            <w:webHidden/>
          </w:rPr>
          <w:instrText xml:space="preserve"> PAGEREF _Toc367361666 \h </w:instrText>
        </w:r>
        <w:r>
          <w:rPr>
            <w:noProof/>
            <w:webHidden/>
          </w:rPr>
        </w:r>
        <w:r>
          <w:rPr>
            <w:noProof/>
            <w:webHidden/>
          </w:rPr>
          <w:fldChar w:fldCharType="separate"/>
        </w:r>
        <w:r w:rsidR="00A45165">
          <w:rPr>
            <w:noProof/>
            <w:webHidden/>
          </w:rPr>
          <w:t>97</w:t>
        </w:r>
        <w:r>
          <w:rPr>
            <w:noProof/>
            <w:webHidden/>
          </w:rPr>
          <w:fldChar w:fldCharType="end"/>
        </w:r>
      </w:hyperlink>
    </w:p>
    <w:p w:rsidR="00A45165" w:rsidRPr="00A45165" w:rsidRDefault="00A45165" w:rsidP="00A45165">
      <w:pPr>
        <w:rPr>
          <w:rFonts w:eastAsiaTheme="minorEastAsia"/>
        </w:rPr>
      </w:pPr>
    </w:p>
    <w:p w:rsidR="00D032E8" w:rsidRPr="000C4C95" w:rsidRDefault="00570122" w:rsidP="006C764F">
      <w:pPr>
        <w:pStyle w:val="Heading2"/>
      </w:pPr>
      <w:r w:rsidRPr="0060013A">
        <w:rPr>
          <w:rFonts w:ascii="OSML" w:hAnsi="OSML"/>
          <w:highlight w:val="yellow"/>
        </w:rPr>
        <w:fldChar w:fldCharType="end"/>
      </w:r>
      <w:bookmarkStart w:id="6" w:name="_Toc304542846"/>
      <w:bookmarkStart w:id="7" w:name="_Toc304799223"/>
      <w:bookmarkStart w:id="8" w:name="_Toc334521975"/>
      <w:bookmarkStart w:id="9" w:name="_Toc363719975"/>
      <w:bookmarkStart w:id="10" w:name="_Toc367361615"/>
      <w:r w:rsidR="006C764F" w:rsidRPr="000C4C95">
        <w:t>Figures</w:t>
      </w:r>
      <w:bookmarkEnd w:id="6"/>
      <w:bookmarkEnd w:id="7"/>
      <w:bookmarkEnd w:id="8"/>
      <w:bookmarkEnd w:id="9"/>
      <w:bookmarkEnd w:id="10"/>
    </w:p>
    <w:p w:rsidR="00756A3E" w:rsidRDefault="00570122">
      <w:pPr>
        <w:pStyle w:val="TOC3"/>
        <w:rPr>
          <w:rFonts w:asciiTheme="minorHAnsi" w:eastAsiaTheme="minorEastAsia" w:hAnsiTheme="minorHAnsi" w:cstheme="minorBidi"/>
          <w:noProof/>
          <w:sz w:val="22"/>
          <w:szCs w:val="22"/>
          <w:lang w:val="en-NZ" w:eastAsia="en-NZ"/>
        </w:rPr>
      </w:pPr>
      <w:r w:rsidRPr="00570122">
        <w:rPr>
          <w:rFonts w:ascii="OSML" w:hAnsi="OSML"/>
          <w:sz w:val="18"/>
          <w:highlight w:val="yellow"/>
        </w:rPr>
        <w:fldChar w:fldCharType="begin"/>
      </w:r>
      <w:r w:rsidR="006C764F" w:rsidRPr="0060013A">
        <w:rPr>
          <w:highlight w:val="yellow"/>
        </w:rPr>
        <w:instrText xml:space="preserve"> TOC \h \z \t "Figure Heading,3" </w:instrText>
      </w:r>
      <w:r w:rsidRPr="00570122">
        <w:rPr>
          <w:rFonts w:ascii="OSML" w:hAnsi="OSML"/>
          <w:sz w:val="18"/>
          <w:highlight w:val="yellow"/>
        </w:rPr>
        <w:fldChar w:fldCharType="separate"/>
      </w:r>
      <w:hyperlink w:anchor="_Toc367361578" w:history="1">
        <w:r w:rsidR="00756A3E" w:rsidRPr="00BD4D88">
          <w:rPr>
            <w:rStyle w:val="Hyperlink"/>
            <w:noProof/>
          </w:rPr>
          <w:t>Figure 1:</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Schooling options for young people of compulsory school attendance age</w:t>
        </w:r>
        <w:r w:rsidR="00756A3E">
          <w:rPr>
            <w:noProof/>
            <w:webHidden/>
          </w:rPr>
          <w:tab/>
        </w:r>
        <w:r>
          <w:rPr>
            <w:noProof/>
            <w:webHidden/>
          </w:rPr>
          <w:fldChar w:fldCharType="begin"/>
        </w:r>
        <w:r w:rsidR="00756A3E">
          <w:rPr>
            <w:noProof/>
            <w:webHidden/>
          </w:rPr>
          <w:instrText xml:space="preserve"> PAGEREF _Toc367361578 \h </w:instrText>
        </w:r>
        <w:r>
          <w:rPr>
            <w:noProof/>
            <w:webHidden/>
          </w:rPr>
        </w:r>
        <w:r>
          <w:rPr>
            <w:noProof/>
            <w:webHidden/>
          </w:rPr>
          <w:fldChar w:fldCharType="separate"/>
        </w:r>
        <w:r w:rsidR="00A45165">
          <w:rPr>
            <w:noProof/>
            <w:webHidden/>
          </w:rPr>
          <w:t>7</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79" w:history="1">
        <w:r w:rsidR="00756A3E" w:rsidRPr="00BD4D88">
          <w:rPr>
            <w:rStyle w:val="Hyperlink"/>
            <w:noProof/>
          </w:rPr>
          <w:t>Figure 2:</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Nominal and real operational grants to schools, 2002–2012</w:t>
        </w:r>
        <w:r w:rsidR="00756A3E">
          <w:rPr>
            <w:noProof/>
            <w:webHidden/>
          </w:rPr>
          <w:tab/>
        </w:r>
        <w:r>
          <w:rPr>
            <w:noProof/>
            <w:webHidden/>
          </w:rPr>
          <w:fldChar w:fldCharType="begin"/>
        </w:r>
        <w:r w:rsidR="00756A3E">
          <w:rPr>
            <w:noProof/>
            <w:webHidden/>
          </w:rPr>
          <w:instrText xml:space="preserve"> PAGEREF _Toc367361579 \h </w:instrText>
        </w:r>
        <w:r>
          <w:rPr>
            <w:noProof/>
            <w:webHidden/>
          </w:rPr>
        </w:r>
        <w:r>
          <w:rPr>
            <w:noProof/>
            <w:webHidden/>
          </w:rPr>
          <w:fldChar w:fldCharType="separate"/>
        </w:r>
        <w:r w:rsidR="00A45165">
          <w:rPr>
            <w:noProof/>
            <w:webHidden/>
          </w:rPr>
          <w:t>23</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80" w:history="1">
        <w:r w:rsidR="00756A3E" w:rsidRPr="00BD4D88">
          <w:rPr>
            <w:rStyle w:val="Hyperlink"/>
            <w:noProof/>
          </w:rPr>
          <w:t>Figure 3:</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Teacher salary funding to state and state-integrated schools, 2002–2012</w:t>
        </w:r>
        <w:r w:rsidR="00756A3E">
          <w:rPr>
            <w:noProof/>
            <w:webHidden/>
          </w:rPr>
          <w:tab/>
        </w:r>
        <w:r>
          <w:rPr>
            <w:noProof/>
            <w:webHidden/>
          </w:rPr>
          <w:fldChar w:fldCharType="begin"/>
        </w:r>
        <w:r w:rsidR="00756A3E">
          <w:rPr>
            <w:noProof/>
            <w:webHidden/>
          </w:rPr>
          <w:instrText xml:space="preserve"> PAGEREF _Toc367361580 \h </w:instrText>
        </w:r>
        <w:r>
          <w:rPr>
            <w:noProof/>
            <w:webHidden/>
          </w:rPr>
        </w:r>
        <w:r>
          <w:rPr>
            <w:noProof/>
            <w:webHidden/>
          </w:rPr>
          <w:fldChar w:fldCharType="separate"/>
        </w:r>
        <w:r w:rsidR="00A45165">
          <w:rPr>
            <w:noProof/>
            <w:webHidden/>
          </w:rPr>
          <w:t>24</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81" w:history="1">
        <w:r w:rsidR="00756A3E" w:rsidRPr="00BD4D88">
          <w:rPr>
            <w:rStyle w:val="Hyperlink"/>
            <w:noProof/>
          </w:rPr>
          <w:t>Figure 4:</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Direct property funding to schools, 2002–2012</w:t>
        </w:r>
        <w:r w:rsidR="00756A3E">
          <w:rPr>
            <w:noProof/>
            <w:webHidden/>
          </w:rPr>
          <w:tab/>
        </w:r>
        <w:r>
          <w:rPr>
            <w:noProof/>
            <w:webHidden/>
          </w:rPr>
          <w:fldChar w:fldCharType="begin"/>
        </w:r>
        <w:r w:rsidR="00756A3E">
          <w:rPr>
            <w:noProof/>
            <w:webHidden/>
          </w:rPr>
          <w:instrText xml:space="preserve"> PAGEREF _Toc367361581 \h </w:instrText>
        </w:r>
        <w:r>
          <w:rPr>
            <w:noProof/>
            <w:webHidden/>
          </w:rPr>
        </w:r>
        <w:r>
          <w:rPr>
            <w:noProof/>
            <w:webHidden/>
          </w:rPr>
          <w:fldChar w:fldCharType="separate"/>
        </w:r>
        <w:r w:rsidR="00A45165">
          <w:rPr>
            <w:noProof/>
            <w:webHidden/>
          </w:rPr>
          <w:t>24</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82" w:history="1">
        <w:r w:rsidR="00756A3E" w:rsidRPr="00BD4D88">
          <w:rPr>
            <w:rStyle w:val="Hyperlink"/>
            <w:noProof/>
          </w:rPr>
          <w:t>Figure 5:</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students meeting the National Standard for Reading, 2011 to 2012</w:t>
        </w:r>
        <w:r w:rsidR="00756A3E">
          <w:rPr>
            <w:noProof/>
            <w:webHidden/>
          </w:rPr>
          <w:tab/>
        </w:r>
        <w:r>
          <w:rPr>
            <w:noProof/>
            <w:webHidden/>
          </w:rPr>
          <w:fldChar w:fldCharType="begin"/>
        </w:r>
        <w:r w:rsidR="00756A3E">
          <w:rPr>
            <w:noProof/>
            <w:webHidden/>
          </w:rPr>
          <w:instrText xml:space="preserve"> PAGEREF _Toc367361582 \h </w:instrText>
        </w:r>
        <w:r>
          <w:rPr>
            <w:noProof/>
            <w:webHidden/>
          </w:rPr>
        </w:r>
        <w:r>
          <w:rPr>
            <w:noProof/>
            <w:webHidden/>
          </w:rPr>
          <w:fldChar w:fldCharType="separate"/>
        </w:r>
        <w:r w:rsidR="00A45165">
          <w:rPr>
            <w:noProof/>
            <w:webHidden/>
          </w:rPr>
          <w:t>31</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83" w:history="1">
        <w:r w:rsidR="00756A3E" w:rsidRPr="00BD4D88">
          <w:rPr>
            <w:rStyle w:val="Hyperlink"/>
            <w:noProof/>
          </w:rPr>
          <w:t>Figure 6:</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students meeting Ngā Whanaketanga Reo, by gender, 2012</w:t>
        </w:r>
        <w:r w:rsidR="00756A3E">
          <w:rPr>
            <w:noProof/>
            <w:webHidden/>
          </w:rPr>
          <w:tab/>
        </w:r>
        <w:r>
          <w:rPr>
            <w:noProof/>
            <w:webHidden/>
          </w:rPr>
          <w:fldChar w:fldCharType="begin"/>
        </w:r>
        <w:r w:rsidR="00756A3E">
          <w:rPr>
            <w:noProof/>
            <w:webHidden/>
          </w:rPr>
          <w:instrText xml:space="preserve"> PAGEREF _Toc367361583 \h </w:instrText>
        </w:r>
        <w:r>
          <w:rPr>
            <w:noProof/>
            <w:webHidden/>
          </w:rPr>
        </w:r>
        <w:r>
          <w:rPr>
            <w:noProof/>
            <w:webHidden/>
          </w:rPr>
          <w:fldChar w:fldCharType="separate"/>
        </w:r>
        <w:r w:rsidR="00A45165">
          <w:rPr>
            <w:noProof/>
            <w:webHidden/>
          </w:rPr>
          <w:t>31</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84" w:history="1">
        <w:r w:rsidR="00756A3E" w:rsidRPr="00BD4D88">
          <w:rPr>
            <w:rStyle w:val="Hyperlink"/>
            <w:noProof/>
          </w:rPr>
          <w:t>Figure 7:</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students meeting the National Standard for Writing, 2011 to 2012</w:t>
        </w:r>
        <w:r w:rsidR="00756A3E">
          <w:rPr>
            <w:noProof/>
            <w:webHidden/>
          </w:rPr>
          <w:tab/>
        </w:r>
        <w:r>
          <w:rPr>
            <w:noProof/>
            <w:webHidden/>
          </w:rPr>
          <w:fldChar w:fldCharType="begin"/>
        </w:r>
        <w:r w:rsidR="00756A3E">
          <w:rPr>
            <w:noProof/>
            <w:webHidden/>
          </w:rPr>
          <w:instrText xml:space="preserve"> PAGEREF _Toc367361584 \h </w:instrText>
        </w:r>
        <w:r>
          <w:rPr>
            <w:noProof/>
            <w:webHidden/>
          </w:rPr>
        </w:r>
        <w:r>
          <w:rPr>
            <w:noProof/>
            <w:webHidden/>
          </w:rPr>
          <w:fldChar w:fldCharType="separate"/>
        </w:r>
        <w:r w:rsidR="00A45165">
          <w:rPr>
            <w:noProof/>
            <w:webHidden/>
          </w:rPr>
          <w:t>33</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85" w:history="1">
        <w:r w:rsidR="00756A3E" w:rsidRPr="00BD4D88">
          <w:rPr>
            <w:rStyle w:val="Hyperlink"/>
            <w:noProof/>
          </w:rPr>
          <w:t>Figure 8:</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15-year-old students who met the literacy and numeracy requirements for NCEA Level 1, 2008-2012</w:t>
        </w:r>
        <w:r w:rsidR="00756A3E">
          <w:rPr>
            <w:noProof/>
            <w:webHidden/>
          </w:rPr>
          <w:tab/>
        </w:r>
        <w:r>
          <w:rPr>
            <w:noProof/>
            <w:webHidden/>
          </w:rPr>
          <w:fldChar w:fldCharType="begin"/>
        </w:r>
        <w:r w:rsidR="00756A3E">
          <w:rPr>
            <w:noProof/>
            <w:webHidden/>
          </w:rPr>
          <w:instrText xml:space="preserve"> PAGEREF _Toc367361585 \h </w:instrText>
        </w:r>
        <w:r>
          <w:rPr>
            <w:noProof/>
            <w:webHidden/>
          </w:rPr>
        </w:r>
        <w:r>
          <w:rPr>
            <w:noProof/>
            <w:webHidden/>
          </w:rPr>
          <w:fldChar w:fldCharType="separate"/>
        </w:r>
        <w:r w:rsidR="00A45165">
          <w:rPr>
            <w:noProof/>
            <w:webHidden/>
          </w:rPr>
          <w:t>34</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86" w:history="1">
        <w:r w:rsidR="00756A3E" w:rsidRPr="00BD4D88">
          <w:rPr>
            <w:rStyle w:val="Hyperlink"/>
            <w:noProof/>
          </w:rPr>
          <w:t>Figure 9:</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15-year-old students meeting NCEA Level 1 literacy and numeracy requirements, by ethnicity, 2008-2012</w:t>
        </w:r>
        <w:r w:rsidR="00756A3E">
          <w:rPr>
            <w:noProof/>
            <w:webHidden/>
          </w:rPr>
          <w:tab/>
        </w:r>
        <w:r>
          <w:rPr>
            <w:noProof/>
            <w:webHidden/>
          </w:rPr>
          <w:fldChar w:fldCharType="begin"/>
        </w:r>
        <w:r w:rsidR="00756A3E">
          <w:rPr>
            <w:noProof/>
            <w:webHidden/>
          </w:rPr>
          <w:instrText xml:space="preserve"> PAGEREF _Toc367361586 \h </w:instrText>
        </w:r>
        <w:r>
          <w:rPr>
            <w:noProof/>
            <w:webHidden/>
          </w:rPr>
        </w:r>
        <w:r>
          <w:rPr>
            <w:noProof/>
            <w:webHidden/>
          </w:rPr>
          <w:fldChar w:fldCharType="separate"/>
        </w:r>
        <w:r w:rsidR="00A45165">
          <w:rPr>
            <w:noProof/>
            <w:webHidden/>
          </w:rPr>
          <w:t>35</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87" w:history="1">
        <w:r w:rsidR="00756A3E" w:rsidRPr="00BD4D88">
          <w:rPr>
            <w:rStyle w:val="Hyperlink"/>
            <w:noProof/>
          </w:rPr>
          <w:t>Figure 10:</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15-year-old students at Māori medium and English medium schools meeting both the literacy and numeracy requirements for NCEA Level 1, 2008–2012</w:t>
        </w:r>
        <w:r w:rsidR="00756A3E">
          <w:rPr>
            <w:noProof/>
            <w:webHidden/>
          </w:rPr>
          <w:tab/>
        </w:r>
        <w:r>
          <w:rPr>
            <w:noProof/>
            <w:webHidden/>
          </w:rPr>
          <w:fldChar w:fldCharType="begin"/>
        </w:r>
        <w:r w:rsidR="00756A3E">
          <w:rPr>
            <w:noProof/>
            <w:webHidden/>
          </w:rPr>
          <w:instrText xml:space="preserve"> PAGEREF _Toc367361587 \h </w:instrText>
        </w:r>
        <w:r>
          <w:rPr>
            <w:noProof/>
            <w:webHidden/>
          </w:rPr>
        </w:r>
        <w:r>
          <w:rPr>
            <w:noProof/>
            <w:webHidden/>
          </w:rPr>
          <w:fldChar w:fldCharType="separate"/>
        </w:r>
        <w:r w:rsidR="00A45165">
          <w:rPr>
            <w:noProof/>
            <w:webHidden/>
          </w:rPr>
          <w:t>36</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88" w:history="1">
        <w:r w:rsidR="00756A3E" w:rsidRPr="00BD4D88">
          <w:rPr>
            <w:rStyle w:val="Hyperlink"/>
            <w:noProof/>
          </w:rPr>
          <w:t>Figure 11:</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15-year-old students meeting the NCEA Level 1 literacy requirements, by gender, 2008–2012</w:t>
        </w:r>
        <w:r w:rsidR="00756A3E">
          <w:rPr>
            <w:noProof/>
            <w:webHidden/>
          </w:rPr>
          <w:tab/>
        </w:r>
        <w:r>
          <w:rPr>
            <w:noProof/>
            <w:webHidden/>
          </w:rPr>
          <w:fldChar w:fldCharType="begin"/>
        </w:r>
        <w:r w:rsidR="00756A3E">
          <w:rPr>
            <w:noProof/>
            <w:webHidden/>
          </w:rPr>
          <w:instrText xml:space="preserve"> PAGEREF _Toc367361588 \h </w:instrText>
        </w:r>
        <w:r>
          <w:rPr>
            <w:noProof/>
            <w:webHidden/>
          </w:rPr>
        </w:r>
        <w:r>
          <w:rPr>
            <w:noProof/>
            <w:webHidden/>
          </w:rPr>
          <w:fldChar w:fldCharType="separate"/>
        </w:r>
        <w:r w:rsidR="00A45165">
          <w:rPr>
            <w:noProof/>
            <w:webHidden/>
          </w:rPr>
          <w:t>36</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89" w:history="1">
        <w:r w:rsidR="00756A3E" w:rsidRPr="00BD4D88">
          <w:rPr>
            <w:rStyle w:val="Hyperlink"/>
            <w:noProof/>
          </w:rPr>
          <w:t>Figure 12:</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students meeting the National Standard for Mathematics, 2011 to 2012</w:t>
        </w:r>
        <w:r w:rsidR="00756A3E">
          <w:rPr>
            <w:noProof/>
            <w:webHidden/>
          </w:rPr>
          <w:tab/>
        </w:r>
        <w:r>
          <w:rPr>
            <w:noProof/>
            <w:webHidden/>
          </w:rPr>
          <w:fldChar w:fldCharType="begin"/>
        </w:r>
        <w:r w:rsidR="00756A3E">
          <w:rPr>
            <w:noProof/>
            <w:webHidden/>
          </w:rPr>
          <w:instrText xml:space="preserve"> PAGEREF _Toc367361589 \h </w:instrText>
        </w:r>
        <w:r>
          <w:rPr>
            <w:noProof/>
            <w:webHidden/>
          </w:rPr>
        </w:r>
        <w:r>
          <w:rPr>
            <w:noProof/>
            <w:webHidden/>
          </w:rPr>
          <w:fldChar w:fldCharType="separate"/>
        </w:r>
        <w:r w:rsidR="00A45165">
          <w:rPr>
            <w:noProof/>
            <w:webHidden/>
          </w:rPr>
          <w:t>39</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90" w:history="1">
        <w:r w:rsidR="00756A3E" w:rsidRPr="00BD4D88">
          <w:rPr>
            <w:rStyle w:val="Hyperlink"/>
            <w:noProof/>
          </w:rPr>
          <w:t>Figure 13:</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students meeting Ngā Whanaketanga Pāngarau, by gender, 2012</w:t>
        </w:r>
        <w:r w:rsidR="00756A3E">
          <w:rPr>
            <w:noProof/>
            <w:webHidden/>
          </w:rPr>
          <w:tab/>
        </w:r>
        <w:r>
          <w:rPr>
            <w:noProof/>
            <w:webHidden/>
          </w:rPr>
          <w:fldChar w:fldCharType="begin"/>
        </w:r>
        <w:r w:rsidR="00756A3E">
          <w:rPr>
            <w:noProof/>
            <w:webHidden/>
          </w:rPr>
          <w:instrText xml:space="preserve"> PAGEREF _Toc367361590 \h </w:instrText>
        </w:r>
        <w:r>
          <w:rPr>
            <w:noProof/>
            <w:webHidden/>
          </w:rPr>
        </w:r>
        <w:r>
          <w:rPr>
            <w:noProof/>
            <w:webHidden/>
          </w:rPr>
          <w:fldChar w:fldCharType="separate"/>
        </w:r>
        <w:r w:rsidR="00A45165">
          <w:rPr>
            <w:noProof/>
            <w:webHidden/>
          </w:rPr>
          <w:t>40</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91" w:history="1">
        <w:r w:rsidR="00756A3E" w:rsidRPr="00BD4D88">
          <w:rPr>
            <w:rStyle w:val="Hyperlink"/>
            <w:noProof/>
          </w:rPr>
          <w:t>Figure 14:</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15-year-old students with NCEA Level 1 numeracy, by ethnicity, 2008-2012</w:t>
        </w:r>
        <w:r w:rsidR="00756A3E">
          <w:rPr>
            <w:noProof/>
            <w:webHidden/>
          </w:rPr>
          <w:tab/>
        </w:r>
        <w:r>
          <w:rPr>
            <w:noProof/>
            <w:webHidden/>
          </w:rPr>
          <w:fldChar w:fldCharType="begin"/>
        </w:r>
        <w:r w:rsidR="00756A3E">
          <w:rPr>
            <w:noProof/>
            <w:webHidden/>
          </w:rPr>
          <w:instrText xml:space="preserve"> PAGEREF _Toc367361591 \h </w:instrText>
        </w:r>
        <w:r>
          <w:rPr>
            <w:noProof/>
            <w:webHidden/>
          </w:rPr>
        </w:r>
        <w:r>
          <w:rPr>
            <w:noProof/>
            <w:webHidden/>
          </w:rPr>
          <w:fldChar w:fldCharType="separate"/>
        </w:r>
        <w:r w:rsidR="00A45165">
          <w:rPr>
            <w:noProof/>
            <w:webHidden/>
          </w:rPr>
          <w:t>42</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92" w:history="1">
        <w:r w:rsidR="00756A3E" w:rsidRPr="00BD4D88">
          <w:rPr>
            <w:rStyle w:val="Hyperlink"/>
            <w:noProof/>
          </w:rPr>
          <w:t>Figure 15:</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15-year-old students participating in at least one science subject, 2008-2012</w:t>
        </w:r>
        <w:r w:rsidR="00756A3E">
          <w:rPr>
            <w:noProof/>
            <w:webHidden/>
          </w:rPr>
          <w:tab/>
        </w:r>
        <w:r>
          <w:rPr>
            <w:noProof/>
            <w:webHidden/>
          </w:rPr>
          <w:fldChar w:fldCharType="begin"/>
        </w:r>
        <w:r w:rsidR="00756A3E">
          <w:rPr>
            <w:noProof/>
            <w:webHidden/>
          </w:rPr>
          <w:instrText xml:space="preserve"> PAGEREF _Toc367361592 \h </w:instrText>
        </w:r>
        <w:r>
          <w:rPr>
            <w:noProof/>
            <w:webHidden/>
          </w:rPr>
        </w:r>
        <w:r>
          <w:rPr>
            <w:noProof/>
            <w:webHidden/>
          </w:rPr>
          <w:fldChar w:fldCharType="separate"/>
        </w:r>
        <w:r w:rsidR="00A45165">
          <w:rPr>
            <w:noProof/>
            <w:webHidden/>
          </w:rPr>
          <w:t>46</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93" w:history="1">
        <w:r w:rsidR="00756A3E" w:rsidRPr="00BD4D88">
          <w:rPr>
            <w:rStyle w:val="Hyperlink"/>
            <w:noProof/>
          </w:rPr>
          <w:t>Figure 16:</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BPS Target: Previously predicted, required, and actual attainment rates of 18-year-olds with at least a Level 2 qualification, by ethnicity, 2011-2017</w:t>
        </w:r>
        <w:r w:rsidR="00756A3E">
          <w:rPr>
            <w:noProof/>
            <w:webHidden/>
          </w:rPr>
          <w:tab/>
        </w:r>
        <w:r>
          <w:rPr>
            <w:noProof/>
            <w:webHidden/>
          </w:rPr>
          <w:fldChar w:fldCharType="begin"/>
        </w:r>
        <w:r w:rsidR="00756A3E">
          <w:rPr>
            <w:noProof/>
            <w:webHidden/>
          </w:rPr>
          <w:instrText xml:space="preserve"> PAGEREF _Toc367361593 \h </w:instrText>
        </w:r>
        <w:r>
          <w:rPr>
            <w:noProof/>
            <w:webHidden/>
          </w:rPr>
        </w:r>
        <w:r>
          <w:rPr>
            <w:noProof/>
            <w:webHidden/>
          </w:rPr>
          <w:fldChar w:fldCharType="separate"/>
        </w:r>
        <w:r w:rsidR="00A45165">
          <w:rPr>
            <w:noProof/>
            <w:webHidden/>
          </w:rPr>
          <w:t>48</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94" w:history="1">
        <w:r w:rsidR="00756A3E" w:rsidRPr="00BD4D88">
          <w:rPr>
            <w:rStyle w:val="Hyperlink"/>
            <w:noProof/>
          </w:rPr>
          <w:t>Figure 17:</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school leavers with NCEA Level 1 or above, by total response ethnicity, 2009-2012</w:t>
        </w:r>
        <w:r w:rsidR="00756A3E">
          <w:rPr>
            <w:noProof/>
            <w:webHidden/>
          </w:rPr>
          <w:tab/>
        </w:r>
        <w:r>
          <w:rPr>
            <w:noProof/>
            <w:webHidden/>
          </w:rPr>
          <w:fldChar w:fldCharType="begin"/>
        </w:r>
        <w:r w:rsidR="00756A3E">
          <w:rPr>
            <w:noProof/>
            <w:webHidden/>
          </w:rPr>
          <w:instrText xml:space="preserve"> PAGEREF _Toc367361594 \h </w:instrText>
        </w:r>
        <w:r>
          <w:rPr>
            <w:noProof/>
            <w:webHidden/>
          </w:rPr>
        </w:r>
        <w:r>
          <w:rPr>
            <w:noProof/>
            <w:webHidden/>
          </w:rPr>
          <w:fldChar w:fldCharType="separate"/>
        </w:r>
        <w:r w:rsidR="00A45165">
          <w:rPr>
            <w:noProof/>
            <w:webHidden/>
          </w:rPr>
          <w:t>50</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95" w:history="1">
        <w:r w:rsidR="00756A3E" w:rsidRPr="00BD4D88">
          <w:rPr>
            <w:rStyle w:val="Hyperlink"/>
            <w:noProof/>
          </w:rPr>
          <w:t>Figure 18:</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school leavers with NCEA Level 1 literacy and numeracy, by total response ethnicity, 2012</w:t>
        </w:r>
        <w:r w:rsidR="00756A3E">
          <w:rPr>
            <w:noProof/>
            <w:webHidden/>
          </w:rPr>
          <w:tab/>
        </w:r>
        <w:r>
          <w:rPr>
            <w:noProof/>
            <w:webHidden/>
          </w:rPr>
          <w:fldChar w:fldCharType="begin"/>
        </w:r>
        <w:r w:rsidR="00756A3E">
          <w:rPr>
            <w:noProof/>
            <w:webHidden/>
          </w:rPr>
          <w:instrText xml:space="preserve"> PAGEREF _Toc367361595 \h </w:instrText>
        </w:r>
        <w:r>
          <w:rPr>
            <w:noProof/>
            <w:webHidden/>
          </w:rPr>
        </w:r>
        <w:r>
          <w:rPr>
            <w:noProof/>
            <w:webHidden/>
          </w:rPr>
          <w:fldChar w:fldCharType="separate"/>
        </w:r>
        <w:r w:rsidR="00A45165">
          <w:rPr>
            <w:noProof/>
            <w:webHidden/>
          </w:rPr>
          <w:t>51</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96" w:history="1">
        <w:r w:rsidR="00756A3E" w:rsidRPr="00BD4D88">
          <w:rPr>
            <w:rStyle w:val="Hyperlink"/>
            <w:noProof/>
          </w:rPr>
          <w:t>Figure 19:</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school leavers with NCEA Level 2 or above, by total response ethnicity, 2009-2012</w:t>
        </w:r>
        <w:r w:rsidR="00756A3E">
          <w:rPr>
            <w:noProof/>
            <w:webHidden/>
          </w:rPr>
          <w:tab/>
        </w:r>
        <w:r>
          <w:rPr>
            <w:noProof/>
            <w:webHidden/>
          </w:rPr>
          <w:fldChar w:fldCharType="begin"/>
        </w:r>
        <w:r w:rsidR="00756A3E">
          <w:rPr>
            <w:noProof/>
            <w:webHidden/>
          </w:rPr>
          <w:instrText xml:space="preserve"> PAGEREF _Toc367361596 \h </w:instrText>
        </w:r>
        <w:r>
          <w:rPr>
            <w:noProof/>
            <w:webHidden/>
          </w:rPr>
        </w:r>
        <w:r>
          <w:rPr>
            <w:noProof/>
            <w:webHidden/>
          </w:rPr>
          <w:fldChar w:fldCharType="separate"/>
        </w:r>
        <w:r w:rsidR="00A45165">
          <w:rPr>
            <w:noProof/>
            <w:webHidden/>
          </w:rPr>
          <w:t>52</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97" w:history="1">
        <w:r w:rsidR="00756A3E" w:rsidRPr="00BD4D88">
          <w:rPr>
            <w:rStyle w:val="Hyperlink"/>
            <w:noProof/>
          </w:rPr>
          <w:t>Figure 20:</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school leavers with NCEA Level 2 or above, by gender, 2009-2012</w:t>
        </w:r>
        <w:r w:rsidR="00756A3E">
          <w:rPr>
            <w:noProof/>
            <w:webHidden/>
          </w:rPr>
          <w:tab/>
        </w:r>
        <w:r>
          <w:rPr>
            <w:noProof/>
            <w:webHidden/>
          </w:rPr>
          <w:fldChar w:fldCharType="begin"/>
        </w:r>
        <w:r w:rsidR="00756A3E">
          <w:rPr>
            <w:noProof/>
            <w:webHidden/>
          </w:rPr>
          <w:instrText xml:space="preserve"> PAGEREF _Toc367361597 \h </w:instrText>
        </w:r>
        <w:r>
          <w:rPr>
            <w:noProof/>
            <w:webHidden/>
          </w:rPr>
        </w:r>
        <w:r>
          <w:rPr>
            <w:noProof/>
            <w:webHidden/>
          </w:rPr>
          <w:fldChar w:fldCharType="separate"/>
        </w:r>
        <w:r w:rsidR="00A45165">
          <w:rPr>
            <w:noProof/>
            <w:webHidden/>
          </w:rPr>
          <w:t>52</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98" w:history="1">
        <w:r w:rsidR="00756A3E" w:rsidRPr="00BD4D88">
          <w:rPr>
            <w:rStyle w:val="Hyperlink"/>
            <w:noProof/>
          </w:rPr>
          <w:t>Figure 21:</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school leavers with University Entrance standard, by total response ethnicity, 2009-2012</w:t>
        </w:r>
        <w:r w:rsidR="00756A3E">
          <w:rPr>
            <w:noProof/>
            <w:webHidden/>
          </w:rPr>
          <w:tab/>
        </w:r>
        <w:r>
          <w:rPr>
            <w:noProof/>
            <w:webHidden/>
          </w:rPr>
          <w:fldChar w:fldCharType="begin"/>
        </w:r>
        <w:r w:rsidR="00756A3E">
          <w:rPr>
            <w:noProof/>
            <w:webHidden/>
          </w:rPr>
          <w:instrText xml:space="preserve"> PAGEREF _Toc367361598 \h </w:instrText>
        </w:r>
        <w:r>
          <w:rPr>
            <w:noProof/>
            <w:webHidden/>
          </w:rPr>
        </w:r>
        <w:r>
          <w:rPr>
            <w:noProof/>
            <w:webHidden/>
          </w:rPr>
          <w:fldChar w:fldCharType="separate"/>
        </w:r>
        <w:r w:rsidR="00A45165">
          <w:rPr>
            <w:noProof/>
            <w:webHidden/>
          </w:rPr>
          <w:t>53</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99" w:history="1">
        <w:r w:rsidR="00756A3E" w:rsidRPr="00BD4D88">
          <w:rPr>
            <w:rStyle w:val="Hyperlink"/>
            <w:noProof/>
          </w:rPr>
          <w:t>Figure 22:</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school leavers with University Entrance standard, by gender, 2009- 2012</w:t>
        </w:r>
        <w:r w:rsidR="00756A3E">
          <w:rPr>
            <w:noProof/>
            <w:webHidden/>
          </w:rPr>
          <w:tab/>
        </w:r>
        <w:r>
          <w:rPr>
            <w:noProof/>
            <w:webHidden/>
          </w:rPr>
          <w:fldChar w:fldCharType="begin"/>
        </w:r>
        <w:r w:rsidR="00756A3E">
          <w:rPr>
            <w:noProof/>
            <w:webHidden/>
          </w:rPr>
          <w:instrText xml:space="preserve"> PAGEREF _Toc367361599 \h </w:instrText>
        </w:r>
        <w:r>
          <w:rPr>
            <w:noProof/>
            <w:webHidden/>
          </w:rPr>
        </w:r>
        <w:r>
          <w:rPr>
            <w:noProof/>
            <w:webHidden/>
          </w:rPr>
          <w:fldChar w:fldCharType="separate"/>
        </w:r>
        <w:r w:rsidR="00A45165">
          <w:rPr>
            <w:noProof/>
            <w:webHidden/>
          </w:rPr>
          <w:t>54</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00" w:history="1">
        <w:r w:rsidR="00756A3E" w:rsidRPr="00BD4D88">
          <w:rPr>
            <w:rStyle w:val="Hyperlink"/>
            <w:noProof/>
          </w:rPr>
          <w:t>Figure 23:</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Age-standardised non-enrolment rates per 1,000 students, by ethnicity, 2006–2012</w:t>
        </w:r>
        <w:r w:rsidR="00756A3E">
          <w:rPr>
            <w:noProof/>
            <w:webHidden/>
          </w:rPr>
          <w:tab/>
        </w:r>
        <w:r>
          <w:rPr>
            <w:noProof/>
            <w:webHidden/>
          </w:rPr>
          <w:fldChar w:fldCharType="begin"/>
        </w:r>
        <w:r w:rsidR="00756A3E">
          <w:rPr>
            <w:noProof/>
            <w:webHidden/>
          </w:rPr>
          <w:instrText xml:space="preserve"> PAGEREF _Toc367361600 \h </w:instrText>
        </w:r>
        <w:r>
          <w:rPr>
            <w:noProof/>
            <w:webHidden/>
          </w:rPr>
        </w:r>
        <w:r>
          <w:rPr>
            <w:noProof/>
            <w:webHidden/>
          </w:rPr>
          <w:fldChar w:fldCharType="separate"/>
        </w:r>
        <w:r w:rsidR="00A45165">
          <w:rPr>
            <w:noProof/>
            <w:webHidden/>
          </w:rPr>
          <w:t>58</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01" w:history="1">
        <w:r w:rsidR="00756A3E" w:rsidRPr="00BD4D88">
          <w:rPr>
            <w:rStyle w:val="Hyperlink"/>
            <w:noProof/>
          </w:rPr>
          <w:t>Figure 24:</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15 and 16-year-old students who did not meet NCEA Level 1 literacy and numeracy requirements, 2010-2012</w:t>
        </w:r>
        <w:r w:rsidR="00756A3E">
          <w:rPr>
            <w:noProof/>
            <w:webHidden/>
          </w:rPr>
          <w:tab/>
        </w:r>
        <w:r>
          <w:rPr>
            <w:noProof/>
            <w:webHidden/>
          </w:rPr>
          <w:fldChar w:fldCharType="begin"/>
        </w:r>
        <w:r w:rsidR="00756A3E">
          <w:rPr>
            <w:noProof/>
            <w:webHidden/>
          </w:rPr>
          <w:instrText xml:space="preserve"> PAGEREF _Toc367361601 \h </w:instrText>
        </w:r>
        <w:r>
          <w:rPr>
            <w:noProof/>
            <w:webHidden/>
          </w:rPr>
        </w:r>
        <w:r>
          <w:rPr>
            <w:noProof/>
            <w:webHidden/>
          </w:rPr>
          <w:fldChar w:fldCharType="separate"/>
        </w:r>
        <w:r w:rsidR="00A45165">
          <w:rPr>
            <w:noProof/>
            <w:webHidden/>
          </w:rPr>
          <w:t>59</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02" w:history="1">
        <w:r w:rsidR="00756A3E" w:rsidRPr="00BD4D88">
          <w:rPr>
            <w:rStyle w:val="Hyperlink"/>
            <w:noProof/>
          </w:rPr>
          <w:t>Figure 25:</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Retention rate: proportion of school leavers aged 17 or above, by ethnicity, 2009–2012</w:t>
        </w:r>
        <w:r w:rsidR="00756A3E">
          <w:rPr>
            <w:noProof/>
            <w:webHidden/>
          </w:rPr>
          <w:tab/>
        </w:r>
        <w:r>
          <w:rPr>
            <w:noProof/>
            <w:webHidden/>
          </w:rPr>
          <w:fldChar w:fldCharType="begin"/>
        </w:r>
        <w:r w:rsidR="00756A3E">
          <w:rPr>
            <w:noProof/>
            <w:webHidden/>
          </w:rPr>
          <w:instrText xml:space="preserve"> PAGEREF _Toc367361602 \h </w:instrText>
        </w:r>
        <w:r>
          <w:rPr>
            <w:noProof/>
            <w:webHidden/>
          </w:rPr>
        </w:r>
        <w:r>
          <w:rPr>
            <w:noProof/>
            <w:webHidden/>
          </w:rPr>
          <w:fldChar w:fldCharType="separate"/>
        </w:r>
        <w:r w:rsidR="00A45165">
          <w:rPr>
            <w:noProof/>
            <w:webHidden/>
          </w:rPr>
          <w:t>60</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03" w:history="1">
        <w:r w:rsidR="00756A3E" w:rsidRPr="00BD4D88">
          <w:rPr>
            <w:rStyle w:val="Hyperlink"/>
            <w:noProof/>
          </w:rPr>
          <w:t>Figure 26:</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Proportion of students who were retained at school to the age of 17, by school decile, 2012</w:t>
        </w:r>
        <w:r w:rsidR="00756A3E">
          <w:rPr>
            <w:noProof/>
            <w:webHidden/>
          </w:rPr>
          <w:tab/>
        </w:r>
        <w:r>
          <w:rPr>
            <w:noProof/>
            <w:webHidden/>
          </w:rPr>
          <w:fldChar w:fldCharType="begin"/>
        </w:r>
        <w:r w:rsidR="00756A3E">
          <w:rPr>
            <w:noProof/>
            <w:webHidden/>
          </w:rPr>
          <w:instrText xml:space="preserve"> PAGEREF _Toc367361603 \h </w:instrText>
        </w:r>
        <w:r>
          <w:rPr>
            <w:noProof/>
            <w:webHidden/>
          </w:rPr>
        </w:r>
        <w:r>
          <w:rPr>
            <w:noProof/>
            <w:webHidden/>
          </w:rPr>
          <w:fldChar w:fldCharType="separate"/>
        </w:r>
        <w:r w:rsidR="00A45165">
          <w:rPr>
            <w:noProof/>
            <w:webHidden/>
          </w:rPr>
          <w:t>61</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04" w:history="1">
        <w:r w:rsidR="00756A3E" w:rsidRPr="00BD4D88">
          <w:rPr>
            <w:rStyle w:val="Hyperlink"/>
            <w:noProof/>
          </w:rPr>
          <w:t>Figure 27:</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Early leaving exemption application approval and decline rates, 2000–2012</w:t>
        </w:r>
        <w:r w:rsidR="00756A3E">
          <w:rPr>
            <w:noProof/>
            <w:webHidden/>
          </w:rPr>
          <w:tab/>
        </w:r>
        <w:r>
          <w:rPr>
            <w:noProof/>
            <w:webHidden/>
          </w:rPr>
          <w:fldChar w:fldCharType="begin"/>
        </w:r>
        <w:r w:rsidR="00756A3E">
          <w:rPr>
            <w:noProof/>
            <w:webHidden/>
          </w:rPr>
          <w:instrText xml:space="preserve"> PAGEREF _Toc367361604 \h </w:instrText>
        </w:r>
        <w:r>
          <w:rPr>
            <w:noProof/>
            <w:webHidden/>
          </w:rPr>
        </w:r>
        <w:r>
          <w:rPr>
            <w:noProof/>
            <w:webHidden/>
          </w:rPr>
          <w:fldChar w:fldCharType="separate"/>
        </w:r>
        <w:r w:rsidR="00A45165">
          <w:rPr>
            <w:noProof/>
            <w:webHidden/>
          </w:rPr>
          <w:t>61</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05" w:history="1">
        <w:r w:rsidR="00756A3E" w:rsidRPr="00BD4D88">
          <w:rPr>
            <w:rStyle w:val="Hyperlink"/>
            <w:noProof/>
          </w:rPr>
          <w:t>Figure 28:</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Early leaver exemption rates per 1,000, by ethnicity, 2000–2012</w:t>
        </w:r>
        <w:r w:rsidR="00756A3E">
          <w:rPr>
            <w:noProof/>
            <w:webHidden/>
          </w:rPr>
          <w:tab/>
        </w:r>
        <w:r>
          <w:rPr>
            <w:noProof/>
            <w:webHidden/>
          </w:rPr>
          <w:fldChar w:fldCharType="begin"/>
        </w:r>
        <w:r w:rsidR="00756A3E">
          <w:rPr>
            <w:noProof/>
            <w:webHidden/>
          </w:rPr>
          <w:instrText xml:space="preserve"> PAGEREF _Toc367361605 \h </w:instrText>
        </w:r>
        <w:r>
          <w:rPr>
            <w:noProof/>
            <w:webHidden/>
          </w:rPr>
        </w:r>
        <w:r>
          <w:rPr>
            <w:noProof/>
            <w:webHidden/>
          </w:rPr>
          <w:fldChar w:fldCharType="separate"/>
        </w:r>
        <w:r w:rsidR="00A45165">
          <w:rPr>
            <w:noProof/>
            <w:webHidden/>
          </w:rPr>
          <w:t>62</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06" w:history="1">
        <w:r w:rsidR="00756A3E" w:rsidRPr="00BD4D88">
          <w:rPr>
            <w:rStyle w:val="Hyperlink"/>
            <w:noProof/>
          </w:rPr>
          <w:t>Figure 29:</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Early leaving exemption rates, by ethnicity and school quintile, 2012</w:t>
        </w:r>
        <w:r w:rsidR="00756A3E">
          <w:rPr>
            <w:noProof/>
            <w:webHidden/>
          </w:rPr>
          <w:tab/>
        </w:r>
        <w:r>
          <w:rPr>
            <w:noProof/>
            <w:webHidden/>
          </w:rPr>
          <w:fldChar w:fldCharType="begin"/>
        </w:r>
        <w:r w:rsidR="00756A3E">
          <w:rPr>
            <w:noProof/>
            <w:webHidden/>
          </w:rPr>
          <w:instrText xml:space="preserve"> PAGEREF _Toc367361606 \h </w:instrText>
        </w:r>
        <w:r>
          <w:rPr>
            <w:noProof/>
            <w:webHidden/>
          </w:rPr>
        </w:r>
        <w:r>
          <w:rPr>
            <w:noProof/>
            <w:webHidden/>
          </w:rPr>
          <w:fldChar w:fldCharType="separate"/>
        </w:r>
        <w:r w:rsidR="00A45165">
          <w:rPr>
            <w:noProof/>
            <w:webHidden/>
          </w:rPr>
          <w:t>63</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07" w:history="1">
        <w:r w:rsidR="00756A3E" w:rsidRPr="00BD4D88">
          <w:rPr>
            <w:rStyle w:val="Hyperlink"/>
            <w:noProof/>
          </w:rPr>
          <w:t>Figure 30:</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Absence rates, by gender and current year level, 2012</w:t>
        </w:r>
        <w:r w:rsidR="00756A3E">
          <w:rPr>
            <w:noProof/>
            <w:webHidden/>
          </w:rPr>
          <w:tab/>
        </w:r>
        <w:r>
          <w:rPr>
            <w:noProof/>
            <w:webHidden/>
          </w:rPr>
          <w:fldChar w:fldCharType="begin"/>
        </w:r>
        <w:r w:rsidR="00756A3E">
          <w:rPr>
            <w:noProof/>
            <w:webHidden/>
          </w:rPr>
          <w:instrText xml:space="preserve"> PAGEREF _Toc367361607 \h </w:instrText>
        </w:r>
        <w:r>
          <w:rPr>
            <w:noProof/>
            <w:webHidden/>
          </w:rPr>
        </w:r>
        <w:r>
          <w:rPr>
            <w:noProof/>
            <w:webHidden/>
          </w:rPr>
          <w:fldChar w:fldCharType="separate"/>
        </w:r>
        <w:r w:rsidR="00A45165">
          <w:rPr>
            <w:noProof/>
            <w:webHidden/>
          </w:rPr>
          <w:t>66</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08" w:history="1">
        <w:r w:rsidR="00756A3E" w:rsidRPr="00BD4D88">
          <w:rPr>
            <w:rStyle w:val="Hyperlink"/>
            <w:noProof/>
          </w:rPr>
          <w:t>Figure 31:</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Age-standardised stand-down rates, by ethnicity, 2000–2012</w:t>
        </w:r>
        <w:r w:rsidR="00756A3E">
          <w:rPr>
            <w:noProof/>
            <w:webHidden/>
          </w:rPr>
          <w:tab/>
        </w:r>
        <w:r>
          <w:rPr>
            <w:noProof/>
            <w:webHidden/>
          </w:rPr>
          <w:fldChar w:fldCharType="begin"/>
        </w:r>
        <w:r w:rsidR="00756A3E">
          <w:rPr>
            <w:noProof/>
            <w:webHidden/>
          </w:rPr>
          <w:instrText xml:space="preserve"> PAGEREF _Toc367361608 \h </w:instrText>
        </w:r>
        <w:r>
          <w:rPr>
            <w:noProof/>
            <w:webHidden/>
          </w:rPr>
        </w:r>
        <w:r>
          <w:rPr>
            <w:noProof/>
            <w:webHidden/>
          </w:rPr>
          <w:fldChar w:fldCharType="separate"/>
        </w:r>
        <w:r w:rsidR="00A45165">
          <w:rPr>
            <w:noProof/>
            <w:webHidden/>
          </w:rPr>
          <w:t>68</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09" w:history="1">
        <w:r w:rsidR="00756A3E" w:rsidRPr="00BD4D88">
          <w:rPr>
            <w:rStyle w:val="Hyperlink"/>
            <w:noProof/>
          </w:rPr>
          <w:t>Figure 32:</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Age-standardised stand-down rates, by ethnicity and school quintile, 2012</w:t>
        </w:r>
        <w:r w:rsidR="00756A3E">
          <w:rPr>
            <w:noProof/>
            <w:webHidden/>
          </w:rPr>
          <w:tab/>
        </w:r>
        <w:r>
          <w:rPr>
            <w:noProof/>
            <w:webHidden/>
          </w:rPr>
          <w:fldChar w:fldCharType="begin"/>
        </w:r>
        <w:r w:rsidR="00756A3E">
          <w:rPr>
            <w:noProof/>
            <w:webHidden/>
          </w:rPr>
          <w:instrText xml:space="preserve"> PAGEREF _Toc367361609 \h </w:instrText>
        </w:r>
        <w:r>
          <w:rPr>
            <w:noProof/>
            <w:webHidden/>
          </w:rPr>
        </w:r>
        <w:r>
          <w:rPr>
            <w:noProof/>
            <w:webHidden/>
          </w:rPr>
          <w:fldChar w:fldCharType="separate"/>
        </w:r>
        <w:r w:rsidR="00A45165">
          <w:rPr>
            <w:noProof/>
            <w:webHidden/>
          </w:rPr>
          <w:t>69</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10" w:history="1">
        <w:r w:rsidR="00756A3E" w:rsidRPr="00BD4D88">
          <w:rPr>
            <w:rStyle w:val="Hyperlink"/>
            <w:noProof/>
          </w:rPr>
          <w:t>Figure 33:</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Age-standardised suspension rates, by ethnicity, 2000–2012</w:t>
        </w:r>
        <w:r w:rsidR="00756A3E">
          <w:rPr>
            <w:noProof/>
            <w:webHidden/>
          </w:rPr>
          <w:tab/>
        </w:r>
        <w:r>
          <w:rPr>
            <w:noProof/>
            <w:webHidden/>
          </w:rPr>
          <w:fldChar w:fldCharType="begin"/>
        </w:r>
        <w:r w:rsidR="00756A3E">
          <w:rPr>
            <w:noProof/>
            <w:webHidden/>
          </w:rPr>
          <w:instrText xml:space="preserve"> PAGEREF _Toc367361610 \h </w:instrText>
        </w:r>
        <w:r>
          <w:rPr>
            <w:noProof/>
            <w:webHidden/>
          </w:rPr>
        </w:r>
        <w:r>
          <w:rPr>
            <w:noProof/>
            <w:webHidden/>
          </w:rPr>
          <w:fldChar w:fldCharType="separate"/>
        </w:r>
        <w:r w:rsidR="00A45165">
          <w:rPr>
            <w:noProof/>
            <w:webHidden/>
          </w:rPr>
          <w:t>70</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11" w:history="1">
        <w:r w:rsidR="00756A3E" w:rsidRPr="00BD4D88">
          <w:rPr>
            <w:rStyle w:val="Hyperlink"/>
            <w:noProof/>
          </w:rPr>
          <w:t>Figure 34:</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Age-standardised suspension rates, by ethnicity and school quintile, 2012</w:t>
        </w:r>
        <w:r w:rsidR="00756A3E">
          <w:rPr>
            <w:noProof/>
            <w:webHidden/>
          </w:rPr>
          <w:tab/>
        </w:r>
        <w:r>
          <w:rPr>
            <w:noProof/>
            <w:webHidden/>
          </w:rPr>
          <w:fldChar w:fldCharType="begin"/>
        </w:r>
        <w:r w:rsidR="00756A3E">
          <w:rPr>
            <w:noProof/>
            <w:webHidden/>
          </w:rPr>
          <w:instrText xml:space="preserve"> PAGEREF _Toc367361611 \h </w:instrText>
        </w:r>
        <w:r>
          <w:rPr>
            <w:noProof/>
            <w:webHidden/>
          </w:rPr>
        </w:r>
        <w:r>
          <w:rPr>
            <w:noProof/>
            <w:webHidden/>
          </w:rPr>
          <w:fldChar w:fldCharType="separate"/>
        </w:r>
        <w:r w:rsidR="00A45165">
          <w:rPr>
            <w:noProof/>
            <w:webHidden/>
          </w:rPr>
          <w:t>70</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12" w:history="1">
        <w:r w:rsidR="00756A3E" w:rsidRPr="00BD4D88">
          <w:rPr>
            <w:rStyle w:val="Hyperlink"/>
            <w:noProof/>
          </w:rPr>
          <w:t>Figure 35:</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Number of schools expected to have at least 1 Māori board member versus proportion of schools with fair Māori representation, 1998–2012</w:t>
        </w:r>
        <w:r w:rsidR="00756A3E">
          <w:rPr>
            <w:noProof/>
            <w:webHidden/>
          </w:rPr>
          <w:tab/>
        </w:r>
        <w:r>
          <w:rPr>
            <w:noProof/>
            <w:webHidden/>
          </w:rPr>
          <w:fldChar w:fldCharType="begin"/>
        </w:r>
        <w:r w:rsidR="00756A3E">
          <w:rPr>
            <w:noProof/>
            <w:webHidden/>
          </w:rPr>
          <w:instrText xml:space="preserve"> PAGEREF _Toc367361612 \h </w:instrText>
        </w:r>
        <w:r>
          <w:rPr>
            <w:noProof/>
            <w:webHidden/>
          </w:rPr>
        </w:r>
        <w:r>
          <w:rPr>
            <w:noProof/>
            <w:webHidden/>
          </w:rPr>
          <w:fldChar w:fldCharType="separate"/>
        </w:r>
        <w:r w:rsidR="00A45165">
          <w:rPr>
            <w:noProof/>
            <w:webHidden/>
          </w:rPr>
          <w:t>78</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613" w:history="1">
        <w:r w:rsidR="00756A3E" w:rsidRPr="00BD4D88">
          <w:rPr>
            <w:rStyle w:val="Hyperlink"/>
            <w:noProof/>
          </w:rPr>
          <w:t>Figure 36:</w:t>
        </w:r>
        <w:r w:rsidR="00756A3E">
          <w:rPr>
            <w:rFonts w:asciiTheme="minorHAnsi" w:eastAsiaTheme="minorEastAsia" w:hAnsiTheme="minorHAnsi" w:cstheme="minorBidi"/>
            <w:noProof/>
            <w:sz w:val="22"/>
            <w:szCs w:val="22"/>
            <w:lang w:val="en-NZ" w:eastAsia="en-NZ"/>
          </w:rPr>
          <w:tab/>
        </w:r>
        <w:r w:rsidR="00756A3E" w:rsidRPr="00BD4D88">
          <w:rPr>
            <w:rStyle w:val="Hyperlink"/>
            <w:noProof/>
          </w:rPr>
          <w:t>Number of schools expected to have at least 1 Pasifika board member versus proportion of schools with fair Pasifika representation, 1998–2012</w:t>
        </w:r>
        <w:r w:rsidR="00756A3E">
          <w:rPr>
            <w:noProof/>
            <w:webHidden/>
          </w:rPr>
          <w:tab/>
        </w:r>
        <w:r>
          <w:rPr>
            <w:noProof/>
            <w:webHidden/>
          </w:rPr>
          <w:fldChar w:fldCharType="begin"/>
        </w:r>
        <w:r w:rsidR="00756A3E">
          <w:rPr>
            <w:noProof/>
            <w:webHidden/>
          </w:rPr>
          <w:instrText xml:space="preserve"> PAGEREF _Toc367361613 \h </w:instrText>
        </w:r>
        <w:r>
          <w:rPr>
            <w:noProof/>
            <w:webHidden/>
          </w:rPr>
        </w:r>
        <w:r>
          <w:rPr>
            <w:noProof/>
            <w:webHidden/>
          </w:rPr>
          <w:fldChar w:fldCharType="separate"/>
        </w:r>
        <w:r w:rsidR="00A45165">
          <w:rPr>
            <w:noProof/>
            <w:webHidden/>
          </w:rPr>
          <w:t>79</w:t>
        </w:r>
        <w:r>
          <w:rPr>
            <w:noProof/>
            <w:webHidden/>
          </w:rPr>
          <w:fldChar w:fldCharType="end"/>
        </w:r>
      </w:hyperlink>
    </w:p>
    <w:p w:rsidR="006C764F" w:rsidRPr="005842DF" w:rsidRDefault="00570122" w:rsidP="004F447B">
      <w:pPr>
        <w:pStyle w:val="Heading2"/>
      </w:pPr>
      <w:r w:rsidRPr="0060013A">
        <w:rPr>
          <w:highlight w:val="yellow"/>
        </w:rPr>
        <w:fldChar w:fldCharType="end"/>
      </w:r>
      <w:bookmarkStart w:id="11" w:name="_Toc304542847"/>
      <w:bookmarkStart w:id="12" w:name="_Toc304799224"/>
      <w:bookmarkStart w:id="13" w:name="_Toc334521976"/>
      <w:bookmarkStart w:id="14" w:name="_Toc363719976"/>
      <w:bookmarkStart w:id="15" w:name="_Toc367361616"/>
      <w:r w:rsidR="006C764F" w:rsidRPr="005842DF">
        <w:t>Tables</w:t>
      </w:r>
      <w:bookmarkEnd w:id="11"/>
      <w:bookmarkEnd w:id="12"/>
      <w:bookmarkEnd w:id="13"/>
      <w:bookmarkEnd w:id="14"/>
      <w:bookmarkEnd w:id="15"/>
    </w:p>
    <w:p w:rsidR="00756A3E" w:rsidRDefault="00570122">
      <w:pPr>
        <w:pStyle w:val="TOC3"/>
        <w:rPr>
          <w:rFonts w:asciiTheme="minorHAnsi" w:eastAsiaTheme="minorEastAsia" w:hAnsiTheme="minorHAnsi" w:cstheme="minorBidi"/>
          <w:noProof/>
          <w:sz w:val="22"/>
          <w:szCs w:val="22"/>
          <w:lang w:val="en-NZ" w:eastAsia="en-NZ"/>
        </w:rPr>
      </w:pPr>
      <w:r w:rsidRPr="00570122">
        <w:rPr>
          <w:sz w:val="18"/>
          <w:highlight w:val="yellow"/>
        </w:rPr>
        <w:fldChar w:fldCharType="begin"/>
      </w:r>
      <w:r w:rsidR="006C764F" w:rsidRPr="0060013A">
        <w:rPr>
          <w:highlight w:val="yellow"/>
        </w:rPr>
        <w:instrText xml:space="preserve"> TOC \h \z \t "Table Heading,3" </w:instrText>
      </w:r>
      <w:r w:rsidRPr="00570122">
        <w:rPr>
          <w:sz w:val="18"/>
          <w:highlight w:val="yellow"/>
        </w:rPr>
        <w:fldChar w:fldCharType="separate"/>
      </w:r>
      <w:hyperlink w:anchor="_Toc367361569" w:history="1">
        <w:r w:rsidR="00756A3E" w:rsidRPr="00CC2527">
          <w:rPr>
            <w:rStyle w:val="Hyperlink"/>
            <w:noProof/>
            <w:lang w:val="en-NZ"/>
          </w:rPr>
          <w:t>Table 1:</w:t>
        </w:r>
        <w:r w:rsidR="00756A3E">
          <w:rPr>
            <w:rFonts w:asciiTheme="minorHAnsi" w:eastAsiaTheme="minorEastAsia" w:hAnsiTheme="minorHAnsi" w:cstheme="minorBidi"/>
            <w:noProof/>
            <w:sz w:val="22"/>
            <w:szCs w:val="22"/>
            <w:lang w:val="en-NZ" w:eastAsia="en-NZ"/>
          </w:rPr>
          <w:tab/>
        </w:r>
        <w:r w:rsidR="00756A3E" w:rsidRPr="00CC2527">
          <w:rPr>
            <w:rStyle w:val="Hyperlink"/>
            <w:noProof/>
          </w:rPr>
          <w:t>School revenue, 2009–2012</w:t>
        </w:r>
        <w:r w:rsidR="00756A3E">
          <w:rPr>
            <w:noProof/>
            <w:webHidden/>
          </w:rPr>
          <w:tab/>
        </w:r>
        <w:r>
          <w:rPr>
            <w:noProof/>
            <w:webHidden/>
          </w:rPr>
          <w:fldChar w:fldCharType="begin"/>
        </w:r>
        <w:r w:rsidR="00756A3E">
          <w:rPr>
            <w:noProof/>
            <w:webHidden/>
          </w:rPr>
          <w:instrText xml:space="preserve"> PAGEREF _Toc367361569 \h </w:instrText>
        </w:r>
        <w:r>
          <w:rPr>
            <w:noProof/>
            <w:webHidden/>
          </w:rPr>
        </w:r>
        <w:r>
          <w:rPr>
            <w:noProof/>
            <w:webHidden/>
          </w:rPr>
          <w:fldChar w:fldCharType="separate"/>
        </w:r>
        <w:r w:rsidR="00A45165">
          <w:rPr>
            <w:noProof/>
            <w:webHidden/>
          </w:rPr>
          <w:t>25</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70" w:history="1">
        <w:r w:rsidR="00756A3E" w:rsidRPr="00CC2527">
          <w:rPr>
            <w:rStyle w:val="Hyperlink"/>
            <w:noProof/>
          </w:rPr>
          <w:t>Table 2:</w:t>
        </w:r>
        <w:r w:rsidR="00756A3E">
          <w:rPr>
            <w:rFonts w:asciiTheme="minorHAnsi" w:eastAsiaTheme="minorEastAsia" w:hAnsiTheme="minorHAnsi" w:cstheme="minorBidi"/>
            <w:noProof/>
            <w:sz w:val="22"/>
            <w:szCs w:val="22"/>
            <w:lang w:val="en-NZ" w:eastAsia="en-NZ"/>
          </w:rPr>
          <w:tab/>
        </w:r>
        <w:r w:rsidR="00756A3E" w:rsidRPr="00CC2527">
          <w:rPr>
            <w:rStyle w:val="Hyperlink"/>
            <w:noProof/>
          </w:rPr>
          <w:t>Expenditure of state and state-integrated schools, by main expenditure category,  2009–2012</w:t>
        </w:r>
        <w:r w:rsidR="00756A3E">
          <w:rPr>
            <w:noProof/>
            <w:webHidden/>
          </w:rPr>
          <w:tab/>
        </w:r>
        <w:r>
          <w:rPr>
            <w:noProof/>
            <w:webHidden/>
          </w:rPr>
          <w:fldChar w:fldCharType="begin"/>
        </w:r>
        <w:r w:rsidR="00756A3E">
          <w:rPr>
            <w:noProof/>
            <w:webHidden/>
          </w:rPr>
          <w:instrText xml:space="preserve"> PAGEREF _Toc367361570 \h </w:instrText>
        </w:r>
        <w:r>
          <w:rPr>
            <w:noProof/>
            <w:webHidden/>
          </w:rPr>
        </w:r>
        <w:r>
          <w:rPr>
            <w:noProof/>
            <w:webHidden/>
          </w:rPr>
          <w:fldChar w:fldCharType="separate"/>
        </w:r>
        <w:r w:rsidR="00A45165">
          <w:rPr>
            <w:noProof/>
            <w:webHidden/>
          </w:rPr>
          <w:t>26</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71" w:history="1">
        <w:r w:rsidR="00756A3E" w:rsidRPr="00CC2527">
          <w:rPr>
            <w:rStyle w:val="Hyperlink"/>
            <w:noProof/>
          </w:rPr>
          <w:t>Table 3:</w:t>
        </w:r>
        <w:r w:rsidR="00756A3E">
          <w:rPr>
            <w:rFonts w:asciiTheme="minorHAnsi" w:eastAsiaTheme="minorEastAsia" w:hAnsiTheme="minorHAnsi" w:cstheme="minorBidi"/>
            <w:noProof/>
            <w:sz w:val="22"/>
            <w:szCs w:val="22"/>
            <w:lang w:val="en-NZ" w:eastAsia="en-NZ"/>
          </w:rPr>
          <w:tab/>
        </w:r>
        <w:r w:rsidR="00756A3E" w:rsidRPr="00CC2527">
          <w:rPr>
            <w:rStyle w:val="Hyperlink"/>
            <w:noProof/>
          </w:rPr>
          <w:t>Percentage of schools with an operating surplus, 2010–2012</w:t>
        </w:r>
        <w:r w:rsidR="00756A3E">
          <w:rPr>
            <w:noProof/>
            <w:webHidden/>
          </w:rPr>
          <w:tab/>
        </w:r>
        <w:r>
          <w:rPr>
            <w:noProof/>
            <w:webHidden/>
          </w:rPr>
          <w:fldChar w:fldCharType="begin"/>
        </w:r>
        <w:r w:rsidR="00756A3E">
          <w:rPr>
            <w:noProof/>
            <w:webHidden/>
          </w:rPr>
          <w:instrText xml:space="preserve"> PAGEREF _Toc367361571 \h </w:instrText>
        </w:r>
        <w:r>
          <w:rPr>
            <w:noProof/>
            <w:webHidden/>
          </w:rPr>
        </w:r>
        <w:r>
          <w:rPr>
            <w:noProof/>
            <w:webHidden/>
          </w:rPr>
          <w:fldChar w:fldCharType="separate"/>
        </w:r>
        <w:r w:rsidR="00A45165">
          <w:rPr>
            <w:noProof/>
            <w:webHidden/>
          </w:rPr>
          <w:t>27</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72" w:history="1">
        <w:r w:rsidR="00756A3E" w:rsidRPr="00CC2527">
          <w:rPr>
            <w:rStyle w:val="Hyperlink"/>
            <w:noProof/>
          </w:rPr>
          <w:t>Table 4:</w:t>
        </w:r>
        <w:r w:rsidR="00756A3E">
          <w:rPr>
            <w:rFonts w:asciiTheme="minorHAnsi" w:eastAsiaTheme="minorEastAsia" w:hAnsiTheme="minorHAnsi" w:cstheme="minorBidi"/>
            <w:noProof/>
            <w:sz w:val="22"/>
            <w:szCs w:val="22"/>
            <w:lang w:val="en-NZ" w:eastAsia="en-NZ"/>
          </w:rPr>
          <w:tab/>
        </w:r>
        <w:r w:rsidR="00756A3E" w:rsidRPr="00CC2527">
          <w:rPr>
            <w:rStyle w:val="Hyperlink"/>
            <w:noProof/>
          </w:rPr>
          <w:t>Percentage of schools in different working capital ratio bands, 2012</w:t>
        </w:r>
        <w:r w:rsidR="00756A3E">
          <w:rPr>
            <w:noProof/>
            <w:webHidden/>
          </w:rPr>
          <w:tab/>
        </w:r>
        <w:r>
          <w:rPr>
            <w:noProof/>
            <w:webHidden/>
          </w:rPr>
          <w:fldChar w:fldCharType="begin"/>
        </w:r>
        <w:r w:rsidR="00756A3E">
          <w:rPr>
            <w:noProof/>
            <w:webHidden/>
          </w:rPr>
          <w:instrText xml:space="preserve"> PAGEREF _Toc367361572 \h </w:instrText>
        </w:r>
        <w:r>
          <w:rPr>
            <w:noProof/>
            <w:webHidden/>
          </w:rPr>
        </w:r>
        <w:r>
          <w:rPr>
            <w:noProof/>
            <w:webHidden/>
          </w:rPr>
          <w:fldChar w:fldCharType="separate"/>
        </w:r>
        <w:r w:rsidR="00A45165">
          <w:rPr>
            <w:noProof/>
            <w:webHidden/>
          </w:rPr>
          <w:t>27</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73" w:history="1">
        <w:r w:rsidR="00756A3E" w:rsidRPr="00CC2527">
          <w:rPr>
            <w:rStyle w:val="Hyperlink"/>
            <w:noProof/>
          </w:rPr>
          <w:t>Table 5:</w:t>
        </w:r>
        <w:r w:rsidR="00756A3E">
          <w:rPr>
            <w:rFonts w:asciiTheme="minorHAnsi" w:eastAsiaTheme="minorEastAsia" w:hAnsiTheme="minorHAnsi" w:cstheme="minorBidi"/>
            <w:noProof/>
            <w:sz w:val="22"/>
            <w:szCs w:val="22"/>
            <w:lang w:val="en-NZ" w:eastAsia="en-NZ"/>
          </w:rPr>
          <w:tab/>
        </w:r>
        <w:r w:rsidR="00756A3E" w:rsidRPr="00CC2527">
          <w:rPr>
            <w:rStyle w:val="Hyperlink"/>
            <w:noProof/>
          </w:rPr>
          <w:t>Public equity trends ($), 2010–2012</w:t>
        </w:r>
        <w:r w:rsidR="00756A3E">
          <w:rPr>
            <w:noProof/>
            <w:webHidden/>
          </w:rPr>
          <w:tab/>
        </w:r>
        <w:r>
          <w:rPr>
            <w:noProof/>
            <w:webHidden/>
          </w:rPr>
          <w:fldChar w:fldCharType="begin"/>
        </w:r>
        <w:r w:rsidR="00756A3E">
          <w:rPr>
            <w:noProof/>
            <w:webHidden/>
          </w:rPr>
          <w:instrText xml:space="preserve"> PAGEREF _Toc367361573 \h </w:instrText>
        </w:r>
        <w:r>
          <w:rPr>
            <w:noProof/>
            <w:webHidden/>
          </w:rPr>
        </w:r>
        <w:r>
          <w:rPr>
            <w:noProof/>
            <w:webHidden/>
          </w:rPr>
          <w:fldChar w:fldCharType="separate"/>
        </w:r>
        <w:r w:rsidR="00A45165">
          <w:rPr>
            <w:noProof/>
            <w:webHidden/>
          </w:rPr>
          <w:t>28</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74" w:history="1">
        <w:r w:rsidR="00756A3E" w:rsidRPr="00CC2527">
          <w:rPr>
            <w:rStyle w:val="Hyperlink"/>
            <w:noProof/>
          </w:rPr>
          <w:t>Table 6:</w:t>
        </w:r>
        <w:r w:rsidR="00756A3E">
          <w:rPr>
            <w:rFonts w:asciiTheme="minorHAnsi" w:eastAsiaTheme="minorEastAsia" w:hAnsiTheme="minorHAnsi" w:cstheme="minorBidi"/>
            <w:noProof/>
            <w:sz w:val="22"/>
            <w:szCs w:val="22"/>
            <w:lang w:val="en-NZ" w:eastAsia="en-NZ"/>
          </w:rPr>
          <w:tab/>
        </w:r>
        <w:r w:rsidR="00756A3E" w:rsidRPr="00CC2527">
          <w:rPr>
            <w:rStyle w:val="Hyperlink"/>
            <w:noProof/>
          </w:rPr>
          <w:t>Percentage of schools with an increase in public equity, 2012</w:t>
        </w:r>
        <w:r w:rsidR="00756A3E">
          <w:rPr>
            <w:noProof/>
            <w:webHidden/>
          </w:rPr>
          <w:tab/>
        </w:r>
        <w:r>
          <w:rPr>
            <w:noProof/>
            <w:webHidden/>
          </w:rPr>
          <w:fldChar w:fldCharType="begin"/>
        </w:r>
        <w:r w:rsidR="00756A3E">
          <w:rPr>
            <w:noProof/>
            <w:webHidden/>
          </w:rPr>
          <w:instrText xml:space="preserve"> PAGEREF _Toc367361574 \h </w:instrText>
        </w:r>
        <w:r>
          <w:rPr>
            <w:noProof/>
            <w:webHidden/>
          </w:rPr>
        </w:r>
        <w:r>
          <w:rPr>
            <w:noProof/>
            <w:webHidden/>
          </w:rPr>
          <w:fldChar w:fldCharType="separate"/>
        </w:r>
        <w:r w:rsidR="00A45165">
          <w:rPr>
            <w:noProof/>
            <w:webHidden/>
          </w:rPr>
          <w:t>28</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75" w:history="1">
        <w:r w:rsidR="00756A3E" w:rsidRPr="00CC2527">
          <w:rPr>
            <w:rStyle w:val="Hyperlink"/>
            <w:noProof/>
          </w:rPr>
          <w:t>Table 7:</w:t>
        </w:r>
        <w:r w:rsidR="00756A3E">
          <w:rPr>
            <w:rFonts w:asciiTheme="minorHAnsi" w:eastAsiaTheme="minorEastAsia" w:hAnsiTheme="minorHAnsi" w:cstheme="minorBidi"/>
            <w:noProof/>
            <w:sz w:val="22"/>
            <w:szCs w:val="22"/>
            <w:lang w:val="en-NZ" w:eastAsia="en-NZ"/>
          </w:rPr>
          <w:tab/>
        </w:r>
        <w:r w:rsidR="00756A3E" w:rsidRPr="00CC2527">
          <w:rPr>
            <w:rStyle w:val="Hyperlink"/>
            <w:noProof/>
          </w:rPr>
          <w:t>All students involved in Levels 1–4a of Māori language education, 2003–2012</w:t>
        </w:r>
        <w:r w:rsidR="00756A3E">
          <w:rPr>
            <w:noProof/>
            <w:webHidden/>
          </w:rPr>
          <w:tab/>
        </w:r>
        <w:r>
          <w:rPr>
            <w:noProof/>
            <w:webHidden/>
          </w:rPr>
          <w:fldChar w:fldCharType="begin"/>
        </w:r>
        <w:r w:rsidR="00756A3E">
          <w:rPr>
            <w:noProof/>
            <w:webHidden/>
          </w:rPr>
          <w:instrText xml:space="preserve"> PAGEREF _Toc367361575 \h </w:instrText>
        </w:r>
        <w:r>
          <w:rPr>
            <w:noProof/>
            <w:webHidden/>
          </w:rPr>
        </w:r>
        <w:r>
          <w:rPr>
            <w:noProof/>
            <w:webHidden/>
          </w:rPr>
          <w:fldChar w:fldCharType="separate"/>
        </w:r>
        <w:r w:rsidR="00A45165">
          <w:rPr>
            <w:noProof/>
            <w:webHidden/>
          </w:rPr>
          <w:t>55</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76" w:history="1">
        <w:r w:rsidR="00756A3E" w:rsidRPr="00CC2527">
          <w:rPr>
            <w:rStyle w:val="Hyperlink"/>
            <w:noProof/>
          </w:rPr>
          <w:t>Table 8:</w:t>
        </w:r>
        <w:r w:rsidR="00756A3E">
          <w:rPr>
            <w:rFonts w:asciiTheme="minorHAnsi" w:eastAsiaTheme="minorEastAsia" w:hAnsiTheme="minorHAnsi" w:cstheme="minorBidi"/>
            <w:noProof/>
            <w:sz w:val="22"/>
            <w:szCs w:val="22"/>
            <w:lang w:val="en-NZ" w:eastAsia="en-NZ"/>
          </w:rPr>
          <w:tab/>
        </w:r>
        <w:r w:rsidR="00756A3E" w:rsidRPr="00CC2527">
          <w:rPr>
            <w:rStyle w:val="Hyperlink"/>
            <w:noProof/>
          </w:rPr>
          <w:t>Youths in education, employment or training: 16-year-olds to 18-year-olds, 2012</w:t>
        </w:r>
        <w:r w:rsidR="00756A3E">
          <w:rPr>
            <w:noProof/>
            <w:webHidden/>
          </w:rPr>
          <w:tab/>
        </w:r>
        <w:r>
          <w:rPr>
            <w:noProof/>
            <w:webHidden/>
          </w:rPr>
          <w:fldChar w:fldCharType="begin"/>
        </w:r>
        <w:r w:rsidR="00756A3E">
          <w:rPr>
            <w:noProof/>
            <w:webHidden/>
          </w:rPr>
          <w:instrText xml:space="preserve"> PAGEREF _Toc367361576 \h </w:instrText>
        </w:r>
        <w:r>
          <w:rPr>
            <w:noProof/>
            <w:webHidden/>
          </w:rPr>
        </w:r>
        <w:r>
          <w:rPr>
            <w:noProof/>
            <w:webHidden/>
          </w:rPr>
          <w:fldChar w:fldCharType="separate"/>
        </w:r>
        <w:r w:rsidR="00A45165">
          <w:rPr>
            <w:noProof/>
            <w:webHidden/>
          </w:rPr>
          <w:t>57</w:t>
        </w:r>
        <w:r>
          <w:rPr>
            <w:noProof/>
            <w:webHidden/>
          </w:rPr>
          <w:fldChar w:fldCharType="end"/>
        </w:r>
      </w:hyperlink>
    </w:p>
    <w:p w:rsidR="00756A3E" w:rsidRDefault="00570122">
      <w:pPr>
        <w:pStyle w:val="TOC3"/>
        <w:rPr>
          <w:rFonts w:asciiTheme="minorHAnsi" w:eastAsiaTheme="minorEastAsia" w:hAnsiTheme="minorHAnsi" w:cstheme="minorBidi"/>
          <w:noProof/>
          <w:sz w:val="22"/>
          <w:szCs w:val="22"/>
          <w:lang w:val="en-NZ" w:eastAsia="en-NZ"/>
        </w:rPr>
      </w:pPr>
      <w:hyperlink w:anchor="_Toc367361577" w:history="1">
        <w:r w:rsidR="00756A3E" w:rsidRPr="00CC2527">
          <w:rPr>
            <w:rStyle w:val="Hyperlink"/>
            <w:noProof/>
          </w:rPr>
          <w:t>Table 9:</w:t>
        </w:r>
        <w:r w:rsidR="00756A3E">
          <w:rPr>
            <w:rFonts w:asciiTheme="minorHAnsi" w:eastAsiaTheme="minorEastAsia" w:hAnsiTheme="minorHAnsi" w:cstheme="minorBidi"/>
            <w:noProof/>
            <w:sz w:val="22"/>
            <w:szCs w:val="22"/>
            <w:lang w:val="en-NZ" w:eastAsia="en-NZ"/>
          </w:rPr>
          <w:tab/>
        </w:r>
        <w:r w:rsidR="00756A3E" w:rsidRPr="00CC2527">
          <w:rPr>
            <w:rStyle w:val="Hyperlink"/>
            <w:noProof/>
          </w:rPr>
          <w:t>Teacher loss rates, by school type, May 2007/08 to May 2011/12</w:t>
        </w:r>
        <w:r w:rsidR="00756A3E">
          <w:rPr>
            <w:noProof/>
            <w:webHidden/>
          </w:rPr>
          <w:tab/>
        </w:r>
        <w:r>
          <w:rPr>
            <w:noProof/>
            <w:webHidden/>
          </w:rPr>
          <w:fldChar w:fldCharType="begin"/>
        </w:r>
        <w:r w:rsidR="00756A3E">
          <w:rPr>
            <w:noProof/>
            <w:webHidden/>
          </w:rPr>
          <w:instrText xml:space="preserve"> PAGEREF _Toc367361577 \h </w:instrText>
        </w:r>
        <w:r>
          <w:rPr>
            <w:noProof/>
            <w:webHidden/>
          </w:rPr>
        </w:r>
        <w:r>
          <w:rPr>
            <w:noProof/>
            <w:webHidden/>
          </w:rPr>
          <w:fldChar w:fldCharType="separate"/>
        </w:r>
        <w:r w:rsidR="00A45165">
          <w:rPr>
            <w:noProof/>
            <w:webHidden/>
          </w:rPr>
          <w:t>72</w:t>
        </w:r>
        <w:r>
          <w:rPr>
            <w:noProof/>
            <w:webHidden/>
          </w:rPr>
          <w:fldChar w:fldCharType="end"/>
        </w:r>
      </w:hyperlink>
    </w:p>
    <w:p w:rsidR="006C764F" w:rsidRPr="0060013A" w:rsidRDefault="00570122" w:rsidP="00D00FCF">
      <w:pPr>
        <w:pStyle w:val="TOC3"/>
        <w:rPr>
          <w:highlight w:val="yellow"/>
        </w:rPr>
        <w:sectPr w:rsidR="006C764F" w:rsidRPr="0060013A" w:rsidSect="00077E19">
          <w:headerReference w:type="default" r:id="rId12"/>
          <w:pgSz w:w="11906" w:h="16838" w:code="9"/>
          <w:pgMar w:top="1701" w:right="1361" w:bottom="851" w:left="1701" w:header="709" w:footer="709" w:gutter="0"/>
          <w:cols w:space="708"/>
          <w:docGrid w:linePitch="360"/>
        </w:sectPr>
      </w:pPr>
      <w:r w:rsidRPr="0060013A">
        <w:rPr>
          <w:highlight w:val="yellow"/>
        </w:rPr>
        <w:fldChar w:fldCharType="end"/>
      </w:r>
    </w:p>
    <w:p w:rsidR="00385249" w:rsidRPr="00CC5856" w:rsidRDefault="00DC5119" w:rsidP="00385249">
      <w:pPr>
        <w:pStyle w:val="Heading1"/>
      </w:pPr>
      <w:bookmarkStart w:id="16" w:name="_Toc303511342"/>
      <w:bookmarkStart w:id="17" w:name="_Toc367361617"/>
      <w:r w:rsidRPr="00CC5856">
        <w:t>Foreword</w:t>
      </w:r>
      <w:bookmarkEnd w:id="16"/>
      <w:bookmarkEnd w:id="17"/>
    </w:p>
    <w:p w:rsidR="00CC5856" w:rsidRPr="0060013A" w:rsidRDefault="00CC5856" w:rsidP="008A6837">
      <w:pPr>
        <w:pStyle w:val="BodyText"/>
        <w:rPr>
          <w:highlight w:val="yellow"/>
        </w:rPr>
      </w:pPr>
      <w:bookmarkStart w:id="18" w:name="_Toc300319635"/>
      <w:r w:rsidRPr="00BA79AB">
        <w:t xml:space="preserve">This Government has a vision for a country where all our young people have access to effective education and the ability to achieve at a high standard, academically and otherwise. </w:t>
      </w:r>
      <w:r w:rsidRPr="00AB2576">
        <w:t>We are ambitious for our students, and have set a key target that 85% of 18-year-olds will have achieved NCEA Level 2 (or</w:t>
      </w:r>
      <w:r w:rsidR="006316A6">
        <w:t xml:space="preserve"> an equivalent qualification) by</w:t>
      </w:r>
      <w:r w:rsidRPr="00AB2576">
        <w:t xml:space="preserve"> 2017</w:t>
      </w:r>
      <w:r>
        <w:t xml:space="preserve">. In 2012, 77.2% of 18-year-olds met this target, </w:t>
      </w:r>
      <w:r w:rsidR="000631E9">
        <w:t>continuing the progress seen in previous years and exceeding our</w:t>
      </w:r>
      <w:r>
        <w:t xml:space="preserve"> forecasts</w:t>
      </w:r>
      <w:r w:rsidRPr="00AB2576">
        <w:t xml:space="preserve">. </w:t>
      </w:r>
      <w:r>
        <w:t>Maintaining</w:t>
      </w:r>
      <w:r w:rsidRPr="00AB2576">
        <w:t xml:space="preserve"> high expectations for our students and providing all students with quality education and </w:t>
      </w:r>
      <w:r>
        <w:t>modern</w:t>
      </w:r>
      <w:r w:rsidRPr="00AB2576">
        <w:t xml:space="preserve"> learning environment</w:t>
      </w:r>
      <w:r>
        <w:t>s</w:t>
      </w:r>
      <w:r w:rsidRPr="00AB2576">
        <w:t xml:space="preserve"> will ensure our </w:t>
      </w:r>
      <w:r w:rsidR="000631E9">
        <w:t>young people</w:t>
      </w:r>
      <w:r w:rsidRPr="00AB2576">
        <w:t xml:space="preserve"> will be better prepared for further education and employment.</w:t>
      </w:r>
    </w:p>
    <w:p w:rsidR="00CC5856" w:rsidRPr="0060013A" w:rsidRDefault="00CC5856" w:rsidP="008A6837">
      <w:pPr>
        <w:pStyle w:val="BodyText"/>
        <w:rPr>
          <w:highlight w:val="yellow"/>
        </w:rPr>
      </w:pPr>
      <w:r w:rsidRPr="00AB2576">
        <w:t xml:space="preserve">The 2012 year was one of changes and challenges in the New Zealand schooling system. </w:t>
      </w:r>
      <w:r w:rsidRPr="004439EB">
        <w:t xml:space="preserve">The Government introduced the Education Renewal Recovery Programme, outlining the future shape of education provision and the schooling network in greater Christchurch. </w:t>
      </w:r>
      <w:r w:rsidR="000631E9">
        <w:t>C</w:t>
      </w:r>
      <w:r>
        <w:t xml:space="preserve">hallenges were faced by schools and teaching staff nation-wide following issues with the implementation of the new education payroll system, Novopay. </w:t>
      </w:r>
      <w:r w:rsidR="008C5048">
        <w:t>S</w:t>
      </w:r>
      <w:r w:rsidRPr="004439EB">
        <w:t xml:space="preserve">chools and kura that use </w:t>
      </w:r>
      <w:r w:rsidRPr="004439EB">
        <w:rPr>
          <w:i/>
        </w:rPr>
        <w:t xml:space="preserve">Te Marautanga o Aotearoa </w:t>
      </w:r>
      <w:r w:rsidR="008C5048">
        <w:t>were in their first full year of implementation for Ngā Whanaketanga Rumaki Māori</w:t>
      </w:r>
      <w:r w:rsidRPr="004439EB">
        <w:t xml:space="preserve">. </w:t>
      </w:r>
    </w:p>
    <w:p w:rsidR="00CC5856" w:rsidRPr="0060013A" w:rsidRDefault="00CC5856" w:rsidP="008A6837">
      <w:pPr>
        <w:pStyle w:val="BodyText"/>
        <w:rPr>
          <w:highlight w:val="yellow"/>
        </w:rPr>
      </w:pPr>
      <w:r w:rsidRPr="00BA79AB">
        <w:t xml:space="preserve">Our education system relies on teachers, parents and communities being informed </w:t>
      </w:r>
      <w:r>
        <w:t xml:space="preserve">about </w:t>
      </w:r>
      <w:r w:rsidRPr="00BA79AB">
        <w:t>and engaged in their children’s learning</w:t>
      </w:r>
      <w:r w:rsidRPr="005E6118">
        <w:t xml:space="preserve">. The National Standards are designed to support </w:t>
      </w:r>
      <w:r w:rsidRPr="005E6118">
        <w:rPr>
          <w:i/>
        </w:rPr>
        <w:t xml:space="preserve">The New Zealand Curriculum </w:t>
      </w:r>
      <w:r w:rsidRPr="005E6118">
        <w:t>and are aimed at establishing high expecta</w:t>
      </w:r>
      <w:r w:rsidR="008C5048">
        <w:t xml:space="preserve">tions for students. </w:t>
      </w:r>
      <w:r w:rsidRPr="00970D34">
        <w:t>The release of 2012 aggregate National Standards data</w:t>
      </w:r>
      <w:r w:rsidR="008C5048">
        <w:t>,</w:t>
      </w:r>
      <w:r w:rsidRPr="00970D34">
        <w:t xml:space="preserve"> sho</w:t>
      </w:r>
      <w:r w:rsidR="008C5048">
        <w:t>wing improvements in achievement, demonstrates</w:t>
      </w:r>
      <w:r w:rsidRPr="00970D34">
        <w:t xml:space="preserve"> that the teaching professionals in our schools are succeeding in lifting educational achievement.</w:t>
      </w:r>
    </w:p>
    <w:p w:rsidR="00CC5856" w:rsidRPr="0060013A" w:rsidRDefault="008C5048" w:rsidP="00CC5856">
      <w:pPr>
        <w:pStyle w:val="BodyText"/>
        <w:rPr>
          <w:highlight w:val="yellow"/>
          <w:lang w:val="en-NZ"/>
        </w:rPr>
      </w:pPr>
      <w:r>
        <w:t>Schools</w:t>
      </w:r>
      <w:r w:rsidR="00CC5856" w:rsidRPr="00970D34">
        <w:t xml:space="preserve"> are performing well for many of our student</w:t>
      </w:r>
      <w:r w:rsidR="00CC5856">
        <w:t>s</w:t>
      </w:r>
      <w:r w:rsidR="00CC5856" w:rsidRPr="00970D34">
        <w:t xml:space="preserve"> and </w:t>
      </w:r>
      <w:r>
        <w:t xml:space="preserve">good </w:t>
      </w:r>
      <w:r w:rsidR="00CC5856" w:rsidRPr="00970D34">
        <w:t xml:space="preserve">progress is being made towards a number of goals set in </w:t>
      </w:r>
      <w:r>
        <w:t>recent</w:t>
      </w:r>
      <w:r w:rsidR="00CC5856" w:rsidRPr="00970D34">
        <w:t xml:space="preserve"> years, </w:t>
      </w:r>
      <w:r>
        <w:t xml:space="preserve">but </w:t>
      </w:r>
      <w:r w:rsidR="00CC5856">
        <w:t>t</w:t>
      </w:r>
      <w:r w:rsidR="00CC5856" w:rsidRPr="00970D34">
        <w:t>his report shows that there is still room for improvement. The spread of achievement of our students is wide. Too many</w:t>
      </w:r>
      <w:r w:rsidR="00CC5856">
        <w:t xml:space="preserve"> pupils do not reach </w:t>
      </w:r>
      <w:r w:rsidR="00CC5856" w:rsidRPr="00970D34">
        <w:t xml:space="preserve">their full potential because </w:t>
      </w:r>
      <w:r>
        <w:t>we do</w:t>
      </w:r>
      <w:r w:rsidR="00CC5856" w:rsidRPr="00970D34">
        <w:t xml:space="preserve"> not engage and support them in their learning. </w:t>
      </w:r>
      <w:r w:rsidR="00CC5856" w:rsidRPr="00BA79AB">
        <w:t>We have over 760,000 stude</w:t>
      </w:r>
      <w:r>
        <w:t>nts in education in New Zealand</w:t>
      </w:r>
      <w:r w:rsidR="00CC5856" w:rsidRPr="00BA79AB">
        <w:t xml:space="preserve"> and we need to ensure that we get it right for every single one.</w:t>
      </w:r>
      <w:r w:rsidR="00CC5856" w:rsidRPr="0060013A">
        <w:rPr>
          <w:highlight w:val="yellow"/>
        </w:rPr>
        <w:t xml:space="preserve"> </w:t>
      </w:r>
    </w:p>
    <w:p w:rsidR="00CC5856" w:rsidRPr="00BA79AB" w:rsidRDefault="00CC5856" w:rsidP="00CC5856">
      <w:pPr>
        <w:pStyle w:val="BodyText"/>
      </w:pPr>
      <w:r w:rsidRPr="00BA79AB">
        <w:t xml:space="preserve">The Government’s emphasis will continue to be on lifting educational standards so that the students of today </w:t>
      </w:r>
      <w:r>
        <w:t>will</w:t>
      </w:r>
      <w:r w:rsidRPr="00BA79AB">
        <w:t xml:space="preserve"> be</w:t>
      </w:r>
      <w:r>
        <w:t>come</w:t>
      </w:r>
      <w:r w:rsidRPr="00BA79AB">
        <w:t xml:space="preserve"> the talented adults of tomorrow, contributing to New Zealand’s society and economy in a meaningful way.</w:t>
      </w:r>
    </w:p>
    <w:p w:rsidR="00CC5856" w:rsidRPr="00BA79AB" w:rsidRDefault="00CC5856" w:rsidP="00CC5856">
      <w:pPr>
        <w:pStyle w:val="BodyText"/>
        <w:rPr>
          <w:i/>
        </w:rPr>
      </w:pPr>
      <w:r w:rsidRPr="00BA79AB">
        <w:t>I am pleased to present to Parliament</w:t>
      </w:r>
      <w:r w:rsidRPr="00BA79AB">
        <w:rPr>
          <w:i/>
        </w:rPr>
        <w:t xml:space="preserve"> New Zealand Schools Ngā Kura o Aotearoa – 2012.</w:t>
      </w:r>
    </w:p>
    <w:p w:rsidR="00293BA8" w:rsidRPr="00CC5856" w:rsidRDefault="00DC5119" w:rsidP="001114E9">
      <w:pPr>
        <w:pStyle w:val="BodyText"/>
        <w:rPr>
          <w:b/>
          <w:bCs/>
        </w:rPr>
      </w:pPr>
      <w:r w:rsidRPr="00CC5856">
        <w:rPr>
          <w:b/>
          <w:bCs/>
        </w:rPr>
        <w:t xml:space="preserve">Hon. </w:t>
      </w:r>
      <w:bookmarkEnd w:id="18"/>
      <w:r w:rsidR="00615966" w:rsidRPr="00CC5856">
        <w:rPr>
          <w:b/>
          <w:bCs/>
        </w:rPr>
        <w:t>Hekia Parata</w:t>
      </w:r>
    </w:p>
    <w:p w:rsidR="001114E9" w:rsidRPr="00CC5856" w:rsidRDefault="0060013A" w:rsidP="001114E9">
      <w:pPr>
        <w:pStyle w:val="BodyText"/>
        <w:rPr>
          <w:iCs/>
        </w:rPr>
      </w:pPr>
      <w:r>
        <w:rPr>
          <w:b/>
          <w:bCs/>
          <w:noProof/>
          <w:lang w:val="en-NZ"/>
        </w:rPr>
        <w:drawing>
          <wp:inline distT="0" distB="0" distL="0" distR="0">
            <wp:extent cx="1510665" cy="325755"/>
            <wp:effectExtent l="19050" t="0" r="0" b="0"/>
            <wp:docPr id="1" name="Picture 1" descr="Hekia Parata JPEG High Res_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kia Parata JPEG High Res_b&amp;w"/>
                    <pic:cNvPicPr>
                      <a:picLocks noChangeAspect="1" noChangeArrowheads="1"/>
                    </pic:cNvPicPr>
                  </pic:nvPicPr>
                  <pic:blipFill>
                    <a:blip r:embed="rId13" cstate="print"/>
                    <a:srcRect/>
                    <a:stretch>
                      <a:fillRect/>
                    </a:stretch>
                  </pic:blipFill>
                  <pic:spPr bwMode="auto">
                    <a:xfrm>
                      <a:off x="0" y="0"/>
                      <a:ext cx="1510665" cy="325755"/>
                    </a:xfrm>
                    <a:prstGeom prst="rect">
                      <a:avLst/>
                    </a:prstGeom>
                    <a:noFill/>
                    <a:ln w="9525">
                      <a:noFill/>
                      <a:miter lim="800000"/>
                      <a:headEnd/>
                      <a:tailEnd/>
                    </a:ln>
                  </pic:spPr>
                </pic:pic>
              </a:graphicData>
            </a:graphic>
          </wp:inline>
        </w:drawing>
      </w:r>
      <w:r w:rsidR="00775850" w:rsidRPr="0060013A">
        <w:rPr>
          <w:b/>
          <w:bCs/>
          <w:highlight w:val="yellow"/>
        </w:rPr>
        <w:br/>
      </w:r>
      <w:bookmarkStart w:id="19" w:name="_Toc300319636"/>
      <w:r w:rsidR="00DC5119" w:rsidRPr="00CC5856">
        <w:rPr>
          <w:iCs/>
        </w:rPr>
        <w:t>Minister of Education</w:t>
      </w:r>
      <w:bookmarkStart w:id="20" w:name="_Toc300319637"/>
      <w:bookmarkStart w:id="21" w:name="_Toc303511343"/>
      <w:bookmarkEnd w:id="19"/>
    </w:p>
    <w:p w:rsidR="001114E9" w:rsidRDefault="001114E9" w:rsidP="001114E9">
      <w:pPr>
        <w:pStyle w:val="BodyText"/>
        <w:rPr>
          <w:highlight w:val="yellow"/>
        </w:rPr>
      </w:pPr>
    </w:p>
    <w:p w:rsidR="008C5048" w:rsidRDefault="008C5048" w:rsidP="001114E9">
      <w:pPr>
        <w:pStyle w:val="BodyText"/>
        <w:rPr>
          <w:highlight w:val="yellow"/>
        </w:rPr>
      </w:pPr>
    </w:p>
    <w:p w:rsidR="008C5048" w:rsidRDefault="008C5048" w:rsidP="001114E9">
      <w:pPr>
        <w:pStyle w:val="BodyText"/>
        <w:rPr>
          <w:highlight w:val="yellow"/>
        </w:rPr>
      </w:pPr>
    </w:p>
    <w:p w:rsidR="008C5048" w:rsidRDefault="008C5048" w:rsidP="001114E9">
      <w:pPr>
        <w:pStyle w:val="BodyText"/>
        <w:rPr>
          <w:highlight w:val="yellow"/>
        </w:rPr>
      </w:pPr>
    </w:p>
    <w:p w:rsidR="008C5048" w:rsidRPr="0060013A" w:rsidRDefault="008C5048" w:rsidP="001114E9">
      <w:pPr>
        <w:pStyle w:val="BodyText"/>
        <w:rPr>
          <w:highlight w:val="yellow"/>
        </w:rPr>
        <w:sectPr w:rsidR="008C5048" w:rsidRPr="0060013A" w:rsidSect="00941C19">
          <w:headerReference w:type="default" r:id="rId14"/>
          <w:pgSz w:w="11906" w:h="16838"/>
          <w:pgMar w:top="1701" w:right="1361" w:bottom="851" w:left="1701" w:header="709" w:footer="709" w:gutter="0"/>
          <w:cols w:space="708"/>
          <w:docGrid w:linePitch="360"/>
        </w:sectPr>
      </w:pPr>
    </w:p>
    <w:p w:rsidR="00BA19A7" w:rsidRPr="000E2B56" w:rsidRDefault="007E5060" w:rsidP="004921C8">
      <w:pPr>
        <w:pStyle w:val="Heading1"/>
      </w:pPr>
      <w:bookmarkStart w:id="22" w:name="_Toc367361618"/>
      <w:r w:rsidRPr="000E2B56">
        <w:t xml:space="preserve">Chapter </w:t>
      </w:r>
      <w:r w:rsidRPr="000E2B56" w:rsidDel="00570EBD">
        <w:t>1</w:t>
      </w:r>
      <w:r w:rsidRPr="000E2B56">
        <w:t xml:space="preserve">: Key </w:t>
      </w:r>
      <w:r w:rsidRPr="000E2B56" w:rsidDel="00570EBD">
        <w:t>f</w:t>
      </w:r>
      <w:r w:rsidR="00AD0119" w:rsidRPr="000E2B56">
        <w:t>eatures</w:t>
      </w:r>
      <w:r w:rsidRPr="000E2B56">
        <w:t xml:space="preserve"> </w:t>
      </w:r>
      <w:r w:rsidR="009644B0" w:rsidRPr="000E2B56">
        <w:t>of</w:t>
      </w:r>
      <w:r w:rsidR="000E2B56" w:rsidRPr="000E2B56">
        <w:t xml:space="preserve"> the 2012</w:t>
      </w:r>
      <w:r w:rsidRPr="000E2B56">
        <w:t xml:space="preserve"> year</w:t>
      </w:r>
      <w:bookmarkEnd w:id="20"/>
      <w:bookmarkEnd w:id="21"/>
      <w:bookmarkEnd w:id="22"/>
    </w:p>
    <w:p w:rsidR="006B0010" w:rsidRPr="000E2B56" w:rsidRDefault="006B0010" w:rsidP="00D9328E">
      <w:pPr>
        <w:pStyle w:val="Heading2"/>
      </w:pPr>
      <w:bookmarkStart w:id="23" w:name="_Toc303511344"/>
      <w:bookmarkStart w:id="24" w:name="_Toc367361619"/>
      <w:bookmarkStart w:id="25" w:name="_Toc269895721"/>
      <w:bookmarkStart w:id="26" w:name="_Toc300319638"/>
      <w:r w:rsidRPr="000E2B56">
        <w:t>Background</w:t>
      </w:r>
      <w:bookmarkEnd w:id="23"/>
      <w:bookmarkEnd w:id="24"/>
    </w:p>
    <w:p w:rsidR="006B0010" w:rsidRPr="000E2B56" w:rsidRDefault="006B0010" w:rsidP="002E741F">
      <w:pPr>
        <w:pStyle w:val="Heading3"/>
      </w:pPr>
      <w:bookmarkStart w:id="27" w:name="_Toc269895723"/>
      <w:bookmarkStart w:id="28" w:name="_Toc300319640"/>
      <w:r w:rsidRPr="000E2B56">
        <w:t>Schools in 20</w:t>
      </w:r>
      <w:bookmarkEnd w:id="27"/>
      <w:r w:rsidRPr="000E2B56">
        <w:t>1</w:t>
      </w:r>
      <w:bookmarkEnd w:id="28"/>
      <w:r w:rsidR="000E2B56" w:rsidRPr="000E2B56">
        <w:t>2</w:t>
      </w:r>
    </w:p>
    <w:p w:rsidR="006B0010" w:rsidRPr="0060013A" w:rsidRDefault="006B0010" w:rsidP="00085376">
      <w:pPr>
        <w:pStyle w:val="BodyText"/>
        <w:rPr>
          <w:highlight w:val="yellow"/>
        </w:rPr>
      </w:pPr>
      <w:r w:rsidRPr="000E2B56">
        <w:t xml:space="preserve">In July </w:t>
      </w:r>
      <w:r w:rsidR="000E2B56" w:rsidRPr="000E2B56">
        <w:t>2012</w:t>
      </w:r>
      <w:r w:rsidR="00B75428" w:rsidRPr="000E2B56">
        <w:t xml:space="preserve"> there were </w:t>
      </w:r>
      <w:r w:rsidR="00B75428" w:rsidRPr="00576A83">
        <w:t>2,</w:t>
      </w:r>
      <w:r w:rsidRPr="00576A83">
        <w:t>5</w:t>
      </w:r>
      <w:r w:rsidR="00576A83" w:rsidRPr="00576A83">
        <w:t>5</w:t>
      </w:r>
      <w:r w:rsidR="008701C7" w:rsidRPr="00576A83">
        <w:t>8</w:t>
      </w:r>
      <w:r w:rsidRPr="00576A83">
        <w:t xml:space="preserve"> schools</w:t>
      </w:r>
      <w:r w:rsidR="008701C7" w:rsidRPr="00576A83">
        <w:t xml:space="preserve"> (including 20 Teen Parent Units</w:t>
      </w:r>
      <w:r w:rsidR="008701C7" w:rsidRPr="000E2B56">
        <w:t>)</w:t>
      </w:r>
      <w:r w:rsidRPr="000E2B56">
        <w:t xml:space="preserve"> with </w:t>
      </w:r>
      <w:r w:rsidR="000E2B56" w:rsidRPr="000E2B56">
        <w:t>759,960</w:t>
      </w:r>
      <w:r w:rsidR="00535F78" w:rsidRPr="000E2B56">
        <w:t xml:space="preserve"> </w:t>
      </w:r>
      <w:r w:rsidRPr="000E2B56">
        <w:t xml:space="preserve">students, </w:t>
      </w:r>
      <w:r w:rsidR="008F7FE1" w:rsidRPr="000E2B56">
        <w:t>52</w:t>
      </w:r>
      <w:r w:rsidR="00535F78" w:rsidRPr="000E2B56">
        <w:t>,</w:t>
      </w:r>
      <w:r w:rsidR="000E2B56" w:rsidRPr="000E2B56">
        <w:t>238</w:t>
      </w:r>
      <w:r w:rsidR="00964126" w:rsidRPr="000E2B56">
        <w:t xml:space="preserve"> </w:t>
      </w:r>
      <w:r w:rsidR="00B75428" w:rsidRPr="000E2B56">
        <w:t xml:space="preserve">staff and </w:t>
      </w:r>
      <w:r w:rsidR="008F7FE1" w:rsidRPr="000E2B56">
        <w:t>18</w:t>
      </w:r>
      <w:r w:rsidR="00535F78" w:rsidRPr="000E2B56">
        <w:t>,</w:t>
      </w:r>
      <w:r w:rsidR="000E2B56" w:rsidRPr="000E2B56">
        <w:t>694</w:t>
      </w:r>
      <w:r w:rsidR="00535F78" w:rsidRPr="000E2B56">
        <w:t xml:space="preserve"> </w:t>
      </w:r>
      <w:r w:rsidR="0072507F" w:rsidRPr="000E2B56">
        <w:t>Board of T</w:t>
      </w:r>
      <w:r w:rsidRPr="000E2B56">
        <w:t xml:space="preserve">rustee members. </w:t>
      </w:r>
      <w:r w:rsidR="00B75428" w:rsidRPr="000E2B56">
        <w:t xml:space="preserve">A further </w:t>
      </w:r>
      <w:r w:rsidR="000E2B56" w:rsidRPr="000E2B56">
        <w:t>6,568</w:t>
      </w:r>
      <w:r w:rsidR="008F7FE1" w:rsidRPr="000E2B56">
        <w:t xml:space="preserve"> </w:t>
      </w:r>
      <w:r w:rsidRPr="000E2B56">
        <w:t>students were home</w:t>
      </w:r>
      <w:r w:rsidR="00C97343">
        <w:rPr>
          <w:rFonts w:cs="Arial"/>
        </w:rPr>
        <w:t>-</w:t>
      </w:r>
      <w:r w:rsidRPr="000E2B56">
        <w:t>schooled.</w:t>
      </w:r>
    </w:p>
    <w:p w:rsidR="006B0010" w:rsidRPr="00FE5340" w:rsidRDefault="00271176" w:rsidP="006B0010">
      <w:pPr>
        <w:pStyle w:val="BodyText"/>
      </w:pPr>
      <w:r w:rsidRPr="00FE5340">
        <w:t>For</w:t>
      </w:r>
      <w:r w:rsidR="006B0010" w:rsidRPr="00FE5340">
        <w:t xml:space="preserve"> students to access </w:t>
      </w:r>
      <w:r w:rsidR="00DD7FD6" w:rsidRPr="00FE5340">
        <w:t>high quality</w:t>
      </w:r>
      <w:r w:rsidR="006B0010" w:rsidRPr="00FE5340">
        <w:t xml:space="preserve"> learning experiences there needs to be a strong network of schools. </w:t>
      </w:r>
      <w:r w:rsidRPr="00FE5340">
        <w:t>T</w:t>
      </w:r>
      <w:r w:rsidR="006B0010" w:rsidRPr="00FE5340">
        <w:t>he network must be able to cope with the diversity of student needs, fluctuations in student numbers and the changing composition of the school-age</w:t>
      </w:r>
      <w:r w:rsidR="00724046" w:rsidRPr="00FE5340">
        <w:t>d</w:t>
      </w:r>
      <w:r w:rsidR="006B0010" w:rsidRPr="00FE5340">
        <w:t xml:space="preserve"> population.</w:t>
      </w:r>
    </w:p>
    <w:p w:rsidR="00242398" w:rsidRPr="00FE5340" w:rsidRDefault="006B0010" w:rsidP="00242398">
      <w:pPr>
        <w:pStyle w:val="BodyText"/>
      </w:pPr>
      <w:r w:rsidRPr="00FE5340">
        <w:t xml:space="preserve">The schooling system is loosely divided into two parts: primary </w:t>
      </w:r>
      <w:r w:rsidR="0072507F" w:rsidRPr="00FE5340">
        <w:t>education for students aged 5–12</w:t>
      </w:r>
      <w:r w:rsidRPr="00FE5340">
        <w:t xml:space="preserve"> (</w:t>
      </w:r>
      <w:r w:rsidR="00724046" w:rsidRPr="00FE5340">
        <w:t>Y</w:t>
      </w:r>
      <w:r w:rsidRPr="00FE5340">
        <w:t>ear</w:t>
      </w:r>
      <w:r w:rsidR="00724046" w:rsidRPr="00FE5340">
        <w:t>s</w:t>
      </w:r>
      <w:r w:rsidRPr="00FE5340">
        <w:t xml:space="preserve"> 1</w:t>
      </w:r>
      <w:r w:rsidRPr="00FE5340" w:rsidDel="00570EBD">
        <w:t>–</w:t>
      </w:r>
      <w:r w:rsidRPr="00FE5340">
        <w:t>8) and secondary education for students aged 13</w:t>
      </w:r>
      <w:r w:rsidRPr="00FE5340" w:rsidDel="00570EBD">
        <w:t>–</w:t>
      </w:r>
      <w:r w:rsidRPr="00FE5340">
        <w:t>18 (</w:t>
      </w:r>
      <w:r w:rsidR="00724046" w:rsidRPr="00FE5340">
        <w:t>Y</w:t>
      </w:r>
      <w:r w:rsidRPr="00FE5340">
        <w:t>ear</w:t>
      </w:r>
      <w:r w:rsidR="00724046" w:rsidRPr="00FE5340">
        <w:t>s</w:t>
      </w:r>
      <w:r w:rsidRPr="00FE5340">
        <w:t xml:space="preserve"> 9–13).</w:t>
      </w:r>
      <w:r w:rsidR="0055086C" w:rsidRPr="00FE5340">
        <w:t xml:space="preserve"> </w:t>
      </w:r>
      <w:r w:rsidRPr="00FE5340">
        <w:t>The schooling options are displayed below. Figure 1 also includes the year</w:t>
      </w:r>
      <w:r w:rsidRPr="00FE5340" w:rsidDel="00570EBD">
        <w:t xml:space="preserve"> </w:t>
      </w:r>
      <w:r w:rsidRPr="00FE5340">
        <w:t>level of students and, in senior secondary</w:t>
      </w:r>
      <w:r w:rsidR="0055086C" w:rsidRPr="00FE5340">
        <w:t xml:space="preserve"> school</w:t>
      </w:r>
      <w:r w:rsidRPr="00FE5340">
        <w:t>, the qualification level that most students study towards.</w:t>
      </w:r>
      <w:r w:rsidR="00242398" w:rsidRPr="00FE5340">
        <w:t xml:space="preserve"> </w:t>
      </w:r>
    </w:p>
    <w:p w:rsidR="006B0010" w:rsidRPr="00FE5340" w:rsidRDefault="007B4689" w:rsidP="009D126C">
      <w:pPr>
        <w:pStyle w:val="FigureHeading"/>
      </w:pPr>
      <w:bookmarkStart w:id="29" w:name="_Toc302910588"/>
      <w:bookmarkStart w:id="30" w:name="_Toc304214666"/>
      <w:bookmarkStart w:id="31" w:name="_Toc367361578"/>
      <w:bookmarkEnd w:id="29"/>
      <w:r w:rsidRPr="00FE5340">
        <w:t>Schooling o</w:t>
      </w:r>
      <w:r w:rsidR="006B0010" w:rsidRPr="00FE5340">
        <w:t xml:space="preserve">ptions for </w:t>
      </w:r>
      <w:r w:rsidRPr="00FE5340">
        <w:t>young people of compulsory school attendance ag</w:t>
      </w:r>
      <w:r w:rsidR="006B0010" w:rsidRPr="00FE5340">
        <w:t>e</w:t>
      </w:r>
      <w:bookmarkEnd w:id="30"/>
      <w:bookmarkEnd w:id="31"/>
    </w:p>
    <w:p w:rsidR="00B07820" w:rsidRPr="0060013A" w:rsidRDefault="00F32AF8" w:rsidP="00FE1B3D">
      <w:pPr>
        <w:pStyle w:val="Figure"/>
        <w:rPr>
          <w:noProof/>
          <w:highlight w:val="yellow"/>
        </w:rPr>
      </w:pPr>
      <w:r>
        <w:rPr>
          <w:noProof/>
          <w:lang w:val="en-NZ"/>
        </w:rPr>
        <w:drawing>
          <wp:inline distT="0" distB="0" distL="0" distR="0">
            <wp:extent cx="5615940" cy="2663825"/>
            <wp:effectExtent l="19050" t="0" r="3810" b="0"/>
            <wp:docPr id="27" name="Picture 26" descr="2012_Figure_1_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_HR.png"/>
                    <pic:cNvPicPr/>
                  </pic:nvPicPr>
                  <pic:blipFill>
                    <a:blip r:embed="rId15" cstate="print"/>
                    <a:stretch>
                      <a:fillRect/>
                    </a:stretch>
                  </pic:blipFill>
                  <pic:spPr>
                    <a:xfrm>
                      <a:off x="0" y="0"/>
                      <a:ext cx="5615940" cy="2663825"/>
                    </a:xfrm>
                    <a:prstGeom prst="rect">
                      <a:avLst/>
                    </a:prstGeom>
                  </pic:spPr>
                </pic:pic>
              </a:graphicData>
            </a:graphic>
          </wp:inline>
        </w:drawing>
      </w:r>
    </w:p>
    <w:p w:rsidR="0072507F" w:rsidRPr="00FE5340" w:rsidRDefault="0072507F" w:rsidP="00157A26">
      <w:pPr>
        <w:pStyle w:val="BodyText"/>
      </w:pPr>
      <w:r w:rsidRPr="00FE5340">
        <w:t xml:space="preserve">The New Zealand education system does not make distinctions between academic and vocational/technical programmes. The design of </w:t>
      </w:r>
      <w:r w:rsidRPr="00FE5340">
        <w:rPr>
          <w:i/>
        </w:rPr>
        <w:t xml:space="preserve">The New Zealand Curriculum </w:t>
      </w:r>
      <w:r w:rsidRPr="00FE5340">
        <w:t xml:space="preserve">(Ministry of Education, 2007), </w:t>
      </w:r>
      <w:r w:rsidRPr="00FE5340">
        <w:rPr>
          <w:i/>
        </w:rPr>
        <w:t>Te Marautanga o Aotearoa</w:t>
      </w:r>
      <w:r w:rsidR="003348F5" w:rsidRPr="00FE5340">
        <w:t xml:space="preserve"> (Ministry of Education, 2008b</w:t>
      </w:r>
      <w:r w:rsidRPr="00FE5340">
        <w:t>)</w:t>
      </w:r>
      <w:r w:rsidRPr="00FE5340">
        <w:rPr>
          <w:i/>
        </w:rPr>
        <w:t xml:space="preserve"> </w:t>
      </w:r>
      <w:r w:rsidRPr="00FE5340">
        <w:t>and the National Certificate of Educational Achievement (NCEA) qualifications enable students to select from a range of courses (including industry-based qualifications) in the senior years of secondary school (Years 11–13).</w:t>
      </w:r>
    </w:p>
    <w:p w:rsidR="000A301E" w:rsidRDefault="000A301E" w:rsidP="000A301E">
      <w:pPr>
        <w:pStyle w:val="BodyText"/>
      </w:pPr>
      <w:bookmarkStart w:id="32" w:name="_Toc303511345"/>
      <w:r w:rsidRPr="00FE5340">
        <w:t>New Zealand provides a free</w:t>
      </w:r>
      <w:r>
        <w:t xml:space="preserve"> education system through state </w:t>
      </w:r>
      <w:r w:rsidRPr="00FE5340">
        <w:t>owned and operated schools. However, both state-integrated and private options exist. State-integrated schools are part of the state system but retain their special character. In 2012</w:t>
      </w:r>
      <w:r>
        <w:t>,</w:t>
      </w:r>
      <w:r w:rsidRPr="00FE5340">
        <w:t xml:space="preserve"> the Government announced the </w:t>
      </w:r>
      <w:r>
        <w:t xml:space="preserve">introduction of </w:t>
      </w:r>
      <w:r w:rsidRPr="00FE5340">
        <w:t>a third alternative</w:t>
      </w:r>
      <w:r>
        <w:t>.</w:t>
      </w:r>
      <w:r w:rsidRPr="00FE5340">
        <w:t xml:space="preserve"> Partnership Schools</w:t>
      </w:r>
      <w:r>
        <w:rPr>
          <w:rFonts w:cs="Arial"/>
          <w:sz w:val="22"/>
        </w:rPr>
        <w:t xml:space="preserve"> |</w:t>
      </w:r>
      <w:r w:rsidRPr="00C52BEF">
        <w:rPr>
          <w:rFonts w:cs="Arial"/>
          <w:sz w:val="22"/>
        </w:rPr>
        <w:t xml:space="preserve"> </w:t>
      </w:r>
      <w:r w:rsidRPr="00FE5340">
        <w:t xml:space="preserve">Kura Hourua </w:t>
      </w:r>
      <w:r>
        <w:t>will be</w:t>
      </w:r>
      <w:r w:rsidR="00235FD2">
        <w:t xml:space="preserve"> </w:t>
      </w:r>
      <w:r w:rsidRPr="00FE5340">
        <w:t xml:space="preserve">publicly funded schools run by private interests, with </w:t>
      </w:r>
      <w:r>
        <w:t xml:space="preserve">more </w:t>
      </w:r>
      <w:r w:rsidRPr="00FE5340">
        <w:t>flexibility over setting hours</w:t>
      </w:r>
      <w:r>
        <w:t>, governance</w:t>
      </w:r>
      <w:r w:rsidRPr="00FE5340">
        <w:t xml:space="preserve"> and curriculum</w:t>
      </w:r>
      <w:r>
        <w:t xml:space="preserve">, </w:t>
      </w:r>
      <w:r w:rsidRPr="00CA3EE2">
        <w:t>in return for stronger accountability for improving educational outcomes.</w:t>
      </w:r>
      <w:r>
        <w:t xml:space="preserve"> The first schools are expected to open in 2014.</w:t>
      </w:r>
    </w:p>
    <w:p w:rsidR="0026666F" w:rsidRPr="000960F2" w:rsidRDefault="0026666F" w:rsidP="00A75772">
      <w:pPr>
        <w:pStyle w:val="ShadingHeading1"/>
      </w:pPr>
      <w:bookmarkStart w:id="33" w:name="_Toc367361620"/>
      <w:r w:rsidRPr="000960F2">
        <w:t>An overview of performance</w:t>
      </w:r>
      <w:bookmarkEnd w:id="33"/>
    </w:p>
    <w:p w:rsidR="000960F2" w:rsidRPr="000960F2" w:rsidRDefault="000960F2" w:rsidP="000960F2">
      <w:pPr>
        <w:pStyle w:val="Shadingbullets"/>
      </w:pPr>
      <w:r w:rsidRPr="000960F2">
        <w:t>Implementation of the National Standards continued in 2012, with school level data available online for the first time</w:t>
      </w:r>
      <w:r w:rsidR="00F16865">
        <w:t xml:space="preserve"> (2011 data)</w:t>
      </w:r>
      <w:r w:rsidRPr="000960F2">
        <w:t>. National statistics relating</w:t>
      </w:r>
      <w:r w:rsidR="007F4C60">
        <w:t xml:space="preserve"> to National Standards indicate</w:t>
      </w:r>
      <w:r w:rsidRPr="000960F2">
        <w:t xml:space="preserve"> that the proportion</w:t>
      </w:r>
      <w:r w:rsidR="00E16ECA">
        <w:t>s</w:t>
      </w:r>
      <w:r w:rsidRPr="000960F2">
        <w:t xml:space="preserve"> of students achieving at or above the standard for Reading (77.4%), Writing (70.</w:t>
      </w:r>
      <w:r w:rsidR="00E16ECA">
        <w:t>0%), and Mathematics (73.6%) have</w:t>
      </w:r>
      <w:r w:rsidRPr="000960F2">
        <w:t xml:space="preserve"> increased since 2011.</w:t>
      </w:r>
    </w:p>
    <w:p w:rsidR="000960F2" w:rsidRPr="000960F2" w:rsidRDefault="000960F2" w:rsidP="000960F2">
      <w:pPr>
        <w:pStyle w:val="Shadingbullets"/>
      </w:pPr>
      <w:r w:rsidRPr="000960F2">
        <w:rPr>
          <w:lang w:val="en-NZ"/>
        </w:rPr>
        <w:t>Implementation of</w:t>
      </w:r>
      <w:r w:rsidRPr="000960F2">
        <w:rPr>
          <w:i/>
          <w:lang w:val="en-NZ"/>
        </w:rPr>
        <w:t xml:space="preserve"> </w:t>
      </w:r>
      <w:r w:rsidRPr="000960F2">
        <w:rPr>
          <w:lang w:val="en-NZ"/>
        </w:rPr>
        <w:t xml:space="preserve">Ngā Whanaketanga Rumaki Māori </w:t>
      </w:r>
      <w:r w:rsidRPr="000960F2">
        <w:t xml:space="preserve">for use in kura and Māori medium settings using </w:t>
      </w:r>
      <w:r w:rsidRPr="000960F2">
        <w:rPr>
          <w:i/>
        </w:rPr>
        <w:t xml:space="preserve">Te Marautanga o Aotearoa </w:t>
      </w:r>
      <w:r w:rsidRPr="000960F2">
        <w:t>was also continuing in 2012</w:t>
      </w:r>
      <w:r w:rsidRPr="000960F2">
        <w:rPr>
          <w:lang w:val="en-NZ"/>
        </w:rPr>
        <w:t>. The 2012 Ngā Whanaketanga Rumaki Māori data are the first to be released publicall</w:t>
      </w:r>
      <w:r w:rsidR="007F4C60">
        <w:rPr>
          <w:lang w:val="en-NZ"/>
        </w:rPr>
        <w:t>y</w:t>
      </w:r>
      <w:r w:rsidR="00F16865">
        <w:rPr>
          <w:lang w:val="en-NZ"/>
        </w:rPr>
        <w:t xml:space="preserve"> (released in 2013)</w:t>
      </w:r>
      <w:r w:rsidR="007F4C60">
        <w:rPr>
          <w:lang w:val="en-NZ"/>
        </w:rPr>
        <w:t>. National statistics indicate</w:t>
      </w:r>
      <w:r w:rsidRPr="000960F2">
        <w:rPr>
          <w:lang w:val="en-NZ"/>
        </w:rPr>
        <w:t xml:space="preserve"> that around 70% of students were achieving at their expected level for Kōrero, Pānui and Tuhituhi, while 60% were achieving as expected for their age in Pāngarau.</w:t>
      </w:r>
    </w:p>
    <w:p w:rsidR="000960F2" w:rsidRPr="000960F2" w:rsidRDefault="000960F2" w:rsidP="000960F2">
      <w:pPr>
        <w:pStyle w:val="Shadingbullets"/>
      </w:pPr>
      <w:r w:rsidRPr="000960F2">
        <w:t>To achieve an NCEA Level 1 qualification, students must fulfil specific requirements for the foundation skills of both literacy and numeracy. The proportion of 15-year-old students meeting these requirements increased on last year, continuing a</w:t>
      </w:r>
      <w:r w:rsidR="007F4C60">
        <w:t xml:space="preserve"> trend of improvement</w:t>
      </w:r>
      <w:r w:rsidRPr="000960F2">
        <w:t>.</w:t>
      </w:r>
    </w:p>
    <w:p w:rsidR="000960F2" w:rsidRPr="000960F2" w:rsidRDefault="000960F2" w:rsidP="000960F2">
      <w:pPr>
        <w:pStyle w:val="Shadingbullets"/>
      </w:pPr>
      <w:r>
        <w:t>Qualification outcomes for s</w:t>
      </w:r>
      <w:r w:rsidRPr="000960F2">
        <w:t>chool leaver</w:t>
      </w:r>
      <w:r>
        <w:t>s</w:t>
      </w:r>
      <w:r w:rsidRPr="000960F2">
        <w:t xml:space="preserve"> continued to improve in 2012. A formal qualification at Level 2 or above is a benchmark which young adu</w:t>
      </w:r>
      <w:r w:rsidR="000448D7">
        <w:t>lts need to achieve as a basic prerequisite</w:t>
      </w:r>
      <w:r w:rsidRPr="000960F2">
        <w:t xml:space="preserve"> for future work or training; 74.3% of 2012 school leavers attained this benchmark, compared to 72.4% of 2011 school leavers. However, outcomes for some student groups remain a concern.</w:t>
      </w:r>
    </w:p>
    <w:p w:rsidR="000960F2" w:rsidRPr="000960F2" w:rsidRDefault="000960F2" w:rsidP="000960F2">
      <w:pPr>
        <w:pStyle w:val="Shadingbullets"/>
      </w:pPr>
      <w:r w:rsidRPr="000960F2">
        <w:t xml:space="preserve">The Government has set a target of increasing the proportion of 18-year-olds with an NCEA Level 2 or equivalent qualification to 85% by 2017, attained either through school </w:t>
      </w:r>
      <w:r w:rsidRPr="000960F2">
        <w:rPr>
          <w:b/>
        </w:rPr>
        <w:t>or</w:t>
      </w:r>
      <w:r w:rsidRPr="000960F2">
        <w:t xml:space="preserve"> through tertiary study. In 2012, 77.2% of 18-year-olds had attained this level, an increase from 74.3% in 2011. This suggests that we are on track to reach the 2017 target.</w:t>
      </w:r>
    </w:p>
    <w:p w:rsidR="000960F2" w:rsidRPr="000960F2" w:rsidRDefault="000960F2" w:rsidP="000960F2">
      <w:pPr>
        <w:pStyle w:val="Shadingbullets"/>
      </w:pPr>
      <w:r w:rsidRPr="000960F2">
        <w:t>Age-standardised rates of stand-downs (23.4 per 1000) and suspensions (4.7 per 1000) were at their lowest rate in 13 years.</w:t>
      </w:r>
    </w:p>
    <w:p w:rsidR="000960F2" w:rsidRPr="000960F2" w:rsidRDefault="000960F2" w:rsidP="000960F2">
      <w:pPr>
        <w:pStyle w:val="Shadingbullets"/>
      </w:pPr>
      <w:r w:rsidRPr="000960F2">
        <w:rPr>
          <w:lang w:val="en-AU"/>
        </w:rPr>
        <w:t>Retention rates have been gradually increasing in recent years, increasing from 79.3% in 2009 to 81.4% in 2012. However, there are still substantial differences between girls and boys, and between Māori and non-Māori students.</w:t>
      </w:r>
    </w:p>
    <w:p w:rsidR="00563612" w:rsidRPr="005842DF" w:rsidRDefault="00563612" w:rsidP="000960F2">
      <w:pPr>
        <w:pStyle w:val="Shadingbullets"/>
      </w:pPr>
      <w:r w:rsidRPr="005842DF">
        <w:t>Most schools have sound financial management. Schools achieved a combined operating s</w:t>
      </w:r>
      <w:r w:rsidR="0096748D" w:rsidRPr="005842DF">
        <w:t>urplus of</w:t>
      </w:r>
      <w:r w:rsidR="005842DF" w:rsidRPr="005842DF">
        <w:t xml:space="preserve"> 0.5</w:t>
      </w:r>
      <w:r w:rsidR="0096748D" w:rsidRPr="005842DF">
        <w:t>% of total revenue, which is</w:t>
      </w:r>
      <w:r w:rsidRPr="005842DF">
        <w:t xml:space="preserve"> </w:t>
      </w:r>
      <w:r w:rsidR="005842DF" w:rsidRPr="005842DF">
        <w:t>a slight decrease on 2011 (0.6</w:t>
      </w:r>
      <w:r w:rsidRPr="005842DF">
        <w:t xml:space="preserve">%). </w:t>
      </w:r>
      <w:r w:rsidR="005842DF" w:rsidRPr="005842DF">
        <w:t>Almost 94</w:t>
      </w:r>
      <w:r w:rsidRPr="005842DF">
        <w:t xml:space="preserve">% of all state and </w:t>
      </w:r>
      <w:r w:rsidR="0070453C" w:rsidRPr="005842DF">
        <w:t>state-integrated</w:t>
      </w:r>
      <w:r w:rsidRPr="005842DF">
        <w:t xml:space="preserve"> schools had at least enough current assets to cover their short-term debts. Public equity</w:t>
      </w:r>
      <w:r w:rsidR="005842DF" w:rsidRPr="005842DF">
        <w:t xml:space="preserve"> for these schools increased 2.2% from 2011</w:t>
      </w:r>
      <w:r w:rsidRPr="005842DF">
        <w:t>.</w:t>
      </w:r>
    </w:p>
    <w:p w:rsidR="005D5A36" w:rsidRPr="00A7126F" w:rsidRDefault="005D5A36" w:rsidP="007848AA">
      <w:pPr>
        <w:pStyle w:val="Heading2"/>
      </w:pPr>
      <w:bookmarkStart w:id="34" w:name="_Toc269895725"/>
      <w:bookmarkStart w:id="35" w:name="_Toc300319646"/>
      <w:bookmarkStart w:id="36" w:name="_Toc303511346"/>
      <w:bookmarkStart w:id="37" w:name="_Toc367361621"/>
      <w:bookmarkEnd w:id="25"/>
      <w:bookmarkEnd w:id="26"/>
      <w:bookmarkEnd w:id="32"/>
      <w:r w:rsidRPr="00A7126F">
        <w:t>Expectations of schools in 20</w:t>
      </w:r>
      <w:bookmarkEnd w:id="34"/>
      <w:r w:rsidRPr="00A7126F">
        <w:t>1</w:t>
      </w:r>
      <w:bookmarkEnd w:id="35"/>
      <w:bookmarkEnd w:id="36"/>
      <w:r w:rsidR="00A7126F" w:rsidRPr="00A7126F">
        <w:t>2</w:t>
      </w:r>
      <w:bookmarkEnd w:id="37"/>
    </w:p>
    <w:p w:rsidR="000F5C3F" w:rsidRPr="00A7126F" w:rsidRDefault="005D5A36" w:rsidP="00572C22">
      <w:pPr>
        <w:pStyle w:val="BodyText"/>
      </w:pPr>
      <w:r w:rsidRPr="00A7126F">
        <w:t xml:space="preserve">The Minister of Education is required under Section 87B of the Education Act 1989 to report to Parliament each year on the performance of the state schools sector. Through this </w:t>
      </w:r>
      <w:r w:rsidR="00271176" w:rsidRPr="00A7126F">
        <w:rPr>
          <w:i/>
        </w:rPr>
        <w:t>New Zealand Schools</w:t>
      </w:r>
      <w:r w:rsidR="00271176" w:rsidRPr="00A7126F">
        <w:t xml:space="preserve"> </w:t>
      </w:r>
      <w:r w:rsidR="000E5A42" w:rsidRPr="00A7126F">
        <w:t>report,</w:t>
      </w:r>
      <w:r w:rsidRPr="00A7126F">
        <w:t xml:space="preserve"> the public of New Zealand </w:t>
      </w:r>
      <w:r w:rsidR="00A7389D" w:rsidRPr="00A7126F">
        <w:t>are</w:t>
      </w:r>
      <w:r w:rsidRPr="00A7126F">
        <w:t xml:space="preserve"> </w:t>
      </w:r>
      <w:r w:rsidR="00A7389D" w:rsidRPr="00A7126F">
        <w:t xml:space="preserve">kept </w:t>
      </w:r>
      <w:r w:rsidRPr="00A7126F">
        <w:t xml:space="preserve">informed </w:t>
      </w:r>
      <w:r w:rsidR="00A7389D" w:rsidRPr="00A7126F">
        <w:t>about</w:t>
      </w:r>
      <w:r w:rsidR="000E5A42" w:rsidRPr="00A7126F">
        <w:t xml:space="preserve"> state schools’ operation</w:t>
      </w:r>
      <w:r w:rsidRPr="00A7126F">
        <w:t xml:space="preserve"> and performance.</w:t>
      </w:r>
      <w:r w:rsidR="005962BB" w:rsidRPr="00A7126F">
        <w:t xml:space="preserve"> </w:t>
      </w:r>
      <w:r w:rsidRPr="00A7126F">
        <w:t>The Government sets the policy framework for the operation of schools in New Zealand and monitors the standard of education deliver</w:t>
      </w:r>
      <w:r w:rsidR="005962BB" w:rsidRPr="00A7126F">
        <w:t>ed</w:t>
      </w:r>
      <w:r w:rsidRPr="00A7126F">
        <w:t xml:space="preserve"> within the school network.</w:t>
      </w:r>
    </w:p>
    <w:p w:rsidR="005962BB" w:rsidRPr="00A7126F" w:rsidRDefault="000E5A42" w:rsidP="00157A26">
      <w:pPr>
        <w:pStyle w:val="BodyText"/>
      </w:pPr>
      <w:r w:rsidRPr="00A7126F">
        <w:t>Boards of T</w:t>
      </w:r>
      <w:r w:rsidR="005D5A36" w:rsidRPr="00A7126F">
        <w:t>rustees are responsible for the running of schools. A school’s operation and success depend on the cooperation and interaction of parents, teachers, principal an</w:t>
      </w:r>
      <w:r w:rsidRPr="00A7126F">
        <w:t>d B</w:t>
      </w:r>
      <w:r w:rsidR="005D5A36" w:rsidRPr="00A7126F">
        <w:t>oard.</w:t>
      </w:r>
      <w:r w:rsidR="005962BB" w:rsidRPr="00A7126F">
        <w:t xml:space="preserve"> </w:t>
      </w:r>
      <w:r w:rsidR="005D5A36" w:rsidRPr="00A7126F">
        <w:t xml:space="preserve">As Crown </w:t>
      </w:r>
      <w:r w:rsidR="00A7389D" w:rsidRPr="00A7126F">
        <w:t>e</w:t>
      </w:r>
      <w:r w:rsidR="005D5A36" w:rsidRPr="00A7126F">
        <w:t xml:space="preserve">ntities, schools manage their finances in accordance with the New Zealand equivalent of International Financial Reporting Standards and report annually on their financial position. </w:t>
      </w:r>
    </w:p>
    <w:p w:rsidR="005D5A36" w:rsidRPr="000813F7" w:rsidRDefault="00825191" w:rsidP="000813F7">
      <w:pPr>
        <w:pStyle w:val="BodyText"/>
      </w:pPr>
      <w:r w:rsidRPr="000813F7">
        <w:rPr>
          <w:highlight w:val="yellow"/>
        </w:rPr>
        <w:br w:type="page"/>
      </w:r>
      <w:r w:rsidR="005D5A36" w:rsidRPr="000813F7">
        <w:t>Schools hav</w:t>
      </w:r>
      <w:r w:rsidR="00FE4D8A">
        <w:t xml:space="preserve">e specific requirements set </w:t>
      </w:r>
      <w:r w:rsidR="005D5A36" w:rsidRPr="000813F7">
        <w:t>in the National Education Guidelines:</w:t>
      </w:r>
    </w:p>
    <w:p w:rsidR="005D5A36" w:rsidRPr="00157A26" w:rsidRDefault="005D5A36" w:rsidP="00157A26">
      <w:pPr>
        <w:pStyle w:val="BodyTextBullets"/>
      </w:pPr>
      <w:r w:rsidRPr="00157A26">
        <w:t>National Education Goals (NEGs)</w:t>
      </w:r>
    </w:p>
    <w:p w:rsidR="005D5A36" w:rsidRPr="00157A26" w:rsidRDefault="00A7389D" w:rsidP="00157A26">
      <w:pPr>
        <w:pStyle w:val="BodyTextBullets"/>
      </w:pPr>
      <w:r w:rsidRPr="00157A26">
        <w:t>n</w:t>
      </w:r>
      <w:r w:rsidR="005D5A36" w:rsidRPr="00157A26">
        <w:t>ational curriculum documents</w:t>
      </w:r>
    </w:p>
    <w:p w:rsidR="005D5A36" w:rsidRPr="00157A26" w:rsidRDefault="00A7389D" w:rsidP="00157A26">
      <w:pPr>
        <w:pStyle w:val="BodyTextBullets"/>
      </w:pPr>
      <w:r w:rsidRPr="00157A26">
        <w:t>s</w:t>
      </w:r>
      <w:r w:rsidR="005D5A36" w:rsidRPr="00157A26">
        <w:t>pecific curriculum statements</w:t>
      </w:r>
    </w:p>
    <w:p w:rsidR="005D5A36" w:rsidRPr="00157A26" w:rsidRDefault="005D5A36" w:rsidP="00157A26">
      <w:pPr>
        <w:pStyle w:val="BodyTextBullets"/>
      </w:pPr>
      <w:r w:rsidRPr="00157A26">
        <w:t>National Standards</w:t>
      </w:r>
    </w:p>
    <w:p w:rsidR="005D5A36" w:rsidRPr="00157A26" w:rsidRDefault="005D5A36" w:rsidP="00066FE6">
      <w:pPr>
        <w:pStyle w:val="BodyTextBulletslast"/>
      </w:pPr>
      <w:r w:rsidRPr="00157A26">
        <w:t>National Administration Guidelines (NAGs).</w:t>
      </w:r>
    </w:p>
    <w:p w:rsidR="000D5392" w:rsidRPr="00A7126F" w:rsidRDefault="005D5A36" w:rsidP="00157A26">
      <w:pPr>
        <w:pStyle w:val="BodyText"/>
      </w:pPr>
      <w:r w:rsidRPr="00A7126F">
        <w:t>The NEGs set out the teaching and learning responsibilities of schools</w:t>
      </w:r>
      <w:r w:rsidR="00A7389D" w:rsidRPr="00A7126F">
        <w:t xml:space="preserve"> (see below)</w:t>
      </w:r>
      <w:r w:rsidRPr="00A7126F">
        <w:t xml:space="preserve">. The NAGs set out the principles of administration for school managers and </w:t>
      </w:r>
      <w:r w:rsidR="00FD2EAC" w:rsidRPr="00A7126F">
        <w:t>Board</w:t>
      </w:r>
      <w:r w:rsidRPr="00A7126F">
        <w:t xml:space="preserve">s of </w:t>
      </w:r>
      <w:r w:rsidR="00FD2EAC" w:rsidRPr="00A7126F">
        <w:t>Trustee</w:t>
      </w:r>
      <w:r w:rsidRPr="00A7126F">
        <w:t>s in achieving the NEGs.</w:t>
      </w:r>
    </w:p>
    <w:p w:rsidR="00493E24" w:rsidRPr="00A7126F" w:rsidRDefault="00493E24" w:rsidP="002E741F">
      <w:pPr>
        <w:pStyle w:val="Heading3"/>
      </w:pPr>
      <w:r w:rsidRPr="00A7126F">
        <w:t>National Education Goa</w:t>
      </w:r>
      <w:r w:rsidR="00365C8C" w:rsidRPr="00A7126F">
        <w:t>ls</w:t>
      </w:r>
    </w:p>
    <w:tbl>
      <w:tblPr>
        <w:tblW w:w="895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1E0"/>
      </w:tblPr>
      <w:tblGrid>
        <w:gridCol w:w="818"/>
        <w:gridCol w:w="8141"/>
      </w:tblGrid>
      <w:tr w:rsidR="005D5A36" w:rsidRPr="00A7126F" w:rsidTr="00157A26">
        <w:trPr>
          <w:trHeight w:val="20"/>
        </w:trPr>
        <w:tc>
          <w:tcPr>
            <w:tcW w:w="846" w:type="dxa"/>
            <w:tcBorders>
              <w:bottom w:val="single" w:sz="4" w:space="0" w:color="FFFFFF"/>
            </w:tcBorders>
            <w:shd w:val="clear" w:color="auto" w:fill="DBE2D1"/>
          </w:tcPr>
          <w:p w:rsidR="005D5A36" w:rsidRPr="00A7126F" w:rsidRDefault="005D5A36" w:rsidP="00831875">
            <w:pPr>
              <w:pStyle w:val="TableText"/>
            </w:pPr>
            <w:r w:rsidRPr="00A7126F">
              <w:t>NEG 1</w:t>
            </w:r>
          </w:p>
        </w:tc>
        <w:tc>
          <w:tcPr>
            <w:tcW w:w="8788" w:type="dxa"/>
            <w:tcBorders>
              <w:bottom w:val="single" w:sz="4" w:space="0" w:color="FFFFFF"/>
            </w:tcBorders>
            <w:shd w:val="clear" w:color="auto" w:fill="DBE2D1"/>
          </w:tcPr>
          <w:p w:rsidR="005D5A36" w:rsidRPr="00A7126F" w:rsidRDefault="005D5A36" w:rsidP="00831875">
            <w:pPr>
              <w:pStyle w:val="TableText"/>
            </w:pPr>
            <w:r w:rsidRPr="00A7126F">
              <w:t>The highest standards of achievement, through programmes which enable all students to realise their full potential as individuals, and to develop the values needed to become full members of New Zealand</w:t>
            </w:r>
            <w:r w:rsidR="005962BB" w:rsidRPr="00A7126F">
              <w:t>’</w:t>
            </w:r>
            <w:r w:rsidRPr="00A7126F">
              <w:t>s society.</w:t>
            </w:r>
          </w:p>
        </w:tc>
      </w:tr>
      <w:tr w:rsidR="005D5A36" w:rsidRPr="00A7126F" w:rsidTr="00157A26">
        <w:trPr>
          <w:trHeight w:val="20"/>
        </w:trPr>
        <w:tc>
          <w:tcPr>
            <w:tcW w:w="846" w:type="dxa"/>
            <w:tcBorders>
              <w:bottom w:val="single" w:sz="4" w:space="0" w:color="FFFFFF"/>
            </w:tcBorders>
            <w:shd w:val="clear" w:color="auto" w:fill="EDF0E7"/>
          </w:tcPr>
          <w:p w:rsidR="005D5A36" w:rsidRPr="00A7126F" w:rsidRDefault="005D5A36" w:rsidP="00831875">
            <w:pPr>
              <w:pStyle w:val="TableText"/>
            </w:pPr>
            <w:r w:rsidRPr="00A7126F">
              <w:t>NEG 2</w:t>
            </w:r>
          </w:p>
        </w:tc>
        <w:tc>
          <w:tcPr>
            <w:tcW w:w="8788" w:type="dxa"/>
            <w:tcBorders>
              <w:bottom w:val="single" w:sz="4" w:space="0" w:color="FFFFFF"/>
            </w:tcBorders>
            <w:shd w:val="clear" w:color="auto" w:fill="EDF0E7"/>
          </w:tcPr>
          <w:p w:rsidR="005D5A36" w:rsidRPr="00A7126F" w:rsidRDefault="005D5A36" w:rsidP="00831875">
            <w:pPr>
              <w:pStyle w:val="TableText"/>
            </w:pPr>
            <w:r w:rsidRPr="00A7126F">
              <w:t>Equality of educational opportunity for all New Zealanders, by identifying and removing barriers to achievement.</w:t>
            </w:r>
          </w:p>
        </w:tc>
      </w:tr>
      <w:tr w:rsidR="005D5A36" w:rsidRPr="00A7126F" w:rsidTr="00157A26">
        <w:trPr>
          <w:trHeight w:val="20"/>
        </w:trPr>
        <w:tc>
          <w:tcPr>
            <w:tcW w:w="846" w:type="dxa"/>
            <w:tcBorders>
              <w:bottom w:val="single" w:sz="4" w:space="0" w:color="FFFFFF"/>
            </w:tcBorders>
            <w:shd w:val="clear" w:color="auto" w:fill="DBE2D1"/>
          </w:tcPr>
          <w:p w:rsidR="005D5A36" w:rsidRPr="00A7126F" w:rsidRDefault="005D5A36" w:rsidP="00831875">
            <w:pPr>
              <w:pStyle w:val="TableText"/>
            </w:pPr>
            <w:r w:rsidRPr="00A7126F">
              <w:t>NEG 3</w:t>
            </w:r>
          </w:p>
        </w:tc>
        <w:tc>
          <w:tcPr>
            <w:tcW w:w="8788" w:type="dxa"/>
            <w:tcBorders>
              <w:bottom w:val="single" w:sz="4" w:space="0" w:color="FFFFFF"/>
            </w:tcBorders>
            <w:shd w:val="clear" w:color="auto" w:fill="DBE2D1"/>
          </w:tcPr>
          <w:p w:rsidR="005D5A36" w:rsidRPr="00A7126F" w:rsidRDefault="005D5A36" w:rsidP="00831875">
            <w:pPr>
              <w:pStyle w:val="TableText"/>
            </w:pPr>
            <w:r w:rsidRPr="00A7126F">
              <w:t>Development of the knowledge, understanding and skills needed by New Zealanders to compete successfully in the modern, ever-changing world.</w:t>
            </w:r>
          </w:p>
        </w:tc>
      </w:tr>
      <w:tr w:rsidR="005D5A36" w:rsidRPr="00A7126F" w:rsidTr="00157A26">
        <w:trPr>
          <w:trHeight w:val="20"/>
        </w:trPr>
        <w:tc>
          <w:tcPr>
            <w:tcW w:w="846" w:type="dxa"/>
            <w:tcBorders>
              <w:bottom w:val="single" w:sz="4" w:space="0" w:color="FFFFFF"/>
            </w:tcBorders>
            <w:shd w:val="clear" w:color="auto" w:fill="EDF0E7"/>
          </w:tcPr>
          <w:p w:rsidR="005D5A36" w:rsidRPr="00A7126F" w:rsidRDefault="005D5A36" w:rsidP="00831875">
            <w:pPr>
              <w:pStyle w:val="TableText"/>
            </w:pPr>
            <w:r w:rsidRPr="00A7126F">
              <w:t>NEG 4</w:t>
            </w:r>
          </w:p>
        </w:tc>
        <w:tc>
          <w:tcPr>
            <w:tcW w:w="8788" w:type="dxa"/>
            <w:tcBorders>
              <w:bottom w:val="single" w:sz="4" w:space="0" w:color="FFFFFF"/>
            </w:tcBorders>
            <w:shd w:val="clear" w:color="auto" w:fill="EDF0E7"/>
          </w:tcPr>
          <w:p w:rsidR="005D5A36" w:rsidRPr="00A7126F" w:rsidRDefault="005D5A36" w:rsidP="00831875">
            <w:pPr>
              <w:pStyle w:val="TableText"/>
            </w:pPr>
            <w:r w:rsidRPr="00A7126F">
              <w:t>A sound foundation in the early years for future learning and achievement through programmes which include support for parents in their vital role as their children</w:t>
            </w:r>
            <w:r w:rsidR="005962BB" w:rsidRPr="00A7126F">
              <w:t>’</w:t>
            </w:r>
            <w:r w:rsidRPr="00A7126F">
              <w:t>s first teachers.</w:t>
            </w:r>
          </w:p>
        </w:tc>
      </w:tr>
      <w:tr w:rsidR="005D5A36" w:rsidRPr="00A7126F" w:rsidTr="00157A26">
        <w:trPr>
          <w:trHeight w:val="20"/>
        </w:trPr>
        <w:tc>
          <w:tcPr>
            <w:tcW w:w="846" w:type="dxa"/>
            <w:tcBorders>
              <w:bottom w:val="single" w:sz="4" w:space="0" w:color="FFFFFF"/>
            </w:tcBorders>
            <w:shd w:val="clear" w:color="auto" w:fill="DBE2D1"/>
          </w:tcPr>
          <w:p w:rsidR="005D5A36" w:rsidRPr="00A7126F" w:rsidRDefault="005D5A36" w:rsidP="00831875">
            <w:pPr>
              <w:pStyle w:val="TableText"/>
            </w:pPr>
            <w:r w:rsidRPr="00A7126F">
              <w:t>NEG 5</w:t>
            </w:r>
          </w:p>
        </w:tc>
        <w:tc>
          <w:tcPr>
            <w:tcW w:w="8788" w:type="dxa"/>
            <w:tcBorders>
              <w:bottom w:val="single" w:sz="4" w:space="0" w:color="FFFFFF"/>
            </w:tcBorders>
            <w:shd w:val="clear" w:color="auto" w:fill="DBE2D1"/>
          </w:tcPr>
          <w:p w:rsidR="005D5A36" w:rsidRPr="00A7126F" w:rsidRDefault="005D5A36" w:rsidP="00831875">
            <w:pPr>
              <w:pStyle w:val="TableText"/>
            </w:pPr>
            <w:r w:rsidRPr="00A7126F">
              <w:t>A broad education through a balanced curriculum covering essential learning areas. Priority should be given to the development of high levels of competence (knowledge and skills) in literacy and numeracy, science and technology and physical activity.</w:t>
            </w:r>
          </w:p>
        </w:tc>
      </w:tr>
      <w:tr w:rsidR="005D5A36" w:rsidRPr="00A7126F" w:rsidTr="00157A26">
        <w:trPr>
          <w:trHeight w:val="20"/>
        </w:trPr>
        <w:tc>
          <w:tcPr>
            <w:tcW w:w="846" w:type="dxa"/>
            <w:tcBorders>
              <w:bottom w:val="single" w:sz="4" w:space="0" w:color="FFFFFF"/>
            </w:tcBorders>
            <w:shd w:val="clear" w:color="auto" w:fill="EDF0E7"/>
          </w:tcPr>
          <w:p w:rsidR="005D5A36" w:rsidRPr="00A7126F" w:rsidRDefault="005D5A36" w:rsidP="00831875">
            <w:pPr>
              <w:pStyle w:val="TableText"/>
            </w:pPr>
            <w:r w:rsidRPr="00A7126F">
              <w:t>NEG 6</w:t>
            </w:r>
          </w:p>
        </w:tc>
        <w:tc>
          <w:tcPr>
            <w:tcW w:w="8788" w:type="dxa"/>
            <w:tcBorders>
              <w:bottom w:val="single" w:sz="4" w:space="0" w:color="FFFFFF"/>
            </w:tcBorders>
            <w:shd w:val="clear" w:color="auto" w:fill="EDF0E7"/>
          </w:tcPr>
          <w:p w:rsidR="005D5A36" w:rsidRPr="00A7126F" w:rsidRDefault="005D5A36" w:rsidP="00831875">
            <w:pPr>
              <w:pStyle w:val="TableText"/>
            </w:pPr>
            <w:r w:rsidRPr="00A7126F">
              <w:t>Excellence achieved through the establishment of clear learning objectives, monitoring student performance against those objectives, and programmes to meet individual need.</w:t>
            </w:r>
          </w:p>
        </w:tc>
      </w:tr>
      <w:tr w:rsidR="005D5A36" w:rsidRPr="00A7126F" w:rsidTr="00157A26">
        <w:trPr>
          <w:trHeight w:val="20"/>
        </w:trPr>
        <w:tc>
          <w:tcPr>
            <w:tcW w:w="846" w:type="dxa"/>
            <w:tcBorders>
              <w:bottom w:val="single" w:sz="4" w:space="0" w:color="FFFFFF"/>
            </w:tcBorders>
            <w:shd w:val="clear" w:color="auto" w:fill="DBE2D1"/>
          </w:tcPr>
          <w:p w:rsidR="005D5A36" w:rsidRPr="00A7126F" w:rsidRDefault="005D5A36" w:rsidP="00831875">
            <w:pPr>
              <w:pStyle w:val="TableText"/>
            </w:pPr>
            <w:r w:rsidRPr="00A7126F">
              <w:t>NEG 7</w:t>
            </w:r>
          </w:p>
        </w:tc>
        <w:tc>
          <w:tcPr>
            <w:tcW w:w="8788" w:type="dxa"/>
            <w:tcBorders>
              <w:bottom w:val="single" w:sz="4" w:space="0" w:color="FFFFFF"/>
            </w:tcBorders>
            <w:shd w:val="clear" w:color="auto" w:fill="DBE2D1"/>
          </w:tcPr>
          <w:p w:rsidR="005D5A36" w:rsidRPr="00A7126F" w:rsidRDefault="005D5A36" w:rsidP="00831875">
            <w:pPr>
              <w:pStyle w:val="TableText"/>
            </w:pPr>
            <w:r w:rsidRPr="00A7126F">
              <w:t>Success in their learning for those with special needs by ensuring that they are identified and receive appropriate support.</w:t>
            </w:r>
          </w:p>
        </w:tc>
      </w:tr>
      <w:tr w:rsidR="005D5A36" w:rsidRPr="00A7126F" w:rsidTr="00157A26">
        <w:trPr>
          <w:trHeight w:val="20"/>
        </w:trPr>
        <w:tc>
          <w:tcPr>
            <w:tcW w:w="846" w:type="dxa"/>
            <w:tcBorders>
              <w:bottom w:val="single" w:sz="4" w:space="0" w:color="FFFFFF"/>
            </w:tcBorders>
            <w:shd w:val="clear" w:color="auto" w:fill="EDF0E7"/>
          </w:tcPr>
          <w:p w:rsidR="005D5A36" w:rsidRPr="00A7126F" w:rsidRDefault="005D5A36" w:rsidP="00831875">
            <w:pPr>
              <w:pStyle w:val="TableText"/>
            </w:pPr>
            <w:r w:rsidRPr="00A7126F">
              <w:t>NEG 8</w:t>
            </w:r>
          </w:p>
        </w:tc>
        <w:tc>
          <w:tcPr>
            <w:tcW w:w="8788" w:type="dxa"/>
            <w:tcBorders>
              <w:bottom w:val="single" w:sz="4" w:space="0" w:color="FFFFFF"/>
            </w:tcBorders>
            <w:shd w:val="clear" w:color="auto" w:fill="EDF0E7"/>
          </w:tcPr>
          <w:p w:rsidR="005D5A36" w:rsidRPr="00A7126F" w:rsidRDefault="005D5A36" w:rsidP="00831875">
            <w:pPr>
              <w:pStyle w:val="TableText"/>
            </w:pPr>
            <w:r w:rsidRPr="00A7126F">
              <w:t>Access for students to a nationally and internationally recognised qualifications system to encourage a high level of participation in post-school education in New Zealand.</w:t>
            </w:r>
          </w:p>
        </w:tc>
      </w:tr>
      <w:tr w:rsidR="005D5A36" w:rsidRPr="00A7126F" w:rsidTr="00157A26">
        <w:trPr>
          <w:trHeight w:val="20"/>
        </w:trPr>
        <w:tc>
          <w:tcPr>
            <w:tcW w:w="846" w:type="dxa"/>
            <w:tcBorders>
              <w:bottom w:val="single" w:sz="4" w:space="0" w:color="FFFFFF"/>
            </w:tcBorders>
            <w:shd w:val="clear" w:color="auto" w:fill="DBE2D1"/>
          </w:tcPr>
          <w:p w:rsidR="005D5A36" w:rsidRPr="00A7126F" w:rsidRDefault="005D5A36" w:rsidP="00831875">
            <w:pPr>
              <w:pStyle w:val="TableText"/>
            </w:pPr>
            <w:r w:rsidRPr="00A7126F">
              <w:t>NEG 9</w:t>
            </w:r>
          </w:p>
        </w:tc>
        <w:tc>
          <w:tcPr>
            <w:tcW w:w="8788" w:type="dxa"/>
            <w:tcBorders>
              <w:bottom w:val="single" w:sz="4" w:space="0" w:color="FFFFFF"/>
            </w:tcBorders>
            <w:shd w:val="clear" w:color="auto" w:fill="DBE2D1"/>
          </w:tcPr>
          <w:p w:rsidR="005D5A36" w:rsidRPr="00A7126F" w:rsidRDefault="005D5A36" w:rsidP="00831875">
            <w:pPr>
              <w:pStyle w:val="TableText"/>
            </w:pPr>
            <w:r w:rsidRPr="00A7126F">
              <w:t>Increased participation and success by M</w:t>
            </w:r>
            <w:r w:rsidR="0083136A" w:rsidRPr="00A7126F">
              <w:t>ā</w:t>
            </w:r>
            <w:r w:rsidRPr="00A7126F">
              <w:t>ori through the advancement of M</w:t>
            </w:r>
            <w:r w:rsidR="0083136A" w:rsidRPr="00A7126F">
              <w:t>ā</w:t>
            </w:r>
            <w:r w:rsidRPr="00A7126F">
              <w:t xml:space="preserve">ori education initiatives, including education in </w:t>
            </w:r>
            <w:r w:rsidR="00A7389D" w:rsidRPr="00A7126F">
              <w:t>t</w:t>
            </w:r>
            <w:r w:rsidRPr="00A7126F">
              <w:t xml:space="preserve">e </w:t>
            </w:r>
            <w:r w:rsidR="00DC6FA6" w:rsidRPr="00A7126F">
              <w:t>r</w:t>
            </w:r>
            <w:r w:rsidRPr="00A7126F">
              <w:t>eo M</w:t>
            </w:r>
            <w:r w:rsidR="0083136A" w:rsidRPr="00A7126F">
              <w:t>ā</w:t>
            </w:r>
            <w:r w:rsidRPr="00A7126F">
              <w:t>ori, consistent with the principles of the Treaty of Waitangi.</w:t>
            </w:r>
          </w:p>
        </w:tc>
      </w:tr>
      <w:tr w:rsidR="005D5A36" w:rsidRPr="0060013A" w:rsidTr="00157A26">
        <w:trPr>
          <w:trHeight w:val="20"/>
        </w:trPr>
        <w:tc>
          <w:tcPr>
            <w:tcW w:w="846" w:type="dxa"/>
            <w:shd w:val="clear" w:color="auto" w:fill="EDF0E7"/>
          </w:tcPr>
          <w:p w:rsidR="005D5A36" w:rsidRPr="00A7126F" w:rsidRDefault="005D5A36" w:rsidP="00831875">
            <w:pPr>
              <w:pStyle w:val="TableText"/>
            </w:pPr>
            <w:r w:rsidRPr="00A7126F">
              <w:t>NEG 10</w:t>
            </w:r>
          </w:p>
        </w:tc>
        <w:tc>
          <w:tcPr>
            <w:tcW w:w="8788" w:type="dxa"/>
            <w:shd w:val="clear" w:color="auto" w:fill="EDF0E7"/>
          </w:tcPr>
          <w:p w:rsidR="005D5A36" w:rsidRPr="00A7126F" w:rsidRDefault="005D5A36" w:rsidP="00831875">
            <w:pPr>
              <w:pStyle w:val="TableText"/>
            </w:pPr>
            <w:r w:rsidRPr="00A7126F">
              <w:t>Respect for the diverse ethnic and cultural heritage of New Zealand people, with acknowledg</w:t>
            </w:r>
            <w:r w:rsidR="00A7389D" w:rsidRPr="00A7126F">
              <w:t>e</w:t>
            </w:r>
            <w:r w:rsidRPr="00A7126F">
              <w:t>ment of the unique place of M</w:t>
            </w:r>
            <w:r w:rsidR="0083136A" w:rsidRPr="00A7126F">
              <w:t>ā</w:t>
            </w:r>
            <w:r w:rsidRPr="00A7126F">
              <w:t>ori, and New Zealand</w:t>
            </w:r>
            <w:r w:rsidR="005962BB" w:rsidRPr="00A7126F">
              <w:t>’</w:t>
            </w:r>
            <w:r w:rsidRPr="00A7126F">
              <w:t>s role in the Pacific and as a member of the international community of nations.</w:t>
            </w:r>
          </w:p>
        </w:tc>
      </w:tr>
    </w:tbl>
    <w:p w:rsidR="00825191" w:rsidRPr="00157A26" w:rsidRDefault="00825191" w:rsidP="00157A26">
      <w:pPr>
        <w:pStyle w:val="TableFootnote"/>
        <w:spacing w:after="40"/>
        <w:rPr>
          <w:bCs w:val="0"/>
          <w:highlight w:val="yellow"/>
        </w:rPr>
      </w:pPr>
    </w:p>
    <w:p w:rsidR="005D5A36" w:rsidRPr="00A7126F" w:rsidRDefault="006632B3" w:rsidP="00157A26">
      <w:pPr>
        <w:pStyle w:val="BodyText"/>
      </w:pPr>
      <w:r w:rsidRPr="00A7126F">
        <w:t>E</w:t>
      </w:r>
      <w:r w:rsidR="005D5A36" w:rsidRPr="00A7126F">
        <w:t xml:space="preserve">vidence </w:t>
      </w:r>
      <w:r w:rsidR="009A2C3C" w:rsidRPr="00A7126F">
        <w:t>of</w:t>
      </w:r>
      <w:r w:rsidR="005D5A36" w:rsidRPr="00A7126F">
        <w:t xml:space="preserve"> the success of </w:t>
      </w:r>
      <w:r w:rsidRPr="00A7126F">
        <w:t>the schooling sector</w:t>
      </w:r>
      <w:r w:rsidR="005D5A36" w:rsidRPr="00A7126F">
        <w:t xml:space="preserve"> in meeting these requirements is gathered from a range of sources</w:t>
      </w:r>
      <w:r w:rsidR="00A7389D" w:rsidRPr="00A7126F">
        <w:t>,</w:t>
      </w:r>
      <w:r w:rsidR="005D5A36" w:rsidRPr="00A7126F">
        <w:t xml:space="preserve"> including:</w:t>
      </w:r>
    </w:p>
    <w:p w:rsidR="005D5A36" w:rsidRPr="00157A26" w:rsidRDefault="005D5A36" w:rsidP="00157A26">
      <w:pPr>
        <w:pStyle w:val="BodyTextBullets"/>
      </w:pPr>
      <w:r w:rsidRPr="00157A26">
        <w:t>national</w:t>
      </w:r>
      <w:r w:rsidR="00A7389D" w:rsidRPr="00157A26">
        <w:t>-</w:t>
      </w:r>
      <w:r w:rsidRPr="00157A26">
        <w:t>level monitoring</w:t>
      </w:r>
    </w:p>
    <w:p w:rsidR="005D5A36" w:rsidRPr="00157A26" w:rsidRDefault="005D5A36" w:rsidP="00157A26">
      <w:pPr>
        <w:pStyle w:val="BodyTextBullets"/>
      </w:pPr>
      <w:r w:rsidRPr="00157A26">
        <w:t>nationally standardised assessments</w:t>
      </w:r>
    </w:p>
    <w:p w:rsidR="005D5A36" w:rsidRPr="00157A26" w:rsidRDefault="005D5A36" w:rsidP="00157A26">
      <w:pPr>
        <w:pStyle w:val="BodyTextBullets"/>
      </w:pPr>
      <w:r w:rsidRPr="00157A26">
        <w:t>Education Review Office (ERO) reports and national evaluations</w:t>
      </w:r>
    </w:p>
    <w:p w:rsidR="005D5A36" w:rsidRPr="00157A26" w:rsidRDefault="005D5A36" w:rsidP="00157A26">
      <w:pPr>
        <w:pStyle w:val="BodyTextBullets"/>
      </w:pPr>
      <w:r w:rsidRPr="00157A26">
        <w:t>research and development initiatives</w:t>
      </w:r>
    </w:p>
    <w:p w:rsidR="005D5A36" w:rsidRPr="00A7126F" w:rsidRDefault="005D5A36" w:rsidP="00066FE6">
      <w:pPr>
        <w:pStyle w:val="BodyTextBulletslast"/>
      </w:pPr>
      <w:r w:rsidRPr="00157A26">
        <w:t>international</w:t>
      </w:r>
      <w:r w:rsidRPr="00A7126F">
        <w:t xml:space="preserve"> assessments.</w:t>
      </w:r>
    </w:p>
    <w:p w:rsidR="006C1C3E" w:rsidRPr="00A40BD7" w:rsidRDefault="00825191" w:rsidP="00157A26">
      <w:pPr>
        <w:pStyle w:val="Heading2"/>
      </w:pPr>
      <w:r w:rsidRPr="0060013A">
        <w:rPr>
          <w:highlight w:val="yellow"/>
        </w:rPr>
        <w:br w:type="page"/>
      </w:r>
      <w:bookmarkStart w:id="38" w:name="_Toc367361622"/>
      <w:r w:rsidR="006C1C3E" w:rsidRPr="00A40BD7">
        <w:t>Designing and implementing standards for English and M</w:t>
      </w:r>
      <w:r w:rsidR="007D7EC5" w:rsidRPr="00A40BD7">
        <w:t>ā</w:t>
      </w:r>
      <w:r w:rsidR="006C1C3E" w:rsidRPr="00A40BD7">
        <w:t xml:space="preserve">ori </w:t>
      </w:r>
      <w:r w:rsidR="006C1C3E" w:rsidRPr="00A40BD7">
        <w:br/>
        <w:t>medium settings</w:t>
      </w:r>
      <w:bookmarkEnd w:id="38"/>
    </w:p>
    <w:p w:rsidR="006C1C3E" w:rsidRPr="007E09B0" w:rsidRDefault="006C1C3E" w:rsidP="002E741F">
      <w:pPr>
        <w:pStyle w:val="Heading3"/>
      </w:pPr>
      <w:r w:rsidRPr="007E09B0">
        <w:t>National Standards</w:t>
      </w:r>
      <w:r w:rsidR="00BC0017" w:rsidRPr="007E09B0">
        <w:t xml:space="preserve"> p</w:t>
      </w:r>
      <w:r w:rsidRPr="007E09B0">
        <w:t>olicy</w:t>
      </w:r>
    </w:p>
    <w:p w:rsidR="00A7126F" w:rsidRPr="008A6837" w:rsidRDefault="00A7126F" w:rsidP="00157A26">
      <w:pPr>
        <w:pStyle w:val="BodyText"/>
        <w:rPr>
          <w:rFonts w:eastAsia="Arial Unicode MS" w:cs="Times New Roman"/>
          <w:szCs w:val="24"/>
        </w:rPr>
      </w:pPr>
      <w:bookmarkStart w:id="39" w:name="_Toc269895728"/>
      <w:bookmarkStart w:id="40" w:name="_Toc302401288"/>
      <w:bookmarkStart w:id="41" w:name="_Toc303511350"/>
      <w:bookmarkStart w:id="42" w:name="_Toc300319650"/>
      <w:r w:rsidRPr="004921C8">
        <w:t xml:space="preserve">The National Standards and </w:t>
      </w:r>
      <w:r>
        <w:t>Ngā Whanaketanga Rumaki Māori</w:t>
      </w:r>
      <w:r w:rsidR="00BF3D27">
        <w:t>,</w:t>
      </w:r>
      <w:r>
        <w:t xml:space="preserve"> along with </w:t>
      </w:r>
      <w:r w:rsidRPr="004921C8">
        <w:t>the</w:t>
      </w:r>
      <w:r>
        <w:t xml:space="preserve"> associated</w:t>
      </w:r>
      <w:r w:rsidRPr="004921C8">
        <w:t xml:space="preserve"> requirements described in the National Administration Guideline 2A</w:t>
      </w:r>
      <w:r w:rsidR="00F16865">
        <w:t xml:space="preserve"> and Section 61 of the Education Act 1989</w:t>
      </w:r>
      <w:r w:rsidR="00BF3D27">
        <w:t>,</w:t>
      </w:r>
      <w:r w:rsidRPr="004921C8">
        <w:t xml:space="preserve"> cover all state and</w:t>
      </w:r>
      <w:r>
        <w:t xml:space="preserve"> state-integrated schools with Year 1–</w:t>
      </w:r>
      <w:r w:rsidRPr="004921C8">
        <w:t>8</w:t>
      </w:r>
      <w:r>
        <w:t xml:space="preserve"> students</w:t>
      </w:r>
      <w:r w:rsidRPr="000A2786">
        <w:t xml:space="preserve">. </w:t>
      </w:r>
      <w:r w:rsidR="00FE4D8A">
        <w:rPr>
          <w:rFonts w:eastAsia="Arial Unicode MS"/>
        </w:rPr>
        <w:t>National Standards p</w:t>
      </w:r>
      <w:r w:rsidRPr="008A6837">
        <w:rPr>
          <w:rFonts w:eastAsia="Arial Unicode MS"/>
        </w:rPr>
        <w:t>olicy in New Zealand is underpinned by a focus on the use of evidence to inform improved practice and learning.</w:t>
      </w:r>
      <w:r w:rsidR="006D7875" w:rsidRPr="008A6837">
        <w:rPr>
          <w:rFonts w:eastAsia="Arial Unicode MS"/>
        </w:rPr>
        <w:t xml:space="preserve"> Gathering and using assessment information to identify students’ needs a</w:t>
      </w:r>
      <w:r w:rsidR="00FE4D8A">
        <w:rPr>
          <w:rFonts w:eastAsia="Arial Unicode MS"/>
        </w:rPr>
        <w:t>nd next steps in learning is a</w:t>
      </w:r>
      <w:r w:rsidR="006D7875" w:rsidRPr="008A6837">
        <w:rPr>
          <w:rFonts w:eastAsia="Arial Unicode MS"/>
        </w:rPr>
        <w:t xml:space="preserve"> foundation of effective education (ERO, 2012</w:t>
      </w:r>
      <w:r w:rsidR="003A37C8" w:rsidRPr="008A6837">
        <w:rPr>
          <w:rFonts w:eastAsia="Arial Unicode MS"/>
        </w:rPr>
        <w:t>d</w:t>
      </w:r>
      <w:r w:rsidR="006D7875" w:rsidRPr="008A6837">
        <w:rPr>
          <w:rFonts w:eastAsia="Arial Unicode MS"/>
        </w:rPr>
        <w:t>).</w:t>
      </w:r>
      <w:r w:rsidR="00DC392D" w:rsidRPr="008A6837">
        <w:rPr>
          <w:rFonts w:eastAsia="Arial Unicode MS"/>
        </w:rPr>
        <w:t xml:space="preserve"> </w:t>
      </w:r>
      <w:r w:rsidR="00DC392D" w:rsidRPr="002A1C02">
        <w:rPr>
          <w:rFonts w:eastAsia="Arial Unicode MS"/>
        </w:rPr>
        <w:t>The standards are</w:t>
      </w:r>
      <w:r w:rsidR="00D53436">
        <w:rPr>
          <w:rFonts w:eastAsia="Arial Unicode MS"/>
        </w:rPr>
        <w:t xml:space="preserve"> not just about what the student</w:t>
      </w:r>
      <w:r w:rsidR="00DC392D" w:rsidRPr="002A1C02">
        <w:rPr>
          <w:rFonts w:eastAsia="Arial Unicode MS"/>
        </w:rPr>
        <w:t xml:space="preserve"> knows and can do in terms of discrete knowledge and skills</w:t>
      </w:r>
      <w:r w:rsidR="00DC392D">
        <w:rPr>
          <w:rFonts w:eastAsia="Arial Unicode MS"/>
        </w:rPr>
        <w:t>,</w:t>
      </w:r>
      <w:r w:rsidR="00DC392D" w:rsidRPr="002A1C02">
        <w:rPr>
          <w:rFonts w:eastAsia="Arial Unicode MS"/>
        </w:rPr>
        <w:t xml:space="preserve"> but also about how they can use what they have learnt in a variety of contexts.</w:t>
      </w:r>
      <w:r w:rsidR="00DC392D">
        <w:rPr>
          <w:rFonts w:eastAsia="Arial Unicode MS"/>
        </w:rPr>
        <w:t xml:space="preserve"> They are</w:t>
      </w:r>
      <w:r w:rsidR="00DC392D" w:rsidRPr="002A1C02">
        <w:rPr>
          <w:rFonts w:eastAsia="Arial Unicode MS"/>
        </w:rPr>
        <w:t xml:space="preserve"> not intended a</w:t>
      </w:r>
      <w:r w:rsidR="00DC392D">
        <w:rPr>
          <w:rFonts w:eastAsia="Arial Unicode MS"/>
        </w:rPr>
        <w:t>s a</w:t>
      </w:r>
      <w:r w:rsidR="00DC392D" w:rsidRPr="002A1C02">
        <w:rPr>
          <w:rFonts w:eastAsia="Arial Unicode MS"/>
        </w:rPr>
        <w:t xml:space="preserve"> means of sorting and labelling</w:t>
      </w:r>
      <w:r w:rsidR="00DC392D">
        <w:rPr>
          <w:rFonts w:eastAsia="Arial Unicode MS"/>
        </w:rPr>
        <w:t xml:space="preserve">. </w:t>
      </w:r>
    </w:p>
    <w:p w:rsidR="00A7126F" w:rsidRDefault="00BF3D27" w:rsidP="00157A26">
      <w:pPr>
        <w:pStyle w:val="BodyText"/>
        <w:rPr>
          <w:rFonts w:eastAsia="Arial Unicode MS"/>
        </w:rPr>
      </w:pPr>
      <w:r>
        <w:rPr>
          <w:rFonts w:cs="Arial"/>
        </w:rPr>
        <w:t xml:space="preserve">The </w:t>
      </w:r>
      <w:r w:rsidR="007E09B0">
        <w:rPr>
          <w:rFonts w:cs="Arial"/>
        </w:rPr>
        <w:t>n</w:t>
      </w:r>
      <w:r>
        <w:rPr>
          <w:rFonts w:cs="Arial"/>
        </w:rPr>
        <w:t xml:space="preserve">ational </w:t>
      </w:r>
      <w:r w:rsidR="007E09B0">
        <w:rPr>
          <w:rFonts w:cs="Arial"/>
        </w:rPr>
        <w:t>c</w:t>
      </w:r>
      <w:r w:rsidRPr="006318C8">
        <w:rPr>
          <w:rFonts w:cs="Arial"/>
        </w:rPr>
        <w:t xml:space="preserve">urriculum consists of </w:t>
      </w:r>
      <w:r w:rsidRPr="006318C8">
        <w:rPr>
          <w:rFonts w:cs="Arial"/>
          <w:i/>
        </w:rPr>
        <w:t>The New Zealand Curriculum</w:t>
      </w:r>
      <w:r w:rsidRPr="006318C8">
        <w:rPr>
          <w:rFonts w:cs="Arial"/>
        </w:rPr>
        <w:t xml:space="preserve"> and </w:t>
      </w:r>
      <w:r w:rsidRPr="006318C8">
        <w:rPr>
          <w:rFonts w:cs="Arial"/>
          <w:i/>
        </w:rPr>
        <w:t>Te Marautanga o Aotearoa</w:t>
      </w:r>
      <w:r w:rsidRPr="006318C8">
        <w:rPr>
          <w:rFonts w:cs="Arial"/>
        </w:rPr>
        <w:t xml:space="preserve">. </w:t>
      </w:r>
      <w:r>
        <w:rPr>
          <w:rFonts w:cs="Arial"/>
        </w:rPr>
        <w:t>Where</w:t>
      </w:r>
      <w:r>
        <w:t xml:space="preserve"> teaching and learning is guided and directed by </w:t>
      </w:r>
      <w:r w:rsidRPr="003275B4">
        <w:rPr>
          <w:i/>
        </w:rPr>
        <w:t>The New Zealand Curriculum</w:t>
      </w:r>
      <w:r>
        <w:t xml:space="preserve">, schools and kura </w:t>
      </w:r>
      <w:r w:rsidRPr="002A1C02">
        <w:rPr>
          <w:rFonts w:eastAsia="Arial Unicode MS"/>
        </w:rPr>
        <w:t>monitor and report progress and achievement using National Standards.</w:t>
      </w:r>
      <w:r>
        <w:t xml:space="preserve"> Where teaching and learning guidance and direction is provided by </w:t>
      </w:r>
      <w:r w:rsidRPr="003275B4">
        <w:rPr>
          <w:i/>
        </w:rPr>
        <w:t>Te Marautanga o Aotearoa</w:t>
      </w:r>
      <w:r>
        <w:rPr>
          <w:i/>
        </w:rPr>
        <w:t>,</w:t>
      </w:r>
      <w:r>
        <w:t xml:space="preserve"> schools and kura use </w:t>
      </w:r>
      <w:r w:rsidRPr="002A1C02">
        <w:rPr>
          <w:rFonts w:eastAsia="Arial Unicode MS"/>
        </w:rPr>
        <w:t>Ngā Whanaketanga Rumaki Māori to monitor and report progress and achievement.</w:t>
      </w:r>
      <w:r>
        <w:rPr>
          <w:rFonts w:eastAsia="Arial Unicode MS"/>
        </w:rPr>
        <w:t xml:space="preserve"> </w:t>
      </w:r>
      <w:r w:rsidR="007E09B0">
        <w:t>Schools</w:t>
      </w:r>
      <w:r>
        <w:t xml:space="preserve"> and kura that offer learning in both Māori and English medium use both </w:t>
      </w:r>
      <w:r w:rsidRPr="00125F60">
        <w:rPr>
          <w:i/>
        </w:rPr>
        <w:t>The New Zealand Curriculum</w:t>
      </w:r>
      <w:r>
        <w:t xml:space="preserve"> and </w:t>
      </w:r>
      <w:r w:rsidRPr="00125F60">
        <w:rPr>
          <w:i/>
        </w:rPr>
        <w:t>Te Marautanga o Aotearoa</w:t>
      </w:r>
      <w:r>
        <w:t>; in these cases, the classes are required to use and report against either National Standards or Ngā Whanaketanga Rumaki M</w:t>
      </w:r>
      <w:r>
        <w:rPr>
          <w:rFonts w:cs="Arial"/>
        </w:rPr>
        <w:t>ā</w:t>
      </w:r>
      <w:r>
        <w:t>ori, as appropriate</w:t>
      </w:r>
      <w:r w:rsidR="00213F0C">
        <w:t xml:space="preserve"> for individual students</w:t>
      </w:r>
      <w:r>
        <w:t>.</w:t>
      </w:r>
      <w:r w:rsidR="00A7126F" w:rsidRPr="002A1C02">
        <w:rPr>
          <w:rFonts w:eastAsia="Arial Unicode MS"/>
        </w:rPr>
        <w:t xml:space="preserve"> </w:t>
      </w:r>
    </w:p>
    <w:p w:rsidR="00DC7E51" w:rsidRPr="00C73F5E" w:rsidRDefault="00DC7E51" w:rsidP="002E741F">
      <w:pPr>
        <w:pStyle w:val="Heading3"/>
      </w:pPr>
      <w:r w:rsidRPr="00C73F5E">
        <w:t>National Standards</w:t>
      </w:r>
    </w:p>
    <w:p w:rsidR="00D14B97" w:rsidRDefault="0038115E" w:rsidP="00157A26">
      <w:pPr>
        <w:pStyle w:val="BodyText"/>
      </w:pPr>
      <w:r>
        <w:t xml:space="preserve">The </w:t>
      </w:r>
      <w:r w:rsidRPr="004921C8">
        <w:t>National Standards describe achievement in reading, writing and mathematics. Teachers consider a range of</w:t>
      </w:r>
      <w:r w:rsidR="00C73F5E">
        <w:t xml:space="preserve"> both formal and informal information</w:t>
      </w:r>
      <w:r w:rsidRPr="004921C8">
        <w:t xml:space="preserve"> </w:t>
      </w:r>
      <w:r>
        <w:t>drawn from</w:t>
      </w:r>
      <w:r w:rsidRPr="004921C8">
        <w:t xml:space="preserve"> day to</w:t>
      </w:r>
      <w:r>
        <w:t xml:space="preserve"> </w:t>
      </w:r>
      <w:r w:rsidRPr="004921C8">
        <w:t>day classroom activity</w:t>
      </w:r>
      <w:r>
        <w:t>, including testing and observation. They use this information to</w:t>
      </w:r>
      <w:r w:rsidRPr="004921C8">
        <w:t xml:space="preserve"> make overall teacher judg</w:t>
      </w:r>
      <w:r>
        <w:t>e</w:t>
      </w:r>
      <w:r w:rsidRPr="004921C8">
        <w:t>ments (OTJ</w:t>
      </w:r>
      <w:r>
        <w:t>s</w:t>
      </w:r>
      <w:r w:rsidRPr="004921C8">
        <w:t xml:space="preserve">) about </w:t>
      </w:r>
      <w:r w:rsidR="00C73F5E">
        <w:t>student</w:t>
      </w:r>
      <w:r w:rsidRPr="004921C8">
        <w:t xml:space="preserve"> progress and </w:t>
      </w:r>
      <w:r>
        <w:t>achievement in relation to the s</w:t>
      </w:r>
      <w:r w:rsidRPr="004921C8">
        <w:t xml:space="preserve">tandards. </w:t>
      </w:r>
    </w:p>
    <w:p w:rsidR="00DC392D" w:rsidRDefault="0038115E" w:rsidP="00157A26">
      <w:pPr>
        <w:pStyle w:val="BodyText"/>
      </w:pPr>
      <w:r w:rsidRPr="004921C8">
        <w:t>In 201</w:t>
      </w:r>
      <w:r>
        <w:t>2</w:t>
      </w:r>
      <w:r w:rsidRPr="004921C8">
        <w:t>, sch</w:t>
      </w:r>
      <w:r>
        <w:t xml:space="preserve">ools and kura </w:t>
      </w:r>
      <w:r w:rsidR="00C73F5E">
        <w:t xml:space="preserve">with students </w:t>
      </w:r>
      <w:r w:rsidRPr="004921C8">
        <w:t>that use</w:t>
      </w:r>
      <w:r w:rsidR="00C73F5E">
        <w:t>d</w:t>
      </w:r>
      <w:r w:rsidRPr="004921C8">
        <w:t xml:space="preserve"> </w:t>
      </w:r>
      <w:r w:rsidRPr="00D17F8A">
        <w:rPr>
          <w:i/>
        </w:rPr>
        <w:t>The New Zealand Curriculum</w:t>
      </w:r>
      <w:r w:rsidRPr="004921C8">
        <w:t xml:space="preserve"> to set their teaching and learning programmes were in their </w:t>
      </w:r>
      <w:r>
        <w:t>final</w:t>
      </w:r>
      <w:r w:rsidR="00C73F5E">
        <w:t xml:space="preserve"> year of the three-</w:t>
      </w:r>
      <w:r w:rsidRPr="004921C8">
        <w:t xml:space="preserve">year implementation phase for National Standards. </w:t>
      </w:r>
      <w:r w:rsidR="00DC392D" w:rsidRPr="004921C8">
        <w:t>Schools were required to set targets against National Standards in their annual charter updates</w:t>
      </w:r>
      <w:r w:rsidR="00DC392D">
        <w:t xml:space="preserve"> for the second time in 2012</w:t>
      </w:r>
      <w:r w:rsidR="00DC392D" w:rsidRPr="004921C8">
        <w:t>.</w:t>
      </w:r>
      <w:r w:rsidR="00DC392D">
        <w:t xml:space="preserve"> Of the 99% of schools that had submitted a charter as at December 2012, o</w:t>
      </w:r>
      <w:r w:rsidR="00DC392D" w:rsidRPr="00FA6400">
        <w:t>ver 9</w:t>
      </w:r>
      <w:r w:rsidR="00DC392D" w:rsidRPr="00BD40C4">
        <w:t>8</w:t>
      </w:r>
      <w:r w:rsidR="00DC392D" w:rsidRPr="00FA6400">
        <w:t>% included targets set against the National Standards.</w:t>
      </w:r>
      <w:r w:rsidR="00DC392D">
        <w:t xml:space="preserve"> In addition, </w:t>
      </w:r>
      <w:r w:rsidR="00FE4D8A">
        <w:t>nearly all schools provided</w:t>
      </w:r>
      <w:r w:rsidR="00DC392D">
        <w:t xml:space="preserve"> National Standar</w:t>
      </w:r>
      <w:r w:rsidR="00FE4D8A">
        <w:t>ds data in their annual reports.</w:t>
      </w:r>
    </w:p>
    <w:p w:rsidR="00BE78D1" w:rsidRPr="00B86A4E" w:rsidRDefault="00BE78D1" w:rsidP="002E741F">
      <w:pPr>
        <w:pStyle w:val="Heading3"/>
        <w:rPr>
          <w:lang w:eastAsia="en-US"/>
        </w:rPr>
      </w:pPr>
      <w:r w:rsidRPr="00B86A4E">
        <w:rPr>
          <w:lang w:eastAsia="en-US"/>
        </w:rPr>
        <w:t>National Standards monitoring</w:t>
      </w:r>
    </w:p>
    <w:p w:rsidR="004166F6" w:rsidRDefault="004166F6" w:rsidP="004166F6">
      <w:pPr>
        <w:pStyle w:val="BodyText"/>
      </w:pPr>
      <w:bookmarkStart w:id="43" w:name="_Toc334703314"/>
      <w:r>
        <w:t>The Ministry is using a range of information sources to track the</w:t>
      </w:r>
      <w:r w:rsidR="00C97343">
        <w:t xml:space="preserve"> </w:t>
      </w:r>
      <w:r>
        <w:t>implementation</w:t>
      </w:r>
      <w:r w:rsidR="00C97343">
        <w:t xml:space="preserve"> </w:t>
      </w:r>
      <w:r>
        <w:t>of National Standards, including an independent monitoring and evaluation project involving a representative sample of English medium state schools. This project looks at how schools understand the purpose and content of National Standards, use the National Standards to assess, monitor and report on student progress and achievement, and identify students needing targeted teaching interventions. Three monitoring reports covering implementation in 2010, 2011 and 2012 have been released (see Ward &amp; Thomas; 2011, Ward &amp; Thomas, 2012; Ward &amp; Thomas, 2013). The findings of these reports focus on implementation processes, as well as student achievement information relative to the National Standards.</w:t>
      </w:r>
    </w:p>
    <w:bookmarkEnd w:id="43"/>
    <w:p w:rsidR="00BE78D1" w:rsidRPr="00157A26" w:rsidRDefault="00BE78D1" w:rsidP="00157A26">
      <w:pPr>
        <w:pStyle w:val="Heading4"/>
      </w:pPr>
      <w:r w:rsidRPr="00157A26">
        <w:t>Trends in implementation 2010</w:t>
      </w:r>
      <w:r w:rsidR="00C97343">
        <w:rPr>
          <w:rFonts w:cs="Arial"/>
        </w:rPr>
        <w:t>–</w:t>
      </w:r>
      <w:r w:rsidRPr="00157A26">
        <w:t>2012</w:t>
      </w:r>
    </w:p>
    <w:p w:rsidR="00BE78D1" w:rsidRDefault="00BE78D1" w:rsidP="00CF1F50">
      <w:pPr>
        <w:pStyle w:val="BodyText"/>
      </w:pPr>
      <w:r>
        <w:t>Overall, the most recent monitoring report (Ward &amp; Thomas, 2013</w:t>
      </w:r>
      <w:r w:rsidRPr="00B86A4E">
        <w:t>)</w:t>
      </w:r>
      <w:r>
        <w:t xml:space="preserve"> indicates there has been good progress with many core aspects of the imple</w:t>
      </w:r>
      <w:r w:rsidR="003B1775">
        <w:t xml:space="preserve">mentation of National Standards. </w:t>
      </w:r>
      <w:r>
        <w:t xml:space="preserve">Teachers </w:t>
      </w:r>
      <w:r w:rsidR="008539A9">
        <w:t>are</w:t>
      </w:r>
      <w:r>
        <w:t xml:space="preserve"> effectively using their knowledge of the standards to make overall teacher judgements (OTJs)</w:t>
      </w:r>
      <w:r w:rsidR="00DC392D">
        <w:t>.</w:t>
      </w:r>
      <w:r w:rsidR="003B1775">
        <w:t xml:space="preserve"> Teachers </w:t>
      </w:r>
      <w:r w:rsidR="008539A9">
        <w:t>are</w:t>
      </w:r>
      <w:r w:rsidR="003B1775">
        <w:t xml:space="preserve"> also more systematically collecting evidence about student progress and using this to inform their teaching practice.</w:t>
      </w:r>
      <w:r w:rsidR="008539A9">
        <w:t xml:space="preserve"> </w:t>
      </w:r>
      <w:r w:rsidR="003B1775">
        <w:t>Students rated 'below' or 'well below' the standards are both identified for and receiving targeted teaching interventions.</w:t>
      </w:r>
      <w:r w:rsidR="00685B6E">
        <w:t xml:space="preserve"> </w:t>
      </w:r>
    </w:p>
    <w:p w:rsidR="00947DA2" w:rsidRPr="00947DA2" w:rsidRDefault="00947DA2" w:rsidP="00157A26">
      <w:pPr>
        <w:pStyle w:val="Heading4"/>
        <w:rPr>
          <w:b w:val="0"/>
        </w:rPr>
      </w:pPr>
      <w:r w:rsidRPr="00947DA2">
        <w:rPr>
          <w:b w:val="0"/>
        </w:rPr>
        <w:t>Other aspects of implementation are still consolidating, including some understandings about the purpose of the standards and their</w:t>
      </w:r>
      <w:r>
        <w:rPr>
          <w:b w:val="0"/>
        </w:rPr>
        <w:t xml:space="preserve"> relationship to the curriculum;</w:t>
      </w:r>
      <w:r w:rsidRPr="00947DA2">
        <w:rPr>
          <w:b w:val="0"/>
        </w:rPr>
        <w:t xml:space="preserve"> teac</w:t>
      </w:r>
      <w:r>
        <w:rPr>
          <w:b w:val="0"/>
        </w:rPr>
        <w:t>hers’ efficiency in making OTJs;</w:t>
      </w:r>
      <w:r w:rsidRPr="00947DA2">
        <w:rPr>
          <w:b w:val="0"/>
        </w:rPr>
        <w:t xml:space="preserve"> the efficiency and effectiveness</w:t>
      </w:r>
      <w:r>
        <w:rPr>
          <w:b w:val="0"/>
        </w:rPr>
        <w:t xml:space="preserve"> of school moderation processes; </w:t>
      </w:r>
      <w:r w:rsidRPr="00947DA2">
        <w:rPr>
          <w:b w:val="0"/>
        </w:rPr>
        <w:t xml:space="preserve">the differentiation of charter targets </w:t>
      </w:r>
      <w:r>
        <w:rPr>
          <w:b w:val="0"/>
        </w:rPr>
        <w:t>for specific groups of students;</w:t>
      </w:r>
      <w:r w:rsidRPr="00947DA2">
        <w:rPr>
          <w:b w:val="0"/>
        </w:rPr>
        <w:t xml:space="preserve"> teachers' understandings of what students need to be ac</w:t>
      </w:r>
      <w:r>
        <w:rPr>
          <w:b w:val="0"/>
        </w:rPr>
        <w:t>hieving at their teaching level;</w:t>
      </w:r>
      <w:r w:rsidRPr="00947DA2">
        <w:rPr>
          <w:b w:val="0"/>
        </w:rPr>
        <w:t xml:space="preserve"> and levels of knowledge of effective teaching strategies. </w:t>
      </w:r>
    </w:p>
    <w:p w:rsidR="00BE78D1" w:rsidRPr="00157A26" w:rsidRDefault="00BE78D1" w:rsidP="00157A26">
      <w:pPr>
        <w:pStyle w:val="Heading4"/>
      </w:pPr>
      <w:r w:rsidRPr="00157A26">
        <w:t>OTJ consistency</w:t>
      </w:r>
    </w:p>
    <w:p w:rsidR="00BE78D1" w:rsidRDefault="00BE78D1" w:rsidP="00CF1F50">
      <w:pPr>
        <w:pStyle w:val="BodyText"/>
      </w:pPr>
      <w:r>
        <w:t>At this stage in the implementation of the National Standards</w:t>
      </w:r>
      <w:r w:rsidR="00685B6E">
        <w:t>,</w:t>
      </w:r>
      <w:r>
        <w:t xml:space="preserve"> teachers are still developing their capability to make accurate and consistent OTJs. Results from the most recent monitoring report indicate</w:t>
      </w:r>
      <w:r w:rsidR="00685B6E">
        <w:t>, however,</w:t>
      </w:r>
      <w:r>
        <w:t xml:space="preserve"> that schools are increasingly making use of good systems, including moderation, to ensure OTJs are consistent. </w:t>
      </w:r>
      <w:r>
        <w:rPr>
          <w:lang w:val="en-NZ"/>
        </w:rPr>
        <w:t>For example, the</w:t>
      </w:r>
      <w:r w:rsidRPr="00473ADB">
        <w:rPr>
          <w:lang w:val="en-NZ"/>
        </w:rPr>
        <w:t xml:space="preserve"> proportion of schools using formal processes to moderate OTJs increased over the first three years of the stand</w:t>
      </w:r>
      <w:r w:rsidR="00CE0B02">
        <w:rPr>
          <w:lang w:val="en-NZ"/>
        </w:rPr>
        <w:t>ards implementation:</w:t>
      </w:r>
      <w:r w:rsidR="00685B6E">
        <w:rPr>
          <w:lang w:val="en-NZ"/>
        </w:rPr>
        <w:t xml:space="preserve"> </w:t>
      </w:r>
      <w:r w:rsidRPr="00473ADB">
        <w:rPr>
          <w:lang w:val="en-NZ"/>
        </w:rPr>
        <w:t>56% of schools used formal processes t</w:t>
      </w:r>
      <w:r w:rsidR="00685B6E">
        <w:rPr>
          <w:lang w:val="en-NZ"/>
        </w:rPr>
        <w:t>o moderate reading OTJs in 2010, increasing to 62% in 2012</w:t>
      </w:r>
      <w:r w:rsidRPr="00473ADB">
        <w:rPr>
          <w:lang w:val="en-NZ"/>
        </w:rPr>
        <w:t xml:space="preserve">. </w:t>
      </w:r>
      <w:r>
        <w:t>However, three different pieces of information from the most recent monitoring report raise questions about the consistency of OTJs.</w:t>
      </w:r>
    </w:p>
    <w:p w:rsidR="00BE78D1" w:rsidRPr="00F81A3E" w:rsidRDefault="00BE78D1" w:rsidP="00157A26">
      <w:pPr>
        <w:pStyle w:val="Heading5"/>
        <w:ind w:left="284" w:hanging="284"/>
      </w:pPr>
      <w:r>
        <w:t>Level of consistency of OTJs over time</w:t>
      </w:r>
    </w:p>
    <w:p w:rsidR="00BE78D1" w:rsidRPr="007452B0" w:rsidRDefault="00BE78D1" w:rsidP="00157A26">
      <w:pPr>
        <w:pStyle w:val="BodyText"/>
      </w:pPr>
      <w:r w:rsidRPr="007452B0">
        <w:t>Looking at the same 8,500 students’ individual ratings across two years, large proportions were rated higher or lower in 2012 than they were in 2011. The authors say this level of variability seems too great to be due to changes in student achievement alone</w:t>
      </w:r>
      <w:r w:rsidR="003872DB">
        <w:t>,</w:t>
      </w:r>
      <w:r w:rsidRPr="007452B0">
        <w:t xml:space="preserve"> and that it is more likely to indicate inconsistency in the judgements themselves.</w:t>
      </w:r>
    </w:p>
    <w:p w:rsidR="00BE78D1" w:rsidRDefault="00BE78D1" w:rsidP="00157A26">
      <w:pPr>
        <w:pStyle w:val="Heading5"/>
        <w:ind w:left="284" w:hanging="284"/>
      </w:pPr>
      <w:r>
        <w:t>Differing ratings of Year 7 and 8 students in full primary and intermediate schools</w:t>
      </w:r>
    </w:p>
    <w:p w:rsidR="00BE78D1" w:rsidRDefault="00BE78D1" w:rsidP="00157A26">
      <w:pPr>
        <w:pStyle w:val="BodyText"/>
      </w:pPr>
      <w:r>
        <w:t>In all three National Standards areas and in all years from 2010 to 2012, higher proportions of year 7 and 8 students in full primary sch</w:t>
      </w:r>
      <w:r w:rsidR="00CE0B02">
        <w:t>ools were rated ‘at’ or ‘above’</w:t>
      </w:r>
      <w:r>
        <w:t xml:space="preserve"> compared to those in intermediate schools. Since other research indicates that achievement in these years does not vary by school type, these findings suggest the standards are being interpreted differently in each setting.</w:t>
      </w:r>
      <w:r w:rsidR="00947DA2">
        <w:t xml:space="preserve"> This may be an artefact of the relatively broad nature of the standards. With just eight standards at which students can be rated, this may mean some students’ achievement will be overestimated, while others will be underestimated. However, these findings do not mean that all OTJs are inaccurate. While general trends can be identified in the data collected, the authors state that there is no way to estimate the proportion of accurate OTJs or the accuracy of any individual OTJ.</w:t>
      </w:r>
    </w:p>
    <w:p w:rsidR="00BE78D1" w:rsidRDefault="00BE78D1" w:rsidP="00157A26">
      <w:pPr>
        <w:pStyle w:val="Heading5"/>
        <w:ind w:left="284" w:hanging="284"/>
      </w:pPr>
      <w:r>
        <w:t>Variable accuracy in ratings of work samples</w:t>
      </w:r>
    </w:p>
    <w:p w:rsidR="00BE78D1" w:rsidRDefault="001420B3" w:rsidP="00157A26">
      <w:pPr>
        <w:pStyle w:val="BodyText"/>
      </w:pPr>
      <w:r>
        <w:t>To</w:t>
      </w:r>
      <w:r w:rsidR="003872DB">
        <w:t xml:space="preserve"> assess accuracy of teacher ratings, g</w:t>
      </w:r>
      <w:r w:rsidR="00BE78D1">
        <w:t xml:space="preserve">roups of teachers rated samples of student mathematics and writing work, relative to specific aspects of the standards. </w:t>
      </w:r>
      <w:r w:rsidR="00BE78D1" w:rsidRPr="00F163D7">
        <w:t>Between 2011 and 2012</w:t>
      </w:r>
      <w:r w:rsidR="003872DB">
        <w:t>,</w:t>
      </w:r>
      <w:r w:rsidR="00BE78D1" w:rsidRPr="00F163D7">
        <w:t xml:space="preserve"> the overall accuracy of teachers’ ratings of specific writing work samples improved (from 51% to 61%</w:t>
      </w:r>
      <w:r w:rsidR="003872DB">
        <w:t>, respectively</w:t>
      </w:r>
      <w:r w:rsidR="00BE78D1" w:rsidRPr="00F163D7">
        <w:t>), while those for mathematics samples dro</w:t>
      </w:r>
      <w:r w:rsidR="00BE78D1">
        <w:t>pped slightly (from 61% to 58%</w:t>
      </w:r>
      <w:r w:rsidR="003872DB">
        <w:t>, respectively</w:t>
      </w:r>
      <w:r w:rsidR="00CE0B02">
        <w:t>).</w:t>
      </w:r>
      <w:r>
        <w:t xml:space="preserve"> Although this exercise was only a rough approximation of how teachers make judgements about their own students’ work, it does provide a window on the quality of judgements about student work used as part of the information in making OTJs.</w:t>
      </w:r>
    </w:p>
    <w:p w:rsidR="000847A5" w:rsidRPr="000847A5" w:rsidRDefault="000847A5" w:rsidP="000847A5">
      <w:pPr>
        <w:pStyle w:val="BodyText"/>
        <w:shd w:val="clear" w:color="auto" w:fill="FFFFFF" w:themeFill="background1"/>
      </w:pPr>
      <w:r w:rsidRPr="000847A5">
        <w:t>In order to support teachers in making consistent and valid OTJs over time, the Ministry has been developing the Progress and Consistency Tool (PaCT) with input from teachers, school leaders, and sector groups and organisations. The PaCT will provide a framework for tracking student progress in the National Standards in a meaningful, accurate and consistent way, and aims to strengthen teachers’ confidence and capability in making judgements. The PaCT will also provide teachers with a common tool that can be used to moderate OTJs both within and between schools. Testing has been conducted on the use of the PaCT throughout 2013, and it is anticipated that the tool will be available to teachers progressively from 2014.</w:t>
      </w:r>
    </w:p>
    <w:p w:rsidR="00BE78D1" w:rsidRDefault="00BE78D1" w:rsidP="00BE78D1">
      <w:pPr>
        <w:pStyle w:val="Heading4"/>
      </w:pPr>
      <w:r>
        <w:t>Reporting to parents, families and whānau</w:t>
      </w:r>
    </w:p>
    <w:p w:rsidR="00BE78D1" w:rsidRDefault="00CE0B02" w:rsidP="00BE78D1">
      <w:pPr>
        <w:rPr>
          <w:lang w:val="en-NZ"/>
        </w:rPr>
      </w:pPr>
      <w:r>
        <w:t>R</w:t>
      </w:r>
      <w:r w:rsidR="00BE78D1">
        <w:t>eporting to parents, families and whānau is an important part of the National Standards initiative</w:t>
      </w:r>
      <w:r>
        <w:t xml:space="preserve">. </w:t>
      </w:r>
      <w:r w:rsidR="00BE78D1" w:rsidRPr="00551DAC">
        <w:rPr>
          <w:lang w:val="en-NZ"/>
        </w:rPr>
        <w:t xml:space="preserve">Findings indicate that schools increasingly reported National Standards information to parents, families, and whānau from 2010 to 2012. The proportion of end-of-year reports that </w:t>
      </w:r>
      <w:r w:rsidR="003872DB" w:rsidRPr="00551DAC">
        <w:rPr>
          <w:lang w:val="en-NZ"/>
        </w:rPr>
        <w:t>refer</w:t>
      </w:r>
      <w:r w:rsidR="003872DB">
        <w:rPr>
          <w:lang w:val="en-NZ"/>
        </w:rPr>
        <w:t>red</w:t>
      </w:r>
      <w:r w:rsidR="00BE78D1" w:rsidRPr="00551DAC">
        <w:rPr>
          <w:lang w:val="en-NZ"/>
        </w:rPr>
        <w:t xml:space="preserve"> directly to the National Standards increased over time (79% in 2010 and 91% in 2012), as did the proportion of reports that sufficiently describe</w:t>
      </w:r>
      <w:r w:rsidR="003872DB">
        <w:rPr>
          <w:lang w:val="en-NZ"/>
        </w:rPr>
        <w:t>d</w:t>
      </w:r>
      <w:r w:rsidR="00BE78D1" w:rsidRPr="00551DAC">
        <w:rPr>
          <w:lang w:val="en-NZ"/>
        </w:rPr>
        <w:t xml:space="preserve"> student achievement in relation to the National Standards (60% in 2010 and 73% in 2012). </w:t>
      </w:r>
      <w:r w:rsidR="00BE78D1" w:rsidRPr="00D00C08">
        <w:rPr>
          <w:lang w:val="en-NZ"/>
        </w:rPr>
        <w:t>Irrespective of whether reports had sufficient information about the standards</w:t>
      </w:r>
      <w:r w:rsidR="00BE78D1">
        <w:rPr>
          <w:lang w:val="en-NZ"/>
        </w:rPr>
        <w:t xml:space="preserve"> or not</w:t>
      </w:r>
      <w:r w:rsidR="00BE78D1" w:rsidRPr="00D00C08">
        <w:rPr>
          <w:lang w:val="en-NZ"/>
        </w:rPr>
        <w:t>, in 2012 less than half (43%) were rated as providing parents, family and whānau with</w:t>
      </w:r>
      <w:r w:rsidR="00BE78D1">
        <w:rPr>
          <w:lang w:val="en-NZ"/>
        </w:rPr>
        <w:t xml:space="preserve"> a report</w:t>
      </w:r>
      <w:r w:rsidR="00BE78D1" w:rsidRPr="00D00C08">
        <w:rPr>
          <w:lang w:val="en-NZ"/>
        </w:rPr>
        <w:t xml:space="preserve"> </w:t>
      </w:r>
      <w:r w:rsidR="00BE78D1">
        <w:rPr>
          <w:lang w:val="en-NZ"/>
        </w:rPr>
        <w:t xml:space="preserve">that </w:t>
      </w:r>
      <w:r w:rsidR="003872DB">
        <w:rPr>
          <w:lang w:val="en-NZ"/>
        </w:rPr>
        <w:t>contained clear information</w:t>
      </w:r>
      <w:r>
        <w:rPr>
          <w:lang w:val="en-NZ"/>
        </w:rPr>
        <w:t xml:space="preserve"> (Ward &amp; Thomas, 2013)</w:t>
      </w:r>
      <w:r w:rsidR="00BE78D1" w:rsidRPr="00D00C08">
        <w:rPr>
          <w:lang w:val="en-NZ"/>
        </w:rPr>
        <w:t>.</w:t>
      </w:r>
    </w:p>
    <w:p w:rsidR="00781C04" w:rsidRPr="00BE78D1" w:rsidRDefault="00781C04" w:rsidP="00BE78D1">
      <w:pPr>
        <w:rPr>
          <w:lang w:val="en-NZ"/>
        </w:rPr>
      </w:pPr>
      <w:r>
        <w:rPr>
          <w:szCs w:val="19"/>
        </w:rPr>
        <w:t xml:space="preserve">ERO </w:t>
      </w:r>
      <w:r w:rsidR="00CE0B02">
        <w:rPr>
          <w:szCs w:val="19"/>
        </w:rPr>
        <w:t>assessed</w:t>
      </w:r>
      <w:r>
        <w:rPr>
          <w:szCs w:val="19"/>
        </w:rPr>
        <w:t xml:space="preserve"> the performance of schools in meeting their reporting requirements during Term 4 of 2011 and Term 1 of 2012 (ERO, 2012e). They found that while the percentage of schools meeting reporting requirements had risen between 2010 and 2011, 28% of their sample of 239 schools still failed to meet the reporting requirements in the 2011 school year.</w:t>
      </w:r>
    </w:p>
    <w:p w:rsidR="00BE78D1" w:rsidRPr="00964332" w:rsidRDefault="00BE78D1" w:rsidP="00157A26">
      <w:pPr>
        <w:pStyle w:val="Heading4"/>
        <w:rPr>
          <w:lang w:val="en-NZ"/>
        </w:rPr>
      </w:pPr>
      <w:r>
        <w:rPr>
          <w:lang w:val="en-NZ"/>
        </w:rPr>
        <w:t>Perspectives of principals and B</w:t>
      </w:r>
      <w:r w:rsidRPr="00964332">
        <w:rPr>
          <w:lang w:val="en-NZ"/>
        </w:rPr>
        <w:t xml:space="preserve">oard of </w:t>
      </w:r>
      <w:r>
        <w:rPr>
          <w:lang w:val="en-NZ"/>
        </w:rPr>
        <w:t>T</w:t>
      </w:r>
      <w:r w:rsidRPr="00964332">
        <w:rPr>
          <w:lang w:val="en-NZ"/>
        </w:rPr>
        <w:t>rustees</w:t>
      </w:r>
      <w:r>
        <w:rPr>
          <w:lang w:val="en-NZ"/>
        </w:rPr>
        <w:t xml:space="preserve"> Chairs</w:t>
      </w:r>
    </w:p>
    <w:p w:rsidR="00BE78D1" w:rsidRPr="00A94F60" w:rsidRDefault="00BE78D1" w:rsidP="00BE78D1">
      <w:r w:rsidRPr="00A94F60">
        <w:t>Principals reported high levels of concern about the unintended consequences of National Standards, with the large majority (90%) describing themselves as moderately or very concerned about league tables, narrowing of the curriculum, demotivation of students consistently below the standards, and national testing</w:t>
      </w:r>
      <w:r w:rsidR="00CE0B02">
        <w:t xml:space="preserve"> (Ward &amp; Thomas. 2013)</w:t>
      </w:r>
      <w:r w:rsidRPr="00A94F60">
        <w:t>.</w:t>
      </w:r>
      <w:r w:rsidR="00235FD2">
        <w:t xml:space="preserve"> </w:t>
      </w:r>
      <w:r w:rsidRPr="00A94F60">
        <w:t>Levels of concern have grown over time, with higher proportions describing themselves as ‘very concerned’ in 2012 than in 2010.</w:t>
      </w:r>
      <w:r>
        <w:t xml:space="preserve"> </w:t>
      </w:r>
      <w:r w:rsidRPr="00A94F60">
        <w:t>Only small proportions of principals rated each of the unintended consequences as unlikely or very</w:t>
      </w:r>
      <w:r>
        <w:t xml:space="preserve"> unlikely to happen. In general, </w:t>
      </w:r>
      <w:r w:rsidRPr="00A94F60">
        <w:t>Board of Trustee Chairs appeared to be much less concerned than principals, and they also rated each of the unintended consequences as less likely to happen than did principals.</w:t>
      </w:r>
    </w:p>
    <w:p w:rsidR="00DC7E51" w:rsidRPr="00583E5A" w:rsidRDefault="00DC7E51" w:rsidP="002E741F">
      <w:pPr>
        <w:pStyle w:val="Heading3"/>
      </w:pPr>
      <w:r w:rsidRPr="00583E5A">
        <w:t>Reporting of National Standards data</w:t>
      </w:r>
    </w:p>
    <w:p w:rsidR="00F334F3" w:rsidRDefault="00583E5A" w:rsidP="008D76F9">
      <w:pPr>
        <w:pStyle w:val="BodyText"/>
      </w:pPr>
      <w:r w:rsidRPr="00583E5A">
        <w:t xml:space="preserve">All schools </w:t>
      </w:r>
      <w:r w:rsidR="009803B1">
        <w:t xml:space="preserve">using National Standards </w:t>
      </w:r>
      <w:r w:rsidRPr="00583E5A">
        <w:t xml:space="preserve">were required to </w:t>
      </w:r>
      <w:r w:rsidR="009803B1">
        <w:t>collect</w:t>
      </w:r>
      <w:r w:rsidRPr="00583E5A">
        <w:t xml:space="preserve"> information on the number of students at each level of National Standards for the second time in 2012</w:t>
      </w:r>
      <w:r w:rsidR="009803B1">
        <w:t>, reporting this data in 2013</w:t>
      </w:r>
      <w:r w:rsidRPr="00583E5A">
        <w:t>.</w:t>
      </w:r>
      <w:r>
        <w:t xml:space="preserve"> Aggregate data was submitted electronically by each school using a standardised worksheet that separated levels of achievement for each stream into four categories: Above, At, Below, and Well Below. </w:t>
      </w:r>
      <w:r w:rsidR="00D73086">
        <w:t>A</w:t>
      </w:r>
      <w:r w:rsidR="008168FD">
        <w:t xml:space="preserve">chievement data </w:t>
      </w:r>
      <w:r w:rsidR="00D73086">
        <w:t xml:space="preserve">for the 2012 year that was </w:t>
      </w:r>
      <w:r w:rsidR="008168FD">
        <w:t>of sufficie</w:t>
      </w:r>
      <w:r w:rsidR="00CE0B02">
        <w:t>nt quality to be used in analysi</w:t>
      </w:r>
      <w:r w:rsidR="008168FD">
        <w:t xml:space="preserve">s was supplied by just over 80% of schools who were required to </w:t>
      </w:r>
      <w:r w:rsidR="00D73086">
        <w:t>provide this information in 2013</w:t>
      </w:r>
      <w:r w:rsidR="00DC596D">
        <w:t>.</w:t>
      </w:r>
    </w:p>
    <w:p w:rsidR="00FE5340" w:rsidRPr="000813F7" w:rsidRDefault="00583E5A" w:rsidP="00F334F3">
      <w:pPr>
        <w:pStyle w:val="BodyText"/>
      </w:pPr>
      <w:r>
        <w:t xml:space="preserve">This was the first </w:t>
      </w:r>
      <w:r w:rsidR="009803B1">
        <w:t>time</w:t>
      </w:r>
      <w:r>
        <w:t xml:space="preserve"> that schools were required to submit the information in a standardi</w:t>
      </w:r>
      <w:r w:rsidR="00F334F3">
        <w:t xml:space="preserve">sed format; schools were </w:t>
      </w:r>
      <w:r w:rsidR="009803B1">
        <w:t xml:space="preserve">previously </w:t>
      </w:r>
      <w:r w:rsidR="00F334F3">
        <w:t xml:space="preserve">required to report </w:t>
      </w:r>
      <w:r w:rsidR="009803B1">
        <w:t>2011</w:t>
      </w:r>
      <w:r w:rsidR="00F334F3">
        <w:t xml:space="preserve"> information in their annual reports, and the data was extracted and collated manually by the Ministry. Consequently, the 2012 National Standards data is significantly less variable</w:t>
      </w:r>
      <w:r w:rsidR="00DC596D">
        <w:t>, more consistent,</w:t>
      </w:r>
      <w:r w:rsidR="00F334F3">
        <w:t xml:space="preserve"> a</w:t>
      </w:r>
      <w:r w:rsidR="00DC596D">
        <w:t>nd more easily checked for quality than the data supplied in 2011.</w:t>
      </w:r>
      <w:r w:rsidR="00F334F3">
        <w:t xml:space="preserve"> </w:t>
      </w:r>
    </w:p>
    <w:p w:rsidR="00DC7E51" w:rsidRPr="00E05BE1" w:rsidRDefault="00DC7E51" w:rsidP="002E741F">
      <w:pPr>
        <w:pStyle w:val="Heading3"/>
        <w:rPr>
          <w:lang w:eastAsia="en-US"/>
        </w:rPr>
      </w:pPr>
      <w:r w:rsidRPr="00E05BE1">
        <w:rPr>
          <w:lang w:eastAsia="en-US"/>
        </w:rPr>
        <w:t>Ngā Whanaketanga Rumaki Māori</w:t>
      </w:r>
    </w:p>
    <w:p w:rsidR="00E05BE1" w:rsidRDefault="00E05BE1" w:rsidP="00E05BE1">
      <w:pPr>
        <w:pStyle w:val="BodyText"/>
      </w:pPr>
      <w:r w:rsidRPr="00816DC1">
        <w:t>Ng</w:t>
      </w:r>
      <w:r>
        <w:t>ā</w:t>
      </w:r>
      <w:r w:rsidRPr="00816DC1">
        <w:t xml:space="preserve"> Whanaketanga Rumaki M</w:t>
      </w:r>
      <w:r>
        <w:t>ā</w:t>
      </w:r>
      <w:r w:rsidRPr="00816DC1">
        <w:t>ori</w:t>
      </w:r>
      <w:r>
        <w:t xml:space="preserve"> </w:t>
      </w:r>
      <w:r w:rsidRPr="003A2028">
        <w:t>are based on learning progressions</w:t>
      </w:r>
      <w:r w:rsidRPr="00816DC1">
        <w:t xml:space="preserve"> </w:t>
      </w:r>
      <w:r>
        <w:t xml:space="preserve">that </w:t>
      </w:r>
      <w:r w:rsidRPr="00816DC1">
        <w:t>describe the sk</w:t>
      </w:r>
      <w:r>
        <w:t xml:space="preserve">ills and knowledge students </w:t>
      </w:r>
      <w:r w:rsidRPr="00816DC1">
        <w:t>need in k</w:t>
      </w:r>
      <w:r>
        <w:t>ō</w:t>
      </w:r>
      <w:r w:rsidRPr="00816DC1">
        <w:t>rero (oral language), p</w:t>
      </w:r>
      <w:r>
        <w:t>ā</w:t>
      </w:r>
      <w:r w:rsidRPr="00816DC1">
        <w:t>nui (reading), tuhituhi (writing) and p</w:t>
      </w:r>
      <w:r>
        <w:t>ā</w:t>
      </w:r>
      <w:r w:rsidRPr="00816DC1">
        <w:t>ngarau (mathematics)</w:t>
      </w:r>
      <w:r>
        <w:t xml:space="preserve"> </w:t>
      </w:r>
      <w:r w:rsidRPr="003A2028">
        <w:t xml:space="preserve">to meet the demands of </w:t>
      </w:r>
      <w:r w:rsidRPr="00F368AF">
        <w:rPr>
          <w:i/>
        </w:rPr>
        <w:t>Te Marautanga o Aotearoa</w:t>
      </w:r>
      <w:r w:rsidRPr="003A2028">
        <w:t xml:space="preserve">. </w:t>
      </w:r>
      <w:r w:rsidRPr="00816DC1">
        <w:t xml:space="preserve">The inclusion of </w:t>
      </w:r>
      <w:r>
        <w:t>kōrero</w:t>
      </w:r>
      <w:r w:rsidRPr="00816DC1">
        <w:t xml:space="preserve"> emphasises the importance M</w:t>
      </w:r>
      <w:r>
        <w:t>ā</w:t>
      </w:r>
      <w:r w:rsidRPr="00816DC1">
        <w:t xml:space="preserve">ori medium education places on </w:t>
      </w:r>
      <w:r>
        <w:t>students</w:t>
      </w:r>
      <w:r w:rsidRPr="00816DC1">
        <w:t xml:space="preserve"> having quality oral language proficiency to support their learning</w:t>
      </w:r>
      <w:r>
        <w:t xml:space="preserve">. </w:t>
      </w:r>
    </w:p>
    <w:p w:rsidR="00E05BE1" w:rsidRPr="00816DC1" w:rsidRDefault="00E05BE1" w:rsidP="00E05BE1">
      <w:pPr>
        <w:pStyle w:val="BodyText"/>
      </w:pPr>
      <w:r>
        <w:t>Ngā Whanaketanga Rumaki Māori are a</w:t>
      </w:r>
      <w:r w:rsidRPr="003813E3">
        <w:t xml:space="preserve"> part of a wider work programme designed to strengthen M</w:t>
      </w:r>
      <w:r>
        <w:t>āori medium education that includes:</w:t>
      </w:r>
    </w:p>
    <w:p w:rsidR="00CF1F50" w:rsidRDefault="00CF1F50" w:rsidP="00CF1F50">
      <w:pPr>
        <w:pStyle w:val="BodyTextBullets"/>
        <w:rPr>
          <w:lang w:val="en-NZ"/>
        </w:rPr>
      </w:pPr>
      <w:r>
        <w:rPr>
          <w:lang w:val="en-NZ"/>
        </w:rPr>
        <w:t xml:space="preserve">recruiting and retaining a quality workforce to support Māori medium education </w:t>
      </w:r>
    </w:p>
    <w:p w:rsidR="00CF1F50" w:rsidRPr="003813E3" w:rsidRDefault="00CF1F50" w:rsidP="00CF1F50">
      <w:pPr>
        <w:pStyle w:val="BodyTextBullets"/>
        <w:rPr>
          <w:lang w:val="en-NZ"/>
        </w:rPr>
      </w:pPr>
      <w:r>
        <w:rPr>
          <w:lang w:val="en-NZ"/>
        </w:rPr>
        <w:t>s</w:t>
      </w:r>
      <w:r w:rsidRPr="003813E3">
        <w:rPr>
          <w:lang w:val="en-NZ"/>
        </w:rPr>
        <w:t>upport</w:t>
      </w:r>
      <w:r>
        <w:rPr>
          <w:lang w:val="en-NZ"/>
        </w:rPr>
        <w:t>ing the implementation of</w:t>
      </w:r>
      <w:r w:rsidRPr="003813E3">
        <w:rPr>
          <w:lang w:val="en-NZ"/>
        </w:rPr>
        <w:t xml:space="preserve"> </w:t>
      </w:r>
      <w:r w:rsidRPr="003813E3">
        <w:rPr>
          <w:i/>
          <w:lang w:val="en-NZ"/>
        </w:rPr>
        <w:t>Te Marautanga o Aotearoa</w:t>
      </w:r>
      <w:r>
        <w:rPr>
          <w:lang w:val="en-NZ"/>
        </w:rPr>
        <w:t xml:space="preserve"> and Ngā Whanaketanga Rumaki Māori</w:t>
      </w:r>
      <w:r w:rsidRPr="003813E3">
        <w:rPr>
          <w:lang w:val="en-NZ"/>
        </w:rPr>
        <w:t xml:space="preserve"> </w:t>
      </w:r>
    </w:p>
    <w:p w:rsidR="00CF1F50" w:rsidRPr="003813E3" w:rsidRDefault="00CF1F50" w:rsidP="00CF1F50">
      <w:pPr>
        <w:pStyle w:val="BodyTextBullets"/>
        <w:rPr>
          <w:lang w:val="en-NZ"/>
        </w:rPr>
      </w:pPr>
      <w:r>
        <w:rPr>
          <w:lang w:val="en-NZ"/>
        </w:rPr>
        <w:t>s</w:t>
      </w:r>
      <w:r w:rsidRPr="003813E3">
        <w:rPr>
          <w:lang w:val="en-NZ"/>
        </w:rPr>
        <w:t>upport</w:t>
      </w:r>
      <w:r>
        <w:rPr>
          <w:lang w:val="en-NZ"/>
        </w:rPr>
        <w:t>ing</w:t>
      </w:r>
      <w:r w:rsidRPr="003813E3">
        <w:rPr>
          <w:lang w:val="en-NZ"/>
        </w:rPr>
        <w:t xml:space="preserve"> plain</w:t>
      </w:r>
      <w:r>
        <w:rPr>
          <w:lang w:val="en-NZ"/>
        </w:rPr>
        <w:t xml:space="preserve"> language reporting to parents and regular reporting to the wider community, education stakeholders and the Ministry</w:t>
      </w:r>
    </w:p>
    <w:p w:rsidR="00CF1F50" w:rsidRDefault="00CF1F50" w:rsidP="00CF1F50">
      <w:pPr>
        <w:pStyle w:val="BodyTextBullets"/>
        <w:rPr>
          <w:lang w:val="en-NZ"/>
        </w:rPr>
      </w:pPr>
      <w:r>
        <w:rPr>
          <w:lang w:val="en-NZ"/>
        </w:rPr>
        <w:t xml:space="preserve">building aromatawai and assessment knowledge </w:t>
      </w:r>
    </w:p>
    <w:p w:rsidR="00CF1F50" w:rsidRPr="003813E3" w:rsidRDefault="00CF1F50" w:rsidP="00CF1F50">
      <w:pPr>
        <w:pStyle w:val="BodyTextBullets"/>
        <w:rPr>
          <w:lang w:val="en-NZ"/>
        </w:rPr>
      </w:pPr>
      <w:r>
        <w:rPr>
          <w:lang w:val="en-NZ"/>
        </w:rPr>
        <w:t>a</w:t>
      </w:r>
      <w:r w:rsidRPr="003813E3">
        <w:rPr>
          <w:lang w:val="en-NZ"/>
        </w:rPr>
        <w:t>ddress</w:t>
      </w:r>
      <w:r>
        <w:rPr>
          <w:lang w:val="en-NZ"/>
        </w:rPr>
        <w:t>ing</w:t>
      </w:r>
      <w:r w:rsidRPr="003813E3">
        <w:rPr>
          <w:lang w:val="en-NZ"/>
        </w:rPr>
        <w:t xml:space="preserve"> gaps in </w:t>
      </w:r>
      <w:r>
        <w:rPr>
          <w:lang w:val="en-NZ"/>
        </w:rPr>
        <w:t>te reo</w:t>
      </w:r>
      <w:r w:rsidRPr="003813E3">
        <w:rPr>
          <w:lang w:val="en-NZ"/>
        </w:rPr>
        <w:t xml:space="preserve"> and </w:t>
      </w:r>
      <w:r>
        <w:rPr>
          <w:lang w:val="en-NZ"/>
        </w:rPr>
        <w:t>pāngarau</w:t>
      </w:r>
      <w:r w:rsidRPr="003813E3">
        <w:rPr>
          <w:lang w:val="en-NZ"/>
        </w:rPr>
        <w:t xml:space="preserve"> tools for </w:t>
      </w:r>
      <w:r>
        <w:rPr>
          <w:lang w:val="en-NZ"/>
        </w:rPr>
        <w:t>Māori medium</w:t>
      </w:r>
    </w:p>
    <w:p w:rsidR="00E05BE1" w:rsidRPr="00CF1F50" w:rsidRDefault="00E05BE1" w:rsidP="00066FE6">
      <w:pPr>
        <w:pStyle w:val="BodyTextBulletslast"/>
      </w:pPr>
      <w:r w:rsidRPr="00CF1F50">
        <w:t>providing high quality professional development for teachers, principals and Boards of Trustees that is specifically designed for the Māori medium sector.</w:t>
      </w:r>
    </w:p>
    <w:p w:rsidR="00E05BE1" w:rsidRDefault="00E05BE1" w:rsidP="00CF1F50">
      <w:pPr>
        <w:pStyle w:val="BodyText"/>
        <w:rPr>
          <w:szCs w:val="19"/>
        </w:rPr>
      </w:pPr>
      <w:r w:rsidRPr="004921C8">
        <w:t>In 201</w:t>
      </w:r>
      <w:r>
        <w:t>2</w:t>
      </w:r>
      <w:r w:rsidRPr="004921C8">
        <w:t xml:space="preserve">, </w:t>
      </w:r>
      <w:r>
        <w:t>kura and schools with students in Y</w:t>
      </w:r>
      <w:r w:rsidRPr="004921C8">
        <w:t>ears 1</w:t>
      </w:r>
      <w:r>
        <w:t>–</w:t>
      </w:r>
      <w:r w:rsidRPr="004921C8">
        <w:t xml:space="preserve">8 that use </w:t>
      </w:r>
      <w:r>
        <w:rPr>
          <w:i/>
        </w:rPr>
        <w:t>Te Marautanga o Aotearoa</w:t>
      </w:r>
      <w:r w:rsidRPr="004921C8">
        <w:t xml:space="preserve"> to set their teaching and learning programmes were in </w:t>
      </w:r>
      <w:r>
        <w:t>the first year of full</w:t>
      </w:r>
      <w:r w:rsidRPr="004921C8">
        <w:t xml:space="preserve"> implementation for </w:t>
      </w:r>
      <w:r>
        <w:t>Ngā Whanaketanga Rumaki Māori</w:t>
      </w:r>
      <w:r w:rsidRPr="004921C8">
        <w:t xml:space="preserve">. </w:t>
      </w:r>
      <w:r w:rsidR="009803B1">
        <w:t>While these kura and schools have been required to report</w:t>
      </w:r>
      <w:r w:rsidRPr="004921C8">
        <w:t xml:space="preserve"> the progress and achievement of </w:t>
      </w:r>
      <w:r>
        <w:t>students</w:t>
      </w:r>
      <w:r w:rsidRPr="004921C8">
        <w:t xml:space="preserve"> </w:t>
      </w:r>
      <w:r w:rsidR="009803B1" w:rsidRPr="004921C8">
        <w:t>to parents</w:t>
      </w:r>
      <w:r w:rsidR="009803B1">
        <w:t xml:space="preserve"> </w:t>
      </w:r>
      <w:r w:rsidRPr="004921C8">
        <w:t xml:space="preserve">twice a year </w:t>
      </w:r>
      <w:r w:rsidR="009803B1">
        <w:t xml:space="preserve">since 2011, targets against Ngā Whanaketanga Rumaki Māori were required to be included in school charters for the first time in 2012, </w:t>
      </w:r>
      <w:r w:rsidR="00167E01">
        <w:t>and 2012 data was the first to be collected by the Ministry (in 2013)</w:t>
      </w:r>
      <w:r w:rsidRPr="004921C8">
        <w:t xml:space="preserve">. </w:t>
      </w:r>
    </w:p>
    <w:p w:rsidR="003E7E4A" w:rsidRPr="000813F7" w:rsidRDefault="004C163E" w:rsidP="000813F7">
      <w:pPr>
        <w:pStyle w:val="BodyText"/>
      </w:pPr>
      <w:r w:rsidRPr="000813F7">
        <w:t xml:space="preserve">In order to assess the scope and quality of implementation in the sector, the Ministry of Education conducted a survey of kaiako </w:t>
      </w:r>
      <w:r w:rsidR="003E7E4A" w:rsidRPr="000813F7">
        <w:t xml:space="preserve">(teachers) </w:t>
      </w:r>
      <w:r w:rsidRPr="000813F7">
        <w:t>in Māori medium settings at the end of 2012 (Ministry of Education, 2013</w:t>
      </w:r>
      <w:r w:rsidR="00912A9A" w:rsidRPr="000813F7">
        <w:t>b</w:t>
      </w:r>
      <w:r w:rsidRPr="000813F7">
        <w:t xml:space="preserve">). </w:t>
      </w:r>
      <w:r w:rsidR="003E7E4A" w:rsidRPr="000813F7">
        <w:t xml:space="preserve">The focus of this research was on the kaiako experiences of Ngā Whanaketanga Rumaki Māori. </w:t>
      </w:r>
      <w:r w:rsidR="00F10856" w:rsidRPr="000813F7">
        <w:t>Seventy-eight per</w:t>
      </w:r>
      <w:r w:rsidR="00C97343">
        <w:t> </w:t>
      </w:r>
      <w:r w:rsidR="00F10856" w:rsidRPr="000813F7">
        <w:t>cent of kaiako reported that they were using Ngā Whanaketanga Rumaki Māori, while 21% reported that they were using National Standards for assessment pu</w:t>
      </w:r>
      <w:r w:rsidR="007913F3" w:rsidRPr="000813F7">
        <w:t xml:space="preserve">rposes (some kaiako used both). </w:t>
      </w:r>
    </w:p>
    <w:p w:rsidR="005405F2" w:rsidRPr="005405F2" w:rsidRDefault="005405F2" w:rsidP="00E05BE1">
      <w:pPr>
        <w:pStyle w:val="BodyText"/>
      </w:pPr>
      <w:r>
        <w:t>A requirement of Ngā Whanaketanga Rumaki Mā</w:t>
      </w:r>
      <w:r w:rsidRPr="003813E3">
        <w:t>ori</w:t>
      </w:r>
      <w:r>
        <w:t xml:space="preserve"> i</w:t>
      </w:r>
      <w:r w:rsidR="00D53436">
        <w:t>s to report to whānau on student</w:t>
      </w:r>
      <w:r>
        <w:t xml:space="preserve"> progress in relation to Ngā Whanaketanga Rumaki Mā</w:t>
      </w:r>
      <w:r w:rsidRPr="003813E3">
        <w:t>ori</w:t>
      </w:r>
      <w:r>
        <w:t xml:space="preserve"> at least twice a year. The judgements included in the report relate not only the discrete knowledge and skills a student has learned, but also how well the student can apply what they have learned within other contexts. In </w:t>
      </w:r>
      <w:r w:rsidR="00FB3A1E">
        <w:t>the 2012 kaiako survey, most kaiako (60</w:t>
      </w:r>
      <w:r>
        <w:t xml:space="preserve">%) reported that they had already met this requirement, </w:t>
      </w:r>
      <w:r w:rsidR="00FB3A1E">
        <w:t xml:space="preserve">and a further 26% </w:t>
      </w:r>
      <w:r w:rsidRPr="00164B9A">
        <w:t xml:space="preserve">had reported </w:t>
      </w:r>
      <w:r w:rsidR="00FB3A1E">
        <w:t xml:space="preserve">to whānau </w:t>
      </w:r>
      <w:r w:rsidRPr="00164B9A">
        <w:t xml:space="preserve">once and would do so again before the end of </w:t>
      </w:r>
      <w:r w:rsidR="00FB3A1E">
        <w:t>2012</w:t>
      </w:r>
      <w:r w:rsidR="00D14B97">
        <w:t xml:space="preserve">. </w:t>
      </w:r>
      <w:r w:rsidR="007001D9">
        <w:t>A majority of kaiako (67%) also agreed that Ngā Whanaketanga Rumaki Māori had improved the information that they provided to parents</w:t>
      </w:r>
      <w:r w:rsidR="000A7E48">
        <w:t xml:space="preserve"> (Ministry of Education, 2013b)</w:t>
      </w:r>
      <w:r w:rsidR="007001D9">
        <w:t>.</w:t>
      </w:r>
    </w:p>
    <w:p w:rsidR="00E05BE1" w:rsidRDefault="00E05BE1" w:rsidP="00E05BE1">
      <w:pPr>
        <w:pStyle w:val="BodyText"/>
      </w:pPr>
      <w:r>
        <w:t>A range of resources and material is being made available to support teachers to make reliable and consistent judgements. These tools include the deve</w:t>
      </w:r>
      <w:r w:rsidR="005405F2">
        <w:t xml:space="preserve">lopment of </w:t>
      </w:r>
      <w:r w:rsidR="005405F2" w:rsidRPr="005405F2">
        <w:rPr>
          <w:i/>
        </w:rPr>
        <w:t>Rukuhia</w:t>
      </w:r>
      <w:r w:rsidR="005405F2">
        <w:rPr>
          <w:i/>
        </w:rPr>
        <w:t>,</w:t>
      </w:r>
      <w:r w:rsidR="005405F2" w:rsidRPr="005405F2">
        <w:rPr>
          <w:i/>
        </w:rPr>
        <w:t xml:space="preserve"> Rarangahia</w:t>
      </w:r>
      <w:r w:rsidR="005405F2">
        <w:t xml:space="preserve"> (</w:t>
      </w:r>
      <w:r>
        <w:t>an aromatawai position paper</w:t>
      </w:r>
      <w:r w:rsidR="005405F2">
        <w:t>)</w:t>
      </w:r>
      <w:r>
        <w:t xml:space="preserve">, professional learning and development opportunities, </w:t>
      </w:r>
      <w:r w:rsidR="005405F2">
        <w:t xml:space="preserve">and the </w:t>
      </w:r>
      <w:r>
        <w:t>refreshing of literacy</w:t>
      </w:r>
      <w:r w:rsidR="005405F2">
        <w:t>- and numeracy-</w:t>
      </w:r>
      <w:r>
        <w:t xml:space="preserve">based resources and tools </w:t>
      </w:r>
      <w:r w:rsidR="005405F2">
        <w:t xml:space="preserve">used </w:t>
      </w:r>
      <w:r>
        <w:t xml:space="preserve">to support the collection and collation of student progress and achievement information. </w:t>
      </w:r>
    </w:p>
    <w:p w:rsidR="00E05BE1" w:rsidRDefault="0087432F" w:rsidP="00571CBB">
      <w:pPr>
        <w:pStyle w:val="BodyText"/>
      </w:pPr>
      <w:r w:rsidRPr="0087432F">
        <w:rPr>
          <w:lang w:val="en-NZ"/>
        </w:rPr>
        <w:t>Aromatawai is a series of processes that lead to an understanding about a learning event</w:t>
      </w:r>
      <w:r>
        <w:rPr>
          <w:lang w:val="en-NZ"/>
        </w:rPr>
        <w:t xml:space="preserve">. It </w:t>
      </w:r>
      <w:r w:rsidRPr="008C4B84">
        <w:t>is a</w:t>
      </w:r>
      <w:r w:rsidR="00D53436">
        <w:t xml:space="preserve"> way of focussing on the student</w:t>
      </w:r>
      <w:r w:rsidRPr="008C4B84">
        <w:t>, what they can do, and their learning journey based on knowledge dr</w:t>
      </w:r>
      <w:r>
        <w:t>awn from a relationship between teachers</w:t>
      </w:r>
      <w:r w:rsidRPr="008C4B84">
        <w:t xml:space="preserve"> and</w:t>
      </w:r>
      <w:r>
        <w:t xml:space="preserve"> students</w:t>
      </w:r>
      <w:r w:rsidRPr="0087432F">
        <w:rPr>
          <w:lang w:val="en-NZ"/>
        </w:rPr>
        <w:t xml:space="preserve">. </w:t>
      </w:r>
      <w:r w:rsidRPr="008C4B84">
        <w:t>Aromatawai can represent both whole and parts</w:t>
      </w:r>
      <w:r>
        <w:t xml:space="preserve"> of students’ learning journeys. </w:t>
      </w:r>
      <w:r w:rsidR="00E05BE1">
        <w:t xml:space="preserve">Te Waharoa Ararau </w:t>
      </w:r>
      <w:r w:rsidR="00E05BE1" w:rsidRPr="008C4B84">
        <w:t xml:space="preserve">symbolises the multiple pathways available to students to enjoy and </w:t>
      </w:r>
      <w:r>
        <w:t>achieve educational success, and</w:t>
      </w:r>
      <w:r w:rsidR="00E05BE1" w:rsidRPr="008C4B84">
        <w:t xml:space="preserve"> allows kura and schools to capture students</w:t>
      </w:r>
      <w:r>
        <w:t>’</w:t>
      </w:r>
      <w:r w:rsidR="00E05BE1" w:rsidRPr="008C4B84">
        <w:t xml:space="preserve"> literacy and numeracy aromatawai informat</w:t>
      </w:r>
      <w:r w:rsidR="00A4319A">
        <w:t>ion:</w:t>
      </w:r>
      <w:r w:rsidR="00E05BE1" w:rsidRPr="008C4B84">
        <w:t xml:space="preserve"> </w:t>
      </w:r>
    </w:p>
    <w:p w:rsidR="006143BA" w:rsidRDefault="006143BA" w:rsidP="0096169F">
      <w:pPr>
        <w:pStyle w:val="BodyTextBullets"/>
      </w:pPr>
      <w:r>
        <w:t>Te Waharoa Ararau ā-Kura is a tool that runs parallel to the Progress and Consistency Tool (PaCT), and supports teachers in implementing Ngā Whanaketanga Rumaki Māori. It has been developed for use by all kura and Māori medium settings who use Ngā Whanaketanga Rumaki Māori to set their literacy and numeracy teaching and learning programmes, with the purpose of progressively supporting the consistency of teacher judgements both within and between schools.</w:t>
      </w:r>
    </w:p>
    <w:p w:rsidR="00C03DB7" w:rsidRDefault="007B52EF" w:rsidP="0096169F">
      <w:pPr>
        <w:pStyle w:val="BodyTextBullets"/>
      </w:pPr>
      <w:r>
        <w:t xml:space="preserve">Te Waharoa Ararau ā-Motu is an online resource that has been developed by the Ministry to </w:t>
      </w:r>
      <w:r w:rsidR="00C03DB7">
        <w:t xml:space="preserve">assist with the reporting of </w:t>
      </w:r>
      <w:r>
        <w:t>school-wide te reo Matatini and pāngarau achievement information; individual, class, and/or school reports produced in Te Waharoa Ararau ā-Kura can be used to inform the completion of a Te Waharoa Ararau ā-Motu report.</w:t>
      </w:r>
    </w:p>
    <w:p w:rsidR="00DC7E51" w:rsidRPr="009F699F" w:rsidRDefault="00DC7E51" w:rsidP="002E741F">
      <w:pPr>
        <w:pStyle w:val="Heading3"/>
      </w:pPr>
      <w:r w:rsidRPr="009F699F">
        <w:t>Public achievement information</w:t>
      </w:r>
    </w:p>
    <w:p w:rsidR="009F699F" w:rsidRPr="00571CBB" w:rsidRDefault="009F699F" w:rsidP="009F699F">
      <w:pPr>
        <w:rPr>
          <w:rStyle w:val="BodyTextChar"/>
          <w:rFonts w:eastAsia="Arial Unicode MS"/>
        </w:rPr>
      </w:pPr>
      <w:r w:rsidRPr="00571CBB">
        <w:rPr>
          <w:rStyle w:val="BodyTextChar"/>
          <w:rFonts w:eastAsia="Arial Unicode MS"/>
        </w:rPr>
        <w:t xml:space="preserve">National Standards </w:t>
      </w:r>
      <w:r w:rsidRPr="00060152">
        <w:rPr>
          <w:rFonts w:cs="Arial"/>
          <w:szCs w:val="18"/>
        </w:rPr>
        <w:t>and Ngā Whanaketanga Rumaki Māori data</w:t>
      </w:r>
      <w:r w:rsidR="000A5F84">
        <w:rPr>
          <w:rStyle w:val="BodyTextChar"/>
          <w:rFonts w:eastAsia="Arial Unicode MS"/>
        </w:rPr>
        <w:t xml:space="preserve"> contribute</w:t>
      </w:r>
      <w:r w:rsidRPr="00571CBB">
        <w:rPr>
          <w:rStyle w:val="BodyTextChar"/>
          <w:rFonts w:eastAsia="Arial Unicode MS"/>
        </w:rPr>
        <w:t xml:space="preserve"> to the range of information available as Public Achievement Information (PAI).</w:t>
      </w:r>
    </w:p>
    <w:p w:rsidR="009F699F" w:rsidRPr="004278C3" w:rsidRDefault="009F699F" w:rsidP="004278C3">
      <w:pPr>
        <w:pStyle w:val="BodyText"/>
        <w:rPr>
          <w:rFonts w:eastAsia="Arial Unicode MS"/>
        </w:rPr>
      </w:pPr>
      <w:r w:rsidRPr="00060152">
        <w:t>The PAI strategy seeks to encourage the effective use of information to support teaching and learning.</w:t>
      </w:r>
      <w:r w:rsidR="00235FD2">
        <w:t xml:space="preserve"> </w:t>
      </w:r>
      <w:r w:rsidRPr="00060152">
        <w:t>It also seeks greater public transparency around information about our students, schools and education system.</w:t>
      </w:r>
      <w:r w:rsidR="00235FD2">
        <w:t xml:space="preserve"> </w:t>
      </w:r>
      <w:r w:rsidR="000A5F84">
        <w:t>The better informed people are</w:t>
      </w:r>
      <w:r w:rsidRPr="00060152">
        <w:t xml:space="preserve"> the better able they are to contribute.</w:t>
      </w:r>
      <w:r w:rsidR="00235FD2">
        <w:t xml:space="preserve"> </w:t>
      </w:r>
      <w:r w:rsidRPr="00060152">
        <w:t>This is particularly important for parents, family and whānau who have an important role in supporting their child’s learning in partnership with their child’s teacher and their child.</w:t>
      </w:r>
    </w:p>
    <w:p w:rsidR="009F699F" w:rsidRPr="004278C3" w:rsidRDefault="009F699F" w:rsidP="004278C3">
      <w:pPr>
        <w:pStyle w:val="BodyText"/>
        <w:rPr>
          <w:rFonts w:eastAsia="Arial Unicode MS"/>
        </w:rPr>
      </w:pPr>
      <w:r w:rsidRPr="004278C3">
        <w:rPr>
          <w:rFonts w:eastAsia="Arial Unicode MS"/>
        </w:rPr>
        <w:t>Student achievement data should not be viewed as an end product. The intention is that it be used formatively to inform improvement. Many variables influence student performance and it is important that schools and kura be viewed on the basis of everything they do in engaging and educating students</w:t>
      </w:r>
      <w:r w:rsidR="00B2594C" w:rsidRPr="004278C3">
        <w:rPr>
          <w:rFonts w:eastAsia="Arial Unicode MS"/>
        </w:rPr>
        <w:t>,</w:t>
      </w:r>
      <w:r w:rsidRPr="004278C3">
        <w:rPr>
          <w:rFonts w:eastAsia="Arial Unicode MS"/>
        </w:rPr>
        <w:t xml:space="preserve"> and in light of broader educational outcomes that are valued for our young people. </w:t>
      </w:r>
    </w:p>
    <w:p w:rsidR="009F699F" w:rsidRPr="00060152" w:rsidRDefault="009F699F" w:rsidP="004278C3">
      <w:pPr>
        <w:pStyle w:val="BodyText"/>
      </w:pPr>
      <w:r w:rsidRPr="004278C3">
        <w:rPr>
          <w:rFonts w:eastAsia="Arial Unicode MS"/>
        </w:rPr>
        <w:t>National Standards data has been publicly available since 2012 (2011 data).</w:t>
      </w:r>
      <w:r w:rsidR="00235FD2">
        <w:rPr>
          <w:rFonts w:eastAsia="Arial Unicode MS"/>
        </w:rPr>
        <w:t xml:space="preserve"> </w:t>
      </w:r>
      <w:r w:rsidRPr="00060152">
        <w:rPr>
          <w:rFonts w:eastAsia="Arial Unicode MS"/>
          <w:lang w:val="en-US"/>
        </w:rPr>
        <w:t xml:space="preserve">Nga Whanaketanga Rumaki </w:t>
      </w:r>
      <w:r w:rsidR="00E4438D" w:rsidRPr="00060152">
        <w:rPr>
          <w:rFonts w:eastAsia="Arial Unicode MS"/>
          <w:lang w:val="en-US"/>
        </w:rPr>
        <w:t>Māori</w:t>
      </w:r>
      <w:r w:rsidRPr="00060152">
        <w:rPr>
          <w:rFonts w:eastAsia="Arial Unicode MS"/>
          <w:lang w:val="en-US"/>
        </w:rPr>
        <w:t xml:space="preserve"> data will be publicly available for the first time from 2013 (2012 data).</w:t>
      </w:r>
      <w:r w:rsidR="00235FD2">
        <w:rPr>
          <w:rFonts w:eastAsia="Arial Unicode MS"/>
          <w:lang w:val="en-US"/>
        </w:rPr>
        <w:t xml:space="preserve"> </w:t>
      </w:r>
      <w:r w:rsidRPr="00060152">
        <w:rPr>
          <w:rFonts w:eastAsia="Arial Unicode MS"/>
          <w:lang w:val="en-US"/>
        </w:rPr>
        <w:t xml:space="preserve">These data are included within </w:t>
      </w:r>
      <w:r w:rsidRPr="00060152">
        <w:t xml:space="preserve">each individual school’s annual report and </w:t>
      </w:r>
      <w:r w:rsidR="000A5F84">
        <w:t xml:space="preserve">are </w:t>
      </w:r>
      <w:r w:rsidRPr="00060152">
        <w:t xml:space="preserve">accessible by parents and communities. In addition, </w:t>
      </w:r>
      <w:r w:rsidR="00B2594C">
        <w:t>the Ministry proactively publishes this information because of high levels of interest</w:t>
      </w:r>
      <w:r w:rsidRPr="00060152">
        <w:t xml:space="preserve">. </w:t>
      </w:r>
      <w:r w:rsidR="00B2594C">
        <w:t xml:space="preserve">The 2012 data is available on the </w:t>
      </w:r>
      <w:r w:rsidRPr="00060152">
        <w:t xml:space="preserve">‘Find a School’ web pages on the </w:t>
      </w:r>
      <w:r w:rsidRPr="00571CBB">
        <w:rPr>
          <w:rStyle w:val="BodyTextChar"/>
          <w:i/>
          <w:iCs/>
        </w:rPr>
        <w:t>Education Counts</w:t>
      </w:r>
      <w:r w:rsidRPr="00060152">
        <w:t xml:space="preserve"> website at </w:t>
      </w:r>
      <w:r w:rsidRPr="00D00FCF">
        <w:t>www.educationcounts.go</w:t>
      </w:r>
      <w:r w:rsidR="00C97343">
        <w:t>v</w:t>
      </w:r>
      <w:r w:rsidRPr="00D00FCF">
        <w:t>t.nz/find-a-school</w:t>
      </w:r>
      <w:r w:rsidRPr="00060152">
        <w:t>. This information has also bee</w:t>
      </w:r>
      <w:r w:rsidR="000A5F84">
        <w:t>n published by Regional Council,</w:t>
      </w:r>
      <w:r w:rsidRPr="00060152">
        <w:t xml:space="preserve"> by Territorial</w:t>
      </w:r>
      <w:r w:rsidR="000A5F84">
        <w:t xml:space="preserve"> Local Authority (TLA),</w:t>
      </w:r>
      <w:r w:rsidRPr="00060152">
        <w:t xml:space="preserve"> and nationally.</w:t>
      </w:r>
    </w:p>
    <w:p w:rsidR="009F699F" w:rsidRPr="00060152" w:rsidRDefault="009F699F" w:rsidP="009F699F">
      <w:pPr>
        <w:rPr>
          <w:rFonts w:cs="Arial"/>
          <w:szCs w:val="18"/>
          <w:lang w:eastAsia="en-NZ"/>
        </w:rPr>
      </w:pPr>
      <w:r w:rsidRPr="00060152">
        <w:rPr>
          <w:rFonts w:cs="Arial"/>
          <w:szCs w:val="18"/>
        </w:rPr>
        <w:t>Some additional information provided by schools and kura in their annual report has also been published on the website including: school strengths and identified areas of improvement; the basis for identifying areas for improvement; and planned actions for lifting achievement.</w:t>
      </w:r>
    </w:p>
    <w:p w:rsidR="009F699F" w:rsidRPr="00060152" w:rsidRDefault="009F699F" w:rsidP="009F699F">
      <w:pPr>
        <w:rPr>
          <w:rFonts w:cs="Arial"/>
          <w:szCs w:val="18"/>
        </w:rPr>
      </w:pPr>
      <w:r w:rsidRPr="00060152">
        <w:rPr>
          <w:rFonts w:cs="Arial"/>
          <w:szCs w:val="18"/>
        </w:rPr>
        <w:t>It is important that National Standards data not be used on their own to judge the quality of a school. A range of information needs to be considered to get a complete picture of a school. This could include:</w:t>
      </w:r>
    </w:p>
    <w:p w:rsidR="009F699F" w:rsidRPr="00060152" w:rsidRDefault="009F699F" w:rsidP="00043B3F">
      <w:pPr>
        <w:pStyle w:val="BodyTextBullets"/>
      </w:pPr>
      <w:r w:rsidRPr="00060152">
        <w:t xml:space="preserve">the school website </w:t>
      </w:r>
      <w:r w:rsidR="00C97343">
        <w:rPr>
          <w:rFonts w:cs="Arial"/>
        </w:rPr>
        <w:t>―</w:t>
      </w:r>
      <w:r w:rsidR="00C97343">
        <w:t xml:space="preserve"> </w:t>
      </w:r>
      <w:r w:rsidRPr="00060152">
        <w:t>most schools have one</w:t>
      </w:r>
    </w:p>
    <w:p w:rsidR="009F699F" w:rsidRPr="00060152" w:rsidRDefault="009F699F" w:rsidP="00043B3F">
      <w:pPr>
        <w:pStyle w:val="BodyTextBullets"/>
      </w:pPr>
      <w:r w:rsidRPr="00060152">
        <w:t>the school charter and annual report</w:t>
      </w:r>
    </w:p>
    <w:p w:rsidR="009F699F" w:rsidRPr="00B2594C" w:rsidRDefault="009F699F" w:rsidP="00043B3F">
      <w:pPr>
        <w:pStyle w:val="BodyTextBullets"/>
      </w:pPr>
      <w:r w:rsidRPr="00B2594C">
        <w:t>the most recent ERO report on the school</w:t>
      </w:r>
    </w:p>
    <w:p w:rsidR="009F699F" w:rsidRPr="00B2594C" w:rsidRDefault="009F699F" w:rsidP="00043B3F">
      <w:pPr>
        <w:pStyle w:val="BodyTextBullets"/>
      </w:pPr>
      <w:r w:rsidRPr="00B2594C">
        <w:t>talking with other parents who have children at the school</w:t>
      </w:r>
    </w:p>
    <w:p w:rsidR="009F699F" w:rsidRPr="00B2594C" w:rsidRDefault="009F699F" w:rsidP="00066FE6">
      <w:pPr>
        <w:pStyle w:val="BodyTextBulletslast"/>
      </w:pPr>
      <w:r w:rsidRPr="00B2594C">
        <w:t xml:space="preserve">visiting the school and engaging in discussion with educators and Boards of Trustee members. </w:t>
      </w:r>
    </w:p>
    <w:p w:rsidR="00146A66" w:rsidRPr="00320EF1" w:rsidRDefault="00146A66" w:rsidP="00750169">
      <w:pPr>
        <w:pStyle w:val="Heading2"/>
      </w:pPr>
      <w:bookmarkStart w:id="44" w:name="_Toc367361623"/>
      <w:r w:rsidRPr="00320EF1">
        <w:t>Youth Guarantee</w:t>
      </w:r>
      <w:bookmarkEnd w:id="44"/>
      <w:r w:rsidRPr="00320EF1">
        <w:t xml:space="preserve"> </w:t>
      </w:r>
    </w:p>
    <w:p w:rsidR="00320EF1" w:rsidRPr="00320EF1" w:rsidRDefault="00320EF1" w:rsidP="00320EF1">
      <w:pPr>
        <w:pStyle w:val="BodyText"/>
      </w:pPr>
      <w:r w:rsidRPr="00320EF1">
        <w:t>The Youth Guarantee initiative is the New Zealand Government’s flagship programme for improving educational opportunities and achievement for 16 and 17 year-olds. It provides new opportunities and choices for students about how and where they study, along with a clear framework of learning pathways.</w:t>
      </w:r>
    </w:p>
    <w:p w:rsidR="00320EF1" w:rsidRPr="00320EF1" w:rsidRDefault="00320EF1" w:rsidP="00320EF1">
      <w:pPr>
        <w:pStyle w:val="BodyText"/>
      </w:pPr>
      <w:r w:rsidRPr="00320EF1">
        <w:t xml:space="preserve">The goal of Youth Guarantee is that all students will achieve at least NCEA Level 2 or an equivalent tertiary qualification, which evidence suggests is the minimum level of achievement required for success and participation in further study and employment. </w:t>
      </w:r>
      <w:r w:rsidR="00AA2D98">
        <w:t>This contributes to the Ministry’s efforts to accelerate achievement in order to meet the Better Public Services target of 85% of 18-year-olds attaining NCEA Level 2 or above by 2017.</w:t>
      </w:r>
    </w:p>
    <w:p w:rsidR="00320EF1" w:rsidRPr="00320EF1" w:rsidRDefault="001A2316" w:rsidP="00320EF1">
      <w:pPr>
        <w:pStyle w:val="BodyText"/>
      </w:pPr>
      <w:r>
        <w:t xml:space="preserve"> Youth Guarantee is a </w:t>
      </w:r>
      <w:r w:rsidR="00320EF1" w:rsidRPr="00320EF1">
        <w:t>contributor to several system-wide goals in education, such as: improving student retention and engagement in the senior secondary school; improving overall achievement for Māori, Pasifika, and students with special education needs; and reducing the numbers of young people not in employment, education or training (NEETs).</w:t>
      </w:r>
    </w:p>
    <w:p w:rsidR="00320EF1" w:rsidRPr="00320EF1" w:rsidRDefault="00320EF1" w:rsidP="00320EF1">
      <w:pPr>
        <w:pStyle w:val="BodyText"/>
      </w:pPr>
      <w:r w:rsidRPr="00320EF1">
        <w:t>Youth Guarante</w:t>
      </w:r>
      <w:r>
        <w:t>e comprises several initiatives that</w:t>
      </w:r>
      <w:r w:rsidRPr="00320EF1">
        <w:t xml:space="preserve"> are being progressively implemented throughout the secondary and tertiary sectors. This is taking place with the support of </w:t>
      </w:r>
      <w:r>
        <w:t>regionally-</w:t>
      </w:r>
      <w:r w:rsidRPr="00320EF1">
        <w:t>based networks of training providers, local government, iwi and community organisations to connect and co-ordinate the secondary–tertiary–work interface across communities. These initiatives are:</w:t>
      </w:r>
    </w:p>
    <w:p w:rsidR="00320EF1" w:rsidRPr="001A2316" w:rsidRDefault="00320EF1" w:rsidP="001A2316">
      <w:pPr>
        <w:pStyle w:val="BodyTextBullets"/>
        <w:ind w:left="567" w:hanging="283"/>
        <w:rPr>
          <w:lang w:val="en-AU"/>
        </w:rPr>
      </w:pPr>
      <w:r w:rsidRPr="00320EF1">
        <w:rPr>
          <w:lang w:val="en-AU"/>
        </w:rPr>
        <w:t>the development of coherent vocational pathways and associated teaching and learning resources that are available across the secondary and tertiary sectors</w:t>
      </w:r>
      <w:r w:rsidR="001A2316">
        <w:rPr>
          <w:lang w:val="en-AU"/>
        </w:rPr>
        <w:t>. F</w:t>
      </w:r>
      <w:r w:rsidRPr="001A2316">
        <w:rPr>
          <w:lang w:val="en-AU"/>
        </w:rPr>
        <w:t xml:space="preserve">ive initial vocational pathways were developed in 2012 for the following industry sectors: </w:t>
      </w:r>
    </w:p>
    <w:p w:rsidR="00320EF1" w:rsidRPr="00320EF1" w:rsidRDefault="00320EF1" w:rsidP="00320EF1">
      <w:pPr>
        <w:pStyle w:val="BodyTextBullet2"/>
        <w:rPr>
          <w:szCs w:val="18"/>
          <w:lang w:val="en-AU"/>
        </w:rPr>
      </w:pPr>
      <w:r w:rsidRPr="00320EF1">
        <w:rPr>
          <w:szCs w:val="18"/>
          <w:lang w:val="en-AU"/>
        </w:rPr>
        <w:t>construction and infrastructure</w:t>
      </w:r>
    </w:p>
    <w:p w:rsidR="00320EF1" w:rsidRPr="00320EF1" w:rsidRDefault="00320EF1" w:rsidP="00320EF1">
      <w:pPr>
        <w:pStyle w:val="BodyTextBullet2"/>
        <w:rPr>
          <w:szCs w:val="18"/>
          <w:lang w:val="en-AU"/>
        </w:rPr>
      </w:pPr>
      <w:r w:rsidRPr="00320EF1">
        <w:rPr>
          <w:szCs w:val="18"/>
          <w:lang w:val="en-AU"/>
        </w:rPr>
        <w:t>primary industries</w:t>
      </w:r>
    </w:p>
    <w:p w:rsidR="00320EF1" w:rsidRPr="00320EF1" w:rsidRDefault="00320EF1" w:rsidP="00320EF1">
      <w:pPr>
        <w:pStyle w:val="BodyTextBullet2"/>
        <w:rPr>
          <w:szCs w:val="18"/>
          <w:lang w:val="en-AU"/>
        </w:rPr>
      </w:pPr>
      <w:r w:rsidRPr="00320EF1">
        <w:rPr>
          <w:szCs w:val="18"/>
          <w:lang w:val="en-AU"/>
        </w:rPr>
        <w:t>social and community services</w:t>
      </w:r>
    </w:p>
    <w:p w:rsidR="00320EF1" w:rsidRPr="00320EF1" w:rsidRDefault="00320EF1" w:rsidP="00320EF1">
      <w:pPr>
        <w:pStyle w:val="BodyTextBullet2"/>
        <w:rPr>
          <w:szCs w:val="18"/>
          <w:lang w:val="en-AU"/>
        </w:rPr>
      </w:pPr>
      <w:r w:rsidRPr="00320EF1">
        <w:rPr>
          <w:szCs w:val="18"/>
          <w:lang w:val="en-AU"/>
        </w:rPr>
        <w:t>service industries</w:t>
      </w:r>
    </w:p>
    <w:p w:rsidR="00320EF1" w:rsidRPr="00571CBB" w:rsidRDefault="00320EF1" w:rsidP="00066FE6">
      <w:pPr>
        <w:pStyle w:val="BodyTextBullets2last"/>
      </w:pPr>
      <w:r w:rsidRPr="00571CBB">
        <w:t>manufacturing and technology</w:t>
      </w:r>
      <w:r w:rsidR="00C97343">
        <w:t>.</w:t>
      </w:r>
    </w:p>
    <w:p w:rsidR="00320EF1" w:rsidRPr="00320EF1" w:rsidRDefault="00320EF1" w:rsidP="00320EF1">
      <w:pPr>
        <w:pStyle w:val="BodyTextBullets"/>
        <w:ind w:left="567" w:hanging="283"/>
        <w:rPr>
          <w:lang w:val="en-AU"/>
        </w:rPr>
      </w:pPr>
      <w:r w:rsidRPr="00320EF1">
        <w:rPr>
          <w:lang w:val="en-AU"/>
        </w:rPr>
        <w:t>the introduction of a number of fees-free tertiary education places for 16–17-year-olds</w:t>
      </w:r>
      <w:r w:rsidR="00235FD2">
        <w:rPr>
          <w:lang w:val="en-AU"/>
        </w:rPr>
        <w:t xml:space="preserve"> </w:t>
      </w:r>
      <w:r w:rsidRPr="00320EF1">
        <w:rPr>
          <w:lang w:val="en-AU"/>
        </w:rPr>
        <w:t>at levels 1–3; in 2012 there were 7,345 fees-free places allocated to students, up from 2,500</w:t>
      </w:r>
      <w:r>
        <w:rPr>
          <w:lang w:val="en-AU"/>
        </w:rPr>
        <w:t xml:space="preserve"> in 2011. </w:t>
      </w:r>
    </w:p>
    <w:p w:rsidR="00320EF1" w:rsidRPr="00320EF1" w:rsidRDefault="00320EF1" w:rsidP="00320EF1">
      <w:pPr>
        <w:pStyle w:val="BodyTextBullets"/>
        <w:ind w:left="567" w:hanging="283"/>
        <w:rPr>
          <w:lang w:val="en-AU"/>
        </w:rPr>
      </w:pPr>
      <w:r w:rsidRPr="00320EF1">
        <w:rPr>
          <w:lang w:val="en-AU"/>
        </w:rPr>
        <w:t xml:space="preserve">improved tracking and monitoring of students as they move through the system. In 2011 work began on exploring the ways that various Government agencies can better share information and data to enable accurate tracking of students across the secondary </w:t>
      </w:r>
      <w:r w:rsidR="001A2316">
        <w:rPr>
          <w:lang w:val="en-AU"/>
        </w:rPr>
        <w:t>and tertiary sectors. In 2012 the Ministry</w:t>
      </w:r>
      <w:r w:rsidRPr="00320EF1">
        <w:rPr>
          <w:lang w:val="en-AU"/>
        </w:rPr>
        <w:t xml:space="preserve"> began supplying data to the M</w:t>
      </w:r>
      <w:r>
        <w:rPr>
          <w:lang w:val="en-AU"/>
        </w:rPr>
        <w:t xml:space="preserve">inistry of </w:t>
      </w:r>
      <w:r w:rsidRPr="00320EF1">
        <w:rPr>
          <w:lang w:val="en-AU"/>
        </w:rPr>
        <w:t>S</w:t>
      </w:r>
      <w:r>
        <w:rPr>
          <w:lang w:val="en-AU"/>
        </w:rPr>
        <w:t xml:space="preserve">ocial </w:t>
      </w:r>
      <w:r w:rsidRPr="00320EF1">
        <w:rPr>
          <w:lang w:val="en-AU"/>
        </w:rPr>
        <w:t>D</w:t>
      </w:r>
      <w:r>
        <w:rPr>
          <w:lang w:val="en-AU"/>
        </w:rPr>
        <w:t>evelopment</w:t>
      </w:r>
      <w:r w:rsidRPr="00320EF1">
        <w:rPr>
          <w:lang w:val="en-AU"/>
        </w:rPr>
        <w:t xml:space="preserve"> to create a risk profile for a young person leaving school, and so that the MSD could prepare to work with the young person to get them back into education, training or meaningful employment.</w:t>
      </w:r>
    </w:p>
    <w:p w:rsidR="00320EF1" w:rsidRPr="00B06B07" w:rsidRDefault="00B06B07" w:rsidP="00320EF1">
      <w:pPr>
        <w:pStyle w:val="BodyTextBullets"/>
        <w:ind w:left="567" w:hanging="283"/>
        <w:rPr>
          <w:lang w:val="en-AU"/>
        </w:rPr>
      </w:pPr>
      <w:r>
        <w:rPr>
          <w:rFonts w:cs="Arial"/>
        </w:rPr>
        <w:t>t</w:t>
      </w:r>
      <w:r w:rsidR="00320EF1" w:rsidRPr="00B06B07">
        <w:rPr>
          <w:lang w:val="en-AU"/>
        </w:rPr>
        <w:t>he establishment of regional networks in late 2012</w:t>
      </w:r>
      <w:r>
        <w:rPr>
          <w:lang w:val="en-AU"/>
        </w:rPr>
        <w:t>.</w:t>
      </w:r>
    </w:p>
    <w:p w:rsidR="00320EF1" w:rsidRDefault="00EF7BEB" w:rsidP="00320EF1">
      <w:pPr>
        <w:pStyle w:val="BodyTextBullets"/>
        <w:ind w:left="567" w:hanging="283"/>
        <w:rPr>
          <w:lang w:val="en-AU"/>
        </w:rPr>
      </w:pPr>
      <w:r>
        <w:rPr>
          <w:lang w:val="en-AU"/>
        </w:rPr>
        <w:t>a series of proposals to strengthen the provision of careers, information, advice, guidance and education (CIAGE)</w:t>
      </w:r>
      <w:r w:rsidR="00DC3715">
        <w:rPr>
          <w:lang w:val="en-AU"/>
        </w:rPr>
        <w:t>,</w:t>
      </w:r>
      <w:r>
        <w:rPr>
          <w:lang w:val="en-AU"/>
        </w:rPr>
        <w:t xml:space="preserve"> developed following a </w:t>
      </w:r>
      <w:r w:rsidR="002C2B71">
        <w:rPr>
          <w:lang w:val="en-AU"/>
        </w:rPr>
        <w:t xml:space="preserve">Governmental </w:t>
      </w:r>
      <w:r>
        <w:rPr>
          <w:lang w:val="en-AU"/>
        </w:rPr>
        <w:t>review of CIAGE initiated in late 2011.</w:t>
      </w:r>
    </w:p>
    <w:p w:rsidR="00B06B07" w:rsidRPr="00320EF1" w:rsidRDefault="00320EF1" w:rsidP="00B23A1C">
      <w:pPr>
        <w:pStyle w:val="BodyTextBullets"/>
        <w:ind w:left="567" w:hanging="283"/>
        <w:rPr>
          <w:lang w:val="en-AU"/>
        </w:rPr>
      </w:pPr>
      <w:r w:rsidRPr="00B23A1C">
        <w:rPr>
          <w:lang w:val="en-AU"/>
        </w:rPr>
        <w:t xml:space="preserve">the ongoing implementation of secondary–tertiary programmes such as trades </w:t>
      </w:r>
      <w:r w:rsidR="00DC3715" w:rsidRPr="00B23A1C">
        <w:rPr>
          <w:lang w:val="en-AU"/>
        </w:rPr>
        <w:t>academies an</w:t>
      </w:r>
      <w:r w:rsidR="001A2316" w:rsidRPr="00B23A1C">
        <w:rPr>
          <w:lang w:val="en-AU"/>
        </w:rPr>
        <w:t xml:space="preserve">d service academies. </w:t>
      </w:r>
      <w:r w:rsidR="00DC3715" w:rsidRPr="00B23A1C">
        <w:rPr>
          <w:lang w:val="en-AU"/>
        </w:rPr>
        <w:t>In 2012, 2.340 students e</w:t>
      </w:r>
      <w:r w:rsidR="00B06B07" w:rsidRPr="00B23A1C">
        <w:rPr>
          <w:lang w:val="en-AU"/>
        </w:rPr>
        <w:t xml:space="preserve">nrolled in 22 trades academies - </w:t>
      </w:r>
      <w:r w:rsidR="00DC3715" w:rsidRPr="00B23A1C">
        <w:rPr>
          <w:lang w:val="en-AU"/>
        </w:rPr>
        <w:t>11 headed by Institutes of Technology and Polytechn</w:t>
      </w:r>
      <w:r w:rsidR="00B06B07" w:rsidRPr="00B23A1C">
        <w:rPr>
          <w:lang w:val="en-AU"/>
        </w:rPr>
        <w:t>ic, and 10 by secondary schools</w:t>
      </w:r>
      <w:r w:rsidR="00B23A1C" w:rsidRPr="00B23A1C">
        <w:rPr>
          <w:lang w:val="en-AU"/>
        </w:rPr>
        <w:t xml:space="preserve">. </w:t>
      </w:r>
      <w:r w:rsidR="00B06B07" w:rsidRPr="00B23A1C">
        <w:rPr>
          <w:lang w:val="en-AU"/>
        </w:rPr>
        <w:t xml:space="preserve">Across the 17 trades academics operational as at 30 June, 2012, a total of 36% (758) students identified as Māori; 51% (1071) as Pākehā; and </w:t>
      </w:r>
      <w:r w:rsidR="00F0676E">
        <w:rPr>
          <w:lang w:val="en-AU"/>
        </w:rPr>
        <w:t xml:space="preserve">nine per cent </w:t>
      </w:r>
      <w:r w:rsidR="00B06B07" w:rsidRPr="00B23A1C">
        <w:rPr>
          <w:lang w:val="en-AU"/>
        </w:rPr>
        <w:t>(183) as Pasifika. Male students represented 70% of the total roll.</w:t>
      </w:r>
      <w:r w:rsidR="00B23A1C" w:rsidRPr="00B23A1C">
        <w:rPr>
          <w:lang w:val="en-AU"/>
        </w:rPr>
        <w:t xml:space="preserve"> </w:t>
      </w:r>
      <w:r w:rsidR="00B06B07" w:rsidRPr="00B23A1C">
        <w:rPr>
          <w:lang w:val="en-AU"/>
        </w:rPr>
        <w:t>There were a total of 24 operational service academies in 2012, up from 16 in 2011. This increased the total number of available places from 320 to 480.</w:t>
      </w:r>
    </w:p>
    <w:p w:rsidR="009C05F7" w:rsidRPr="00B06B07" w:rsidRDefault="009C05F7" w:rsidP="009C05F7">
      <w:pPr>
        <w:pStyle w:val="Heading2"/>
      </w:pPr>
      <w:bookmarkStart w:id="45" w:name="_Toc367361624"/>
      <w:r w:rsidRPr="00B06B07">
        <w:t xml:space="preserve">Implementing strategies to improve </w:t>
      </w:r>
      <w:bookmarkEnd w:id="39"/>
      <w:bookmarkEnd w:id="40"/>
      <w:bookmarkEnd w:id="41"/>
      <w:r w:rsidR="00980156">
        <w:t>Māori and Pasifika achievement</w:t>
      </w:r>
      <w:bookmarkEnd w:id="45"/>
    </w:p>
    <w:p w:rsidR="009C05F7" w:rsidRPr="00B06B07" w:rsidRDefault="009C05F7" w:rsidP="001653E4">
      <w:pPr>
        <w:pStyle w:val="BodyText"/>
      </w:pPr>
      <w:r w:rsidRPr="00B06B07">
        <w:t>The Government develops strategies to focus the education sector on priority areas. While these are not mandatory, schools are expected to take account of them in their practice. Two of the key strategies</w:t>
      </w:r>
      <w:r w:rsidR="00B06B07" w:rsidRPr="00B06B07">
        <w:t xml:space="preserve"> in place in 2012</w:t>
      </w:r>
      <w:r w:rsidR="000136A4" w:rsidRPr="00B06B07">
        <w:t xml:space="preserve"> </w:t>
      </w:r>
      <w:r w:rsidRPr="00B06B07">
        <w:t xml:space="preserve">were </w:t>
      </w:r>
      <w:r w:rsidRPr="00B06B07">
        <w:rPr>
          <w:i/>
        </w:rPr>
        <w:t xml:space="preserve">Ka Hikitia </w:t>
      </w:r>
      <w:r w:rsidR="00C97343">
        <w:rPr>
          <w:rFonts w:cs="Arial"/>
          <w:i/>
        </w:rPr>
        <w:t>―</w:t>
      </w:r>
      <w:r w:rsidRPr="00B06B07">
        <w:rPr>
          <w:i/>
        </w:rPr>
        <w:t xml:space="preserve"> Managing for Success: The M</w:t>
      </w:r>
      <w:r w:rsidR="0083136A" w:rsidRPr="00B06B07">
        <w:rPr>
          <w:i/>
        </w:rPr>
        <w:t>ā</w:t>
      </w:r>
      <w:r w:rsidRPr="00B06B07">
        <w:rPr>
          <w:i/>
        </w:rPr>
        <w:t xml:space="preserve">ori Education Strategy 2008–2012 </w:t>
      </w:r>
      <w:r w:rsidRPr="00B06B07">
        <w:t xml:space="preserve">(updated 2009) and the </w:t>
      </w:r>
      <w:r w:rsidRPr="00B06B07">
        <w:rPr>
          <w:i/>
        </w:rPr>
        <w:t>Pasifika Education Plan 2009</w:t>
      </w:r>
      <w:r w:rsidRPr="00B06B07" w:rsidDel="00570EBD">
        <w:rPr>
          <w:i/>
        </w:rPr>
        <w:t>–20</w:t>
      </w:r>
      <w:r w:rsidRPr="00B06B07">
        <w:rPr>
          <w:i/>
        </w:rPr>
        <w:t>12</w:t>
      </w:r>
      <w:r w:rsidRPr="00B06B07">
        <w:t>.</w:t>
      </w:r>
      <w:r w:rsidR="003D649A" w:rsidRPr="00B06B07">
        <w:t xml:space="preserve"> </w:t>
      </w:r>
    </w:p>
    <w:p w:rsidR="009C05F7" w:rsidRPr="000A4825" w:rsidRDefault="009C05F7" w:rsidP="002E741F">
      <w:pPr>
        <w:pStyle w:val="Heading3"/>
      </w:pPr>
      <w:bookmarkStart w:id="46" w:name="_Toc302401289"/>
      <w:r w:rsidRPr="000A4825">
        <w:t xml:space="preserve">Ka Hikitia </w:t>
      </w:r>
      <w:r w:rsidR="00C97343">
        <w:rPr>
          <w:rFonts w:cs="Times New Roman"/>
        </w:rPr>
        <w:t>―</w:t>
      </w:r>
      <w:r w:rsidRPr="000A4825">
        <w:t xml:space="preserve"> Managing for Success: The M</w:t>
      </w:r>
      <w:r w:rsidR="0083136A" w:rsidRPr="000A4825">
        <w:t>ā</w:t>
      </w:r>
      <w:r w:rsidRPr="000A4825">
        <w:t>ori Education Strategy 2008–2012</w:t>
      </w:r>
      <w:bookmarkEnd w:id="46"/>
    </w:p>
    <w:p w:rsidR="003D7C97" w:rsidRDefault="000E2B56" w:rsidP="003E548A">
      <w:pPr>
        <w:pStyle w:val="BodyText"/>
      </w:pPr>
      <w:r w:rsidRPr="000E2B56">
        <w:t>In 2012</w:t>
      </w:r>
      <w:r w:rsidR="009C05F7" w:rsidRPr="000E2B56">
        <w:t xml:space="preserve">, there were </w:t>
      </w:r>
      <w:r w:rsidRPr="000E2B56">
        <w:t xml:space="preserve">173,011 </w:t>
      </w:r>
      <w:r w:rsidR="009C05F7" w:rsidRPr="000E2B56">
        <w:t>students who identified as M</w:t>
      </w:r>
      <w:r w:rsidR="0083136A" w:rsidRPr="000E2B56">
        <w:t>ā</w:t>
      </w:r>
      <w:r w:rsidR="009C05F7" w:rsidRPr="000E2B56">
        <w:t>ori</w:t>
      </w:r>
      <w:r w:rsidR="007805C2" w:rsidRPr="000E2B56">
        <w:t>. This group makes up 23</w:t>
      </w:r>
      <w:r w:rsidR="009C05F7" w:rsidRPr="000E2B56">
        <w:t xml:space="preserve">% of </w:t>
      </w:r>
      <w:r w:rsidR="00254823" w:rsidRPr="000E2B56">
        <w:t>the total New Zealand school</w:t>
      </w:r>
      <w:r w:rsidR="00332DDD" w:rsidRPr="000E2B56">
        <w:t xml:space="preserve"> roll and is the second-</w:t>
      </w:r>
      <w:r w:rsidR="009C05F7" w:rsidRPr="000E2B56">
        <w:t>largest ethnic grouping of students, behind P</w:t>
      </w:r>
      <w:r w:rsidR="0083136A" w:rsidRPr="000E2B56">
        <w:t>ā</w:t>
      </w:r>
      <w:r w:rsidR="009C05F7" w:rsidRPr="000E2B56">
        <w:t>keh</w:t>
      </w:r>
      <w:r w:rsidR="0083136A" w:rsidRPr="000E2B56">
        <w:t>ā</w:t>
      </w:r>
      <w:r w:rsidR="009C05F7" w:rsidRPr="000E2B56">
        <w:t>/European.</w:t>
      </w:r>
      <w:r w:rsidR="003E548A">
        <w:t xml:space="preserve"> </w:t>
      </w:r>
    </w:p>
    <w:p w:rsidR="003D7C97" w:rsidRDefault="000A4825" w:rsidP="003D7C97">
      <w:pPr>
        <w:pStyle w:val="BodyText"/>
        <w:rPr>
          <w:rFonts w:cs="Arial"/>
        </w:rPr>
      </w:pPr>
      <w:r w:rsidRPr="000A4825">
        <w:rPr>
          <w:rFonts w:cs="Arial"/>
          <w:i/>
        </w:rPr>
        <w:t xml:space="preserve">Ka Hikitia </w:t>
      </w:r>
      <w:r w:rsidR="00C97343">
        <w:rPr>
          <w:rFonts w:ascii="Times New Roman" w:hAnsi="Times New Roman" w:cs="Times New Roman"/>
          <w:i/>
        </w:rPr>
        <w:t>―</w:t>
      </w:r>
      <w:r w:rsidRPr="000A4825">
        <w:rPr>
          <w:rFonts w:cs="Arial"/>
          <w:i/>
        </w:rPr>
        <w:t xml:space="preserve"> Managing for Success 2008</w:t>
      </w:r>
      <w:r w:rsidR="00C97343">
        <w:rPr>
          <w:rFonts w:cs="Arial"/>
          <w:i/>
        </w:rPr>
        <w:t>–</w:t>
      </w:r>
      <w:r w:rsidRPr="000A4825">
        <w:rPr>
          <w:rFonts w:cs="Arial"/>
          <w:i/>
        </w:rPr>
        <w:t>2012</w:t>
      </w:r>
      <w:r w:rsidR="007D1F9A">
        <w:rPr>
          <w:rFonts w:cs="Arial"/>
        </w:rPr>
        <w:t xml:space="preserve"> (Ministry of Education, 2008</w:t>
      </w:r>
      <w:r w:rsidR="005F0268">
        <w:rPr>
          <w:rFonts w:cs="Arial"/>
        </w:rPr>
        <w:t>a</w:t>
      </w:r>
      <w:r w:rsidR="007D1F9A">
        <w:rPr>
          <w:rFonts w:cs="Arial"/>
        </w:rPr>
        <w:t>)</w:t>
      </w:r>
      <w:r w:rsidRPr="000A4825">
        <w:rPr>
          <w:rFonts w:cs="Arial"/>
          <w:i/>
        </w:rPr>
        <w:t xml:space="preserve"> </w:t>
      </w:r>
      <w:r w:rsidRPr="000A4825">
        <w:rPr>
          <w:rFonts w:cs="Arial"/>
        </w:rPr>
        <w:t>has set the direction for improvi</w:t>
      </w:r>
      <w:r w:rsidR="006E72FB">
        <w:rPr>
          <w:rFonts w:cs="Arial"/>
        </w:rPr>
        <w:t>ng outcomes for and with Māori students</w:t>
      </w:r>
      <w:r w:rsidRPr="000A4825">
        <w:rPr>
          <w:rFonts w:cs="Arial"/>
        </w:rPr>
        <w:t>.</w:t>
      </w:r>
      <w:r w:rsidR="003D7C97">
        <w:rPr>
          <w:rFonts w:cs="Arial"/>
        </w:rPr>
        <w:t xml:space="preserve"> </w:t>
      </w:r>
      <w:r w:rsidR="003D7C97" w:rsidRPr="000A4825">
        <w:rPr>
          <w:rFonts w:cs="Arial"/>
        </w:rPr>
        <w:t xml:space="preserve">Some of the </w:t>
      </w:r>
      <w:r w:rsidR="003D7C97">
        <w:rPr>
          <w:rFonts w:cs="Arial"/>
        </w:rPr>
        <w:t>initiatives</w:t>
      </w:r>
      <w:r w:rsidR="003D7C97" w:rsidRPr="000A4825">
        <w:rPr>
          <w:rFonts w:cs="Arial"/>
        </w:rPr>
        <w:t xml:space="preserve"> currently underway to address the system’s un</w:t>
      </w:r>
      <w:r w:rsidR="00D53436">
        <w:rPr>
          <w:rFonts w:cs="Arial"/>
        </w:rPr>
        <w:t>derperformance for Māori student</w:t>
      </w:r>
      <w:r w:rsidR="003D7C97" w:rsidRPr="000A4825">
        <w:rPr>
          <w:rFonts w:cs="Arial"/>
        </w:rPr>
        <w:t xml:space="preserve">s include: </w:t>
      </w:r>
    </w:p>
    <w:p w:rsidR="003D7C97" w:rsidRPr="000A4825" w:rsidRDefault="003D7C97" w:rsidP="00043B3F">
      <w:pPr>
        <w:pStyle w:val="BodyTextNumbered"/>
      </w:pPr>
      <w:r w:rsidRPr="000A4825">
        <w:t>ensuring that schools’ planning and reporting focus effe</w:t>
      </w:r>
      <w:r w:rsidR="00D53436">
        <w:t>ctively on raising Māori student</w:t>
      </w:r>
      <w:r w:rsidRPr="000A4825">
        <w:t xml:space="preserve"> participation, engagement and achievement</w:t>
      </w:r>
      <w:r w:rsidR="00C97343">
        <w:t>,</w:t>
      </w:r>
    </w:p>
    <w:p w:rsidR="003D7C97" w:rsidRPr="000A4825" w:rsidRDefault="003D7C97" w:rsidP="00043B3F">
      <w:pPr>
        <w:pStyle w:val="BodyTextNumbered"/>
      </w:pPr>
      <w:r w:rsidRPr="000A4825">
        <w:t>better information provision to parents, families, whānau and iwi about achievement outcomes in Years 1-8 through the National Standards and Ngā Whanaketanga Rumaki Māori</w:t>
      </w:r>
      <w:r w:rsidR="00C97343">
        <w:t>,</w:t>
      </w:r>
    </w:p>
    <w:p w:rsidR="003D7C97" w:rsidRPr="00D14B97" w:rsidRDefault="003D7C97" w:rsidP="00066FE6">
      <w:pPr>
        <w:pStyle w:val="BodyTextNumberedlast"/>
      </w:pPr>
      <w:r w:rsidRPr="000A4825">
        <w:t>providing professional learning and development (PLD) that improves principals and teachers’ effect</w:t>
      </w:r>
      <w:r w:rsidR="00D53436">
        <w:t>iveness in raising Māori student</w:t>
      </w:r>
      <w:r w:rsidRPr="000A4825">
        <w:t xml:space="preserve"> achievement (such as effective ways of engaging with Māori and iwi) and better reporting on the value created through the provision of PLD.</w:t>
      </w:r>
    </w:p>
    <w:p w:rsidR="00D158B6" w:rsidRDefault="000A4825" w:rsidP="00571CBB">
      <w:pPr>
        <w:pStyle w:val="BodyText"/>
      </w:pPr>
      <w:r w:rsidRPr="000A4825">
        <w:t>Evaluation of the</w:t>
      </w:r>
      <w:r w:rsidR="009B260A">
        <w:t xml:space="preserve"> </w:t>
      </w:r>
      <w:r w:rsidR="009B260A" w:rsidRPr="00571CBB">
        <w:rPr>
          <w:rFonts w:eastAsia="Arial"/>
          <w:i/>
          <w:iCs/>
        </w:rPr>
        <w:t xml:space="preserve">Ka Hikitia </w:t>
      </w:r>
      <w:r w:rsidR="00C97343">
        <w:rPr>
          <w:rFonts w:eastAsia="Arial" w:cs="Arial"/>
          <w:i/>
          <w:iCs/>
        </w:rPr>
        <w:t>―</w:t>
      </w:r>
      <w:r w:rsidR="009B260A" w:rsidRPr="00571CBB">
        <w:rPr>
          <w:rFonts w:eastAsia="Arial"/>
          <w:i/>
          <w:iCs/>
        </w:rPr>
        <w:t xml:space="preserve"> Managing for Success</w:t>
      </w:r>
      <w:r w:rsidRPr="000A4825">
        <w:t xml:space="preserve"> strategy has shown that effectiveness has been limited by </w:t>
      </w:r>
      <w:r w:rsidR="006E72FB">
        <w:t>a</w:t>
      </w:r>
      <w:r w:rsidRPr="000A4825">
        <w:t xml:space="preserve"> lack </w:t>
      </w:r>
      <w:r w:rsidR="006A7DB0">
        <w:t xml:space="preserve">of </w:t>
      </w:r>
      <w:r w:rsidRPr="000A4825">
        <w:t>a coherent implementation approach.</w:t>
      </w:r>
      <w:r w:rsidR="00D158B6">
        <w:t xml:space="preserve"> A performance audit on the implementation of </w:t>
      </w:r>
      <w:r w:rsidR="00D158B6" w:rsidRPr="00571CBB">
        <w:rPr>
          <w:i/>
          <w:iCs/>
        </w:rPr>
        <w:t>Ka Hikitia</w:t>
      </w:r>
      <w:r w:rsidR="00EB1EC2">
        <w:t xml:space="preserve"> by the O</w:t>
      </w:r>
      <w:r w:rsidR="00D158B6">
        <w:t>ffice of the Auditor-General found that ineffective communication both within the Ministry and with schools meant that the implementation of Ka Hikitia was not given</w:t>
      </w:r>
      <w:r w:rsidR="00D14B97">
        <w:t xml:space="preserve"> its</w:t>
      </w:r>
      <w:r w:rsidR="00D158B6">
        <w:t xml:space="preserve"> intended priority and was not as effective as it could have been (Office of the Auditor-General, 2013).</w:t>
      </w:r>
      <w:r w:rsidR="00235FD2">
        <w:t xml:space="preserve"> </w:t>
      </w:r>
      <w:r w:rsidR="00D158B6">
        <w:t xml:space="preserve">The findings in relation to the </w:t>
      </w:r>
      <w:r w:rsidR="00D158B6" w:rsidRPr="00571CBB">
        <w:rPr>
          <w:i/>
          <w:iCs/>
        </w:rPr>
        <w:t>Ka Hikiti</w:t>
      </w:r>
      <w:r w:rsidR="00650CE9" w:rsidRPr="00571CBB">
        <w:rPr>
          <w:i/>
          <w:iCs/>
        </w:rPr>
        <w:t>a</w:t>
      </w:r>
      <w:r w:rsidR="00650CE9">
        <w:t xml:space="preserve"> strategy itself were positive</w:t>
      </w:r>
      <w:r w:rsidR="00D158B6">
        <w:t xml:space="preserve"> however, noting that </w:t>
      </w:r>
      <w:r w:rsidR="00D158B6" w:rsidRPr="00571CBB">
        <w:rPr>
          <w:i/>
          <w:iCs/>
        </w:rPr>
        <w:t>Ka Hikitia</w:t>
      </w:r>
      <w:r w:rsidR="00D158B6">
        <w:t xml:space="preserve"> reflects the interest</w:t>
      </w:r>
      <w:r w:rsidR="00650CE9">
        <w:t>s and priorities of Māori well</w:t>
      </w:r>
      <w:r w:rsidR="00D158B6">
        <w:t xml:space="preserve"> and is based on sound educational resea</w:t>
      </w:r>
      <w:r w:rsidR="004D0EF6">
        <w:t>rch and reasoning. It was also noted</w:t>
      </w:r>
      <w:r w:rsidR="00D158B6">
        <w:t xml:space="preserve"> that </w:t>
      </w:r>
      <w:r w:rsidR="00D158B6" w:rsidRPr="00571CBB">
        <w:rPr>
          <w:i/>
          <w:iCs/>
        </w:rPr>
        <w:t>Ka Hikitia</w:t>
      </w:r>
      <w:r w:rsidR="00D158B6">
        <w:t xml:space="preserve"> had clearly contributed to schools strengthening their focus on improving outcomes for Māori students.</w:t>
      </w:r>
    </w:p>
    <w:p w:rsidR="000A4825" w:rsidRDefault="004D0EF6" w:rsidP="00571CBB">
      <w:pPr>
        <w:pStyle w:val="BodyText"/>
      </w:pPr>
      <w:r>
        <w:t>In response to the hindered</w:t>
      </w:r>
      <w:r w:rsidR="00D158B6">
        <w:t xml:space="preserve"> effectiveness of </w:t>
      </w:r>
      <w:r w:rsidR="00D158B6" w:rsidRPr="00571CBB">
        <w:rPr>
          <w:i/>
          <w:iCs/>
        </w:rPr>
        <w:t xml:space="preserve">Ka Hikitia </w:t>
      </w:r>
      <w:r w:rsidR="00C97343">
        <w:rPr>
          <w:rFonts w:cs="Arial"/>
          <w:i/>
          <w:iCs/>
        </w:rPr>
        <w:t>―</w:t>
      </w:r>
      <w:r w:rsidR="00D158B6" w:rsidRPr="00571CBB">
        <w:rPr>
          <w:i/>
          <w:iCs/>
        </w:rPr>
        <w:t xml:space="preserve"> Managing for Success</w:t>
      </w:r>
      <w:r w:rsidR="006C5D78">
        <w:t xml:space="preserve">, an updated strategy plan </w:t>
      </w:r>
      <w:r>
        <w:t>was</w:t>
      </w:r>
      <w:r w:rsidR="006C5D78">
        <w:t xml:space="preserve"> in development throughout 2012. </w:t>
      </w:r>
      <w:r w:rsidR="000A4825" w:rsidRPr="00571CBB">
        <w:rPr>
          <w:rFonts w:eastAsia="Arial"/>
          <w:i/>
          <w:iCs/>
        </w:rPr>
        <w:t xml:space="preserve">Ka Hikitia </w:t>
      </w:r>
      <w:r w:rsidR="00C97343">
        <w:rPr>
          <w:rFonts w:eastAsia="Arial" w:cs="Arial"/>
          <w:i/>
          <w:iCs/>
        </w:rPr>
        <w:t>―</w:t>
      </w:r>
      <w:r w:rsidR="000A4825" w:rsidRPr="00571CBB">
        <w:rPr>
          <w:rFonts w:eastAsia="Arial"/>
          <w:i/>
          <w:iCs/>
        </w:rPr>
        <w:t xml:space="preserve"> Accelerating Success 2013-2017</w:t>
      </w:r>
      <w:r w:rsidR="006C5D78" w:rsidRPr="00571CBB">
        <w:rPr>
          <w:rFonts w:eastAsia="Arial"/>
          <w:i/>
          <w:iCs/>
        </w:rPr>
        <w:t xml:space="preserve"> </w:t>
      </w:r>
      <w:r w:rsidR="000A4825" w:rsidRPr="000A4825">
        <w:rPr>
          <w:rFonts w:eastAsia="Arial"/>
        </w:rPr>
        <w:t>will</w:t>
      </w:r>
      <w:r>
        <w:rPr>
          <w:rFonts w:eastAsia="Arial"/>
        </w:rPr>
        <w:t xml:space="preserve"> build on the success </w:t>
      </w:r>
      <w:r w:rsidR="000A4825" w:rsidRPr="000A4825">
        <w:rPr>
          <w:rFonts w:eastAsia="Arial"/>
        </w:rPr>
        <w:t xml:space="preserve">seen through </w:t>
      </w:r>
      <w:r w:rsidR="000A4825" w:rsidRPr="00571CBB">
        <w:rPr>
          <w:rFonts w:eastAsia="Arial"/>
          <w:i/>
          <w:iCs/>
        </w:rPr>
        <w:t xml:space="preserve">Ka Hikitia </w:t>
      </w:r>
      <w:r w:rsidR="00C97343">
        <w:rPr>
          <w:rFonts w:eastAsia="Arial" w:cs="Arial"/>
          <w:i/>
          <w:iCs/>
        </w:rPr>
        <w:t>―</w:t>
      </w:r>
      <w:r w:rsidR="000A4825" w:rsidRPr="00571CBB">
        <w:rPr>
          <w:rFonts w:eastAsia="Arial"/>
          <w:i/>
          <w:iCs/>
        </w:rPr>
        <w:t>Managing for Success</w:t>
      </w:r>
      <w:r w:rsidR="000A4825" w:rsidRPr="000A4825">
        <w:rPr>
          <w:rFonts w:eastAsia="Arial"/>
        </w:rPr>
        <w:t xml:space="preserve"> and</w:t>
      </w:r>
      <w:r w:rsidR="000A4825" w:rsidRPr="000A4825">
        <w:t xml:space="preserve"> has a stronger focus on successfully putting the strategy into action with all those who play a role</w:t>
      </w:r>
      <w:r w:rsidR="00803ABE">
        <w:t xml:space="preserve"> in raising Māori achievement. </w:t>
      </w:r>
      <w:r w:rsidR="000A4825" w:rsidRPr="000A4825">
        <w:t xml:space="preserve">The vision for </w:t>
      </w:r>
      <w:r w:rsidR="000A4825" w:rsidRPr="00571CBB">
        <w:rPr>
          <w:i/>
          <w:iCs/>
        </w:rPr>
        <w:t xml:space="preserve">Ka Hikitia </w:t>
      </w:r>
      <w:r w:rsidR="00C97343">
        <w:rPr>
          <w:rFonts w:cs="Arial"/>
          <w:i/>
          <w:iCs/>
        </w:rPr>
        <w:t>―</w:t>
      </w:r>
      <w:r w:rsidR="000A4825" w:rsidRPr="00571CBB">
        <w:rPr>
          <w:i/>
          <w:iCs/>
        </w:rPr>
        <w:t xml:space="preserve"> Accelerating Success </w:t>
      </w:r>
      <w:r w:rsidR="000A4825" w:rsidRPr="000A4825">
        <w:t>will remain</w:t>
      </w:r>
      <w:r w:rsidR="000A4825" w:rsidRPr="00571CBB">
        <w:rPr>
          <w:i/>
          <w:iCs/>
        </w:rPr>
        <w:t xml:space="preserve"> </w:t>
      </w:r>
      <w:r w:rsidR="000A4825" w:rsidRPr="000A4825">
        <w:t>Māori enjoying and achieving education success as Māori. T</w:t>
      </w:r>
      <w:r w:rsidR="00D53436">
        <w:t>his means ensuring Māori student</w:t>
      </w:r>
      <w:r w:rsidR="000A4825" w:rsidRPr="000A4825">
        <w:t>s’ identity, language and culture are valued and meaningfully integrated into their teaching and learning experiences.</w:t>
      </w:r>
    </w:p>
    <w:p w:rsidR="003D7C97" w:rsidRDefault="003D7C97" w:rsidP="00043B3F">
      <w:pPr>
        <w:pStyle w:val="Heading4"/>
      </w:pPr>
      <w:r>
        <w:t xml:space="preserve">Me Kōrero </w:t>
      </w:r>
      <w:r w:rsidR="00C97343">
        <w:rPr>
          <w:rFonts w:cs="Arial"/>
        </w:rPr>
        <w:t>―</w:t>
      </w:r>
      <w:r>
        <w:t xml:space="preserve"> Let’s Talk!</w:t>
      </w:r>
    </w:p>
    <w:p w:rsidR="003D7C97" w:rsidRPr="003C293C" w:rsidRDefault="003D7C97" w:rsidP="00571CBB">
      <w:pPr>
        <w:pStyle w:val="BodyText"/>
      </w:pPr>
      <w:r w:rsidRPr="000A4825">
        <w:t xml:space="preserve">As a part of the </w:t>
      </w:r>
      <w:r w:rsidRPr="00571CBB">
        <w:rPr>
          <w:i/>
          <w:iCs/>
        </w:rPr>
        <w:t>Ka Hikitia</w:t>
      </w:r>
      <w:r w:rsidRPr="000A4825">
        <w:t xml:space="preserve"> update, the Ministry released an engagement document </w:t>
      </w:r>
      <w:r w:rsidRPr="00571CBB">
        <w:rPr>
          <w:i/>
          <w:iCs/>
        </w:rPr>
        <w:t>Me Korero</w:t>
      </w:r>
      <w:r w:rsidR="00C97343">
        <w:rPr>
          <w:i/>
          <w:iCs/>
        </w:rPr>
        <w:t xml:space="preserve"> </w:t>
      </w:r>
      <w:r w:rsidR="00C97343">
        <w:rPr>
          <w:rFonts w:cs="Arial"/>
          <w:i/>
          <w:iCs/>
        </w:rPr>
        <w:t>―</w:t>
      </w:r>
      <w:r w:rsidRPr="00571CBB">
        <w:rPr>
          <w:i/>
          <w:iCs/>
        </w:rPr>
        <w:t xml:space="preserve"> Let’s Talk! </w:t>
      </w:r>
      <w:r w:rsidRPr="000A4825">
        <w:t>in 2012</w:t>
      </w:r>
      <w:r w:rsidRPr="00571CBB">
        <w:rPr>
          <w:i/>
          <w:iCs/>
        </w:rPr>
        <w:t xml:space="preserve">, </w:t>
      </w:r>
      <w:r w:rsidRPr="003E548A">
        <w:t>which</w:t>
      </w:r>
      <w:r w:rsidRPr="000A4825">
        <w:t xml:space="preserve"> sought ideas and feedback f</w:t>
      </w:r>
      <w:r>
        <w:t>rom external partners, as well as the general public</w:t>
      </w:r>
      <w:r w:rsidR="001129B1">
        <w:t>, with results being released in 2013 (Ministry of Education, 2013a)</w:t>
      </w:r>
      <w:r>
        <w:t xml:space="preserve">. </w:t>
      </w:r>
      <w:r w:rsidR="003C293C">
        <w:t xml:space="preserve">In total, 584 feedback forms were received, largely from parents and whānau (44%) and education professionals (35%). Feedback was also received from Māori students (15%), tertiary education professionals (3.7%), iwi (0.8%) and community/businesses/non-government organisations (1.5%). Overall, responses indicated that parents, whānau and iwi want to be actively involved in their children’s education, but greater efforts need to be made to raise awareness of </w:t>
      </w:r>
      <w:r w:rsidR="003C293C" w:rsidRPr="00571CBB">
        <w:rPr>
          <w:i/>
          <w:iCs/>
        </w:rPr>
        <w:t>Ka Hikitia</w:t>
      </w:r>
      <w:r w:rsidR="003C293C">
        <w:t xml:space="preserve"> and to provide information, advice and supports to enable people to make the required changes. While there was a strong support for te reo Māori, feedback suggested that challenges still remain regarding the implementation of </w:t>
      </w:r>
      <w:r w:rsidR="003C293C" w:rsidRPr="00571CBB">
        <w:rPr>
          <w:i/>
          <w:iCs/>
        </w:rPr>
        <w:t>Ka Hikitia</w:t>
      </w:r>
      <w:r w:rsidR="003C293C">
        <w:t xml:space="preserve"> and the access for Māori students to early childhood education, tertiary education and Māori medium education.</w:t>
      </w:r>
    </w:p>
    <w:p w:rsidR="006C5D78" w:rsidRPr="006C5D78" w:rsidRDefault="006C5D78" w:rsidP="00043B3F">
      <w:pPr>
        <w:pStyle w:val="Heading4"/>
      </w:pPr>
      <w:r>
        <w:t xml:space="preserve">Tau Mai Te Reo </w:t>
      </w:r>
      <w:r w:rsidR="00C97343">
        <w:rPr>
          <w:rFonts w:cs="Arial"/>
        </w:rPr>
        <w:t>―</w:t>
      </w:r>
      <w:r>
        <w:t xml:space="preserve"> the Māori Language in Education Strategy 2013-2017</w:t>
      </w:r>
    </w:p>
    <w:p w:rsidR="000A4825" w:rsidRPr="006C5D78" w:rsidRDefault="006C5D78" w:rsidP="00571CBB">
      <w:pPr>
        <w:pStyle w:val="BodyText"/>
      </w:pPr>
      <w:r w:rsidRPr="000A4825">
        <w:t xml:space="preserve">Building on the Māori language in education elements of </w:t>
      </w:r>
      <w:r w:rsidRPr="00571CBB">
        <w:rPr>
          <w:i/>
          <w:iCs/>
        </w:rPr>
        <w:t xml:space="preserve">Ka Hikitia </w:t>
      </w:r>
      <w:r w:rsidR="00C97343">
        <w:rPr>
          <w:rFonts w:cs="Arial"/>
          <w:i/>
          <w:iCs/>
        </w:rPr>
        <w:t>―</w:t>
      </w:r>
      <w:r w:rsidRPr="00571CBB">
        <w:rPr>
          <w:i/>
          <w:iCs/>
        </w:rPr>
        <w:t xml:space="preserve"> Accelerating Success</w:t>
      </w:r>
      <w:r w:rsidRPr="000A4825">
        <w:t xml:space="preserve"> is</w:t>
      </w:r>
      <w:r w:rsidRPr="00571CBB">
        <w:rPr>
          <w:i/>
          <w:iCs/>
        </w:rPr>
        <w:t xml:space="preserve"> Tau Mai Te Reo</w:t>
      </w:r>
      <w:r w:rsidRPr="000A4825">
        <w:t xml:space="preserve"> </w:t>
      </w:r>
      <w:r w:rsidR="00C97343">
        <w:rPr>
          <w:rFonts w:cs="Arial"/>
        </w:rPr>
        <w:t>―</w:t>
      </w:r>
      <w:r w:rsidRPr="000A4825">
        <w:t xml:space="preserve"> the Māori Language in Education Strategy 2013-2017. </w:t>
      </w:r>
      <w:r w:rsidRPr="00571CBB">
        <w:rPr>
          <w:i/>
          <w:iCs/>
        </w:rPr>
        <w:t>Tau Mai Te Reo</w:t>
      </w:r>
      <w:r w:rsidRPr="000A4825">
        <w:t xml:space="preserve"> expresses the Ministry of Education and education sector agencies</w:t>
      </w:r>
      <w:r w:rsidR="00B0423A">
        <w:t>’</w:t>
      </w:r>
      <w:r w:rsidRPr="000A4825">
        <w:t xml:space="preserve"> responsibilities relating to Māori language in terms of the Treaty of Waitangi, legislation and </w:t>
      </w:r>
      <w:r w:rsidRPr="00571CBB">
        <w:rPr>
          <w:i/>
          <w:iCs/>
        </w:rPr>
        <w:t>Te Rautaki Reo Māori</w:t>
      </w:r>
      <w:r w:rsidRPr="000A4825">
        <w:t xml:space="preserve"> </w:t>
      </w:r>
      <w:r w:rsidR="00C97343">
        <w:rPr>
          <w:rFonts w:cs="Arial"/>
        </w:rPr>
        <w:t>―</w:t>
      </w:r>
      <w:r w:rsidRPr="000A4825">
        <w:t xml:space="preserve"> the Government’s Māori Language Strategy.</w:t>
      </w:r>
      <w:r w:rsidR="00235FD2">
        <w:t xml:space="preserve"> </w:t>
      </w:r>
      <w:r w:rsidRPr="000A4825">
        <w:t>Both strategies will be publicly released in 2013.</w:t>
      </w:r>
    </w:p>
    <w:p w:rsidR="005D5A36" w:rsidRPr="00043B3F" w:rsidRDefault="005D5A36" w:rsidP="00043B3F">
      <w:pPr>
        <w:pStyle w:val="Heading4"/>
      </w:pPr>
      <w:r w:rsidRPr="00043B3F">
        <w:t>Iwi partnerships</w:t>
      </w:r>
      <w:bookmarkEnd w:id="42"/>
    </w:p>
    <w:p w:rsidR="00921511" w:rsidRPr="002200EA" w:rsidRDefault="00921511" w:rsidP="002E741F">
      <w:pPr>
        <w:pStyle w:val="BodyText"/>
        <w:rPr>
          <w:lang w:val="en-AU"/>
        </w:rPr>
      </w:pPr>
      <w:r w:rsidRPr="002200EA">
        <w:rPr>
          <w:lang w:val="en-AU"/>
        </w:rPr>
        <w:t>The Ministry has been engaging in education relationships with iwi and M</w:t>
      </w:r>
      <w:r w:rsidR="0083136A" w:rsidRPr="002200EA">
        <w:rPr>
          <w:lang w:val="en-AU"/>
        </w:rPr>
        <w:t>ā</w:t>
      </w:r>
      <w:r w:rsidRPr="002200EA">
        <w:rPr>
          <w:lang w:val="en-AU"/>
        </w:rPr>
        <w:t>ori organisations for more than a decade on matters relating to M</w:t>
      </w:r>
      <w:r w:rsidR="0083136A" w:rsidRPr="002200EA">
        <w:rPr>
          <w:lang w:val="en-AU"/>
        </w:rPr>
        <w:t>ā</w:t>
      </w:r>
      <w:r w:rsidRPr="002200EA">
        <w:rPr>
          <w:lang w:val="en-AU"/>
        </w:rPr>
        <w:t>ori education, and is committed to working for and with iwi to develop shared investments that give effect to the outcome of raising M</w:t>
      </w:r>
      <w:r w:rsidR="0083136A" w:rsidRPr="002200EA">
        <w:rPr>
          <w:lang w:val="en-AU"/>
        </w:rPr>
        <w:t>ā</w:t>
      </w:r>
      <w:r w:rsidRPr="002200EA">
        <w:rPr>
          <w:lang w:val="en-AU"/>
        </w:rPr>
        <w:t xml:space="preserve">ori </w:t>
      </w:r>
      <w:r w:rsidR="00D53436">
        <w:rPr>
          <w:lang w:val="en-AU"/>
        </w:rPr>
        <w:t>student</w:t>
      </w:r>
      <w:r w:rsidR="00CB0F94">
        <w:rPr>
          <w:lang w:val="en-AU"/>
        </w:rPr>
        <w:t xml:space="preserve"> achievement in schools. In 2011, a guide to developing ex</w:t>
      </w:r>
      <w:r w:rsidR="00B668CC">
        <w:rPr>
          <w:lang w:val="en-AU"/>
        </w:rPr>
        <w:t xml:space="preserve">cellent relationships with iwi </w:t>
      </w:r>
      <w:r w:rsidR="00CB0F94">
        <w:rPr>
          <w:lang w:val="en-AU"/>
        </w:rPr>
        <w:t xml:space="preserve">(Whakapūmautia, Papakōwhaitia, Tau Ana </w:t>
      </w:r>
      <w:r w:rsidR="00C97343">
        <w:rPr>
          <w:rFonts w:cs="Arial"/>
          <w:lang w:val="en-AU"/>
        </w:rPr>
        <w:t>―</w:t>
      </w:r>
      <w:r w:rsidR="00CB0F94">
        <w:rPr>
          <w:lang w:val="en-AU"/>
        </w:rPr>
        <w:t xml:space="preserve"> Grasp, Embrace, Realise) was implemented</w:t>
      </w:r>
      <w:r w:rsidR="00D7277E">
        <w:rPr>
          <w:lang w:val="en-AU"/>
        </w:rPr>
        <w:t xml:space="preserve"> by the Ministry</w:t>
      </w:r>
      <w:r w:rsidR="00CB0F94">
        <w:rPr>
          <w:lang w:val="en-AU"/>
        </w:rPr>
        <w:t xml:space="preserve"> to support the further development of </w:t>
      </w:r>
      <w:r w:rsidR="00B668CC">
        <w:rPr>
          <w:lang w:val="en-AU"/>
        </w:rPr>
        <w:t xml:space="preserve">new and existing </w:t>
      </w:r>
      <w:r w:rsidR="00CB0F94">
        <w:rPr>
          <w:lang w:val="en-AU"/>
        </w:rPr>
        <w:t>iwi relationships.</w:t>
      </w:r>
    </w:p>
    <w:p w:rsidR="005F4802" w:rsidRPr="0060013A" w:rsidRDefault="006455A3" w:rsidP="002E741F">
      <w:pPr>
        <w:pStyle w:val="BodyText"/>
        <w:rPr>
          <w:szCs w:val="19"/>
          <w:highlight w:val="yellow"/>
        </w:rPr>
      </w:pPr>
      <w:r w:rsidRPr="00CB0F94">
        <w:rPr>
          <w:lang w:val="en-AU"/>
        </w:rPr>
        <w:t xml:space="preserve">Since the release of </w:t>
      </w:r>
      <w:r w:rsidRPr="00CB0F94">
        <w:rPr>
          <w:i/>
          <w:lang w:val="en-AU"/>
        </w:rPr>
        <w:t xml:space="preserve">Ka Hikitia </w:t>
      </w:r>
      <w:r w:rsidR="00C97343">
        <w:rPr>
          <w:rFonts w:cs="Arial"/>
          <w:i/>
          <w:lang w:val="en-AU"/>
        </w:rPr>
        <w:t>―</w:t>
      </w:r>
      <w:r w:rsidRPr="00CB0F94">
        <w:rPr>
          <w:i/>
          <w:lang w:val="en-AU"/>
        </w:rPr>
        <w:t xml:space="preserve"> Managing for Success, </w:t>
      </w:r>
      <w:r w:rsidRPr="00CB0F94">
        <w:rPr>
          <w:lang w:val="en-AU"/>
        </w:rPr>
        <w:t xml:space="preserve">the number of education relationships the Ministry has with iwi has </w:t>
      </w:r>
      <w:r w:rsidR="00B0423A">
        <w:rPr>
          <w:lang w:val="en-AU"/>
        </w:rPr>
        <w:t>increased from 14 in 2007</w:t>
      </w:r>
      <w:r w:rsidR="00EB1208" w:rsidRPr="00CB0F94">
        <w:rPr>
          <w:lang w:val="en-AU"/>
        </w:rPr>
        <w:t xml:space="preserve"> </w:t>
      </w:r>
      <w:r w:rsidR="00EB1208" w:rsidRPr="00D7277E">
        <w:rPr>
          <w:lang w:val="en-AU"/>
        </w:rPr>
        <w:t xml:space="preserve">to </w:t>
      </w:r>
      <w:r w:rsidR="00D7277E" w:rsidRPr="00D7277E">
        <w:rPr>
          <w:lang w:val="en-AU"/>
        </w:rPr>
        <w:t>64</w:t>
      </w:r>
      <w:r w:rsidR="00EB1208" w:rsidRPr="00D7277E">
        <w:rPr>
          <w:lang w:val="en-AU"/>
        </w:rPr>
        <w:t xml:space="preserve"> in </w:t>
      </w:r>
      <w:r w:rsidR="00D7277E" w:rsidRPr="00D7277E">
        <w:rPr>
          <w:lang w:val="en-AU"/>
        </w:rPr>
        <w:t>May 2013</w:t>
      </w:r>
      <w:r w:rsidR="00B92979" w:rsidRPr="00D7277E">
        <w:rPr>
          <w:lang w:val="en-AU"/>
        </w:rPr>
        <w:t xml:space="preserve">. </w:t>
      </w:r>
    </w:p>
    <w:p w:rsidR="006455A3" w:rsidRPr="0060013A" w:rsidRDefault="006455A3" w:rsidP="002E741F">
      <w:pPr>
        <w:pStyle w:val="BodyText"/>
        <w:rPr>
          <w:highlight w:val="yellow"/>
          <w:lang w:val="en-AU"/>
        </w:rPr>
      </w:pPr>
      <w:r w:rsidRPr="002200EA">
        <w:rPr>
          <w:lang w:val="en-AU"/>
        </w:rPr>
        <w:t xml:space="preserve">Iwi that have established relationships </w:t>
      </w:r>
      <w:r w:rsidR="00BA7C60" w:rsidRPr="002200EA">
        <w:rPr>
          <w:lang w:val="en-AU"/>
        </w:rPr>
        <w:t xml:space="preserve">with the Ministry </w:t>
      </w:r>
      <w:r w:rsidRPr="002200EA">
        <w:rPr>
          <w:lang w:val="en-AU"/>
        </w:rPr>
        <w:t>are carrying out work programmes that reflect the</w:t>
      </w:r>
      <w:r w:rsidR="00BA7C60" w:rsidRPr="002200EA">
        <w:rPr>
          <w:lang w:val="en-AU"/>
        </w:rPr>
        <w:t>ir education</w:t>
      </w:r>
      <w:r w:rsidRPr="002200EA">
        <w:rPr>
          <w:lang w:val="en-AU"/>
        </w:rPr>
        <w:t xml:space="preserve"> aspirations</w:t>
      </w:r>
      <w:r w:rsidR="00B92979" w:rsidRPr="002200EA">
        <w:rPr>
          <w:lang w:val="en-AU"/>
        </w:rPr>
        <w:t xml:space="preserve">. </w:t>
      </w:r>
      <w:r w:rsidR="00BA7C60" w:rsidRPr="002200EA">
        <w:rPr>
          <w:lang w:val="en-AU"/>
        </w:rPr>
        <w:t xml:space="preserve">For many iwi, this includes a strong focus on the role that education plays in the revitalisation and sustainability of te reo Māori. </w:t>
      </w:r>
      <w:r w:rsidRPr="002200EA">
        <w:rPr>
          <w:lang w:val="en-AU"/>
        </w:rPr>
        <w:t>They are doing this in different ways, including by developing iwi curriculum and associated learning materials, incorporating their identity, language and culture into the school curriculum or operating early childhood services that convey their unique iwi identity</w:t>
      </w:r>
      <w:r w:rsidR="00B92979" w:rsidRPr="002200EA">
        <w:rPr>
          <w:lang w:val="en-AU"/>
        </w:rPr>
        <w:t xml:space="preserve">. </w:t>
      </w:r>
    </w:p>
    <w:p w:rsidR="00133623" w:rsidRPr="004309D4" w:rsidRDefault="00133623" w:rsidP="002E741F">
      <w:pPr>
        <w:pStyle w:val="Heading3"/>
      </w:pPr>
      <w:bookmarkStart w:id="47" w:name="_Toc300319651"/>
      <w:r w:rsidRPr="004309D4">
        <w:t>Pasifika Education Plan 2009</w:t>
      </w:r>
      <w:r w:rsidRPr="004309D4" w:rsidDel="00570EBD">
        <w:t>–</w:t>
      </w:r>
      <w:r w:rsidRPr="004309D4">
        <w:t>2012</w:t>
      </w:r>
      <w:bookmarkEnd w:id="47"/>
    </w:p>
    <w:p w:rsidR="000F5C3F" w:rsidRPr="004309D4" w:rsidRDefault="00EB1EC2" w:rsidP="002E741F">
      <w:pPr>
        <w:pStyle w:val="BodyText"/>
      </w:pPr>
      <w:r>
        <w:t>As at July 1,</w:t>
      </w:r>
      <w:r w:rsidR="004309D4" w:rsidRPr="004309D4">
        <w:t xml:space="preserve"> 2012</w:t>
      </w:r>
      <w:r w:rsidR="005D5A36" w:rsidRPr="004309D4">
        <w:t xml:space="preserve">, </w:t>
      </w:r>
      <w:r w:rsidR="004309D4" w:rsidRPr="004309D4">
        <w:t>75,000</w:t>
      </w:r>
      <w:r w:rsidR="00817B3F" w:rsidRPr="004309D4">
        <w:t xml:space="preserve"> </w:t>
      </w:r>
      <w:r w:rsidR="005D5A36" w:rsidRPr="004309D4">
        <w:t>(or 10</w:t>
      </w:r>
      <w:r w:rsidR="00A24639" w:rsidRPr="004309D4">
        <w:t>%</w:t>
      </w:r>
      <w:r w:rsidR="005D5A36" w:rsidRPr="004309D4">
        <w:t xml:space="preserve">) students </w:t>
      </w:r>
      <w:r w:rsidR="006B68E2" w:rsidRPr="004309D4">
        <w:t>were c</w:t>
      </w:r>
      <w:r w:rsidR="002264B6" w:rsidRPr="004309D4">
        <w:t>lassified as</w:t>
      </w:r>
      <w:r w:rsidR="005D5A36" w:rsidRPr="004309D4">
        <w:t xml:space="preserve"> Pasifika according to prioritised collection of ethnicity information.</w:t>
      </w:r>
      <w:r w:rsidR="00D52AA1" w:rsidRPr="004309D4">
        <w:t xml:space="preserve"> </w:t>
      </w:r>
      <w:r w:rsidR="005D5A36" w:rsidRPr="004309D4">
        <w:t>In 2009</w:t>
      </w:r>
      <w:r w:rsidR="00A70AA2">
        <w:t>, the Government released the</w:t>
      </w:r>
      <w:r w:rsidR="005D5A36" w:rsidRPr="004309D4">
        <w:t xml:space="preserve"> </w:t>
      </w:r>
      <w:r w:rsidR="005D5A36" w:rsidRPr="004309D4">
        <w:rPr>
          <w:i/>
        </w:rPr>
        <w:t>Pasifika Education Plan 2009–2012</w:t>
      </w:r>
      <w:r w:rsidR="00367771" w:rsidRPr="004309D4">
        <w:t xml:space="preserve"> (Ministry of Education, 2009)</w:t>
      </w:r>
      <w:r w:rsidR="005D5A36" w:rsidRPr="004309D4">
        <w:t xml:space="preserve"> to focus activity on what will make the most difference for improving education</w:t>
      </w:r>
      <w:r w:rsidR="00A377F9" w:rsidRPr="004309D4">
        <w:t>al</w:t>
      </w:r>
      <w:r w:rsidR="005D5A36" w:rsidRPr="004309D4">
        <w:t xml:space="preserve"> outcomes for Pasifika </w:t>
      </w:r>
      <w:r w:rsidR="00A70AA2">
        <w:t>students</w:t>
      </w:r>
      <w:r w:rsidR="00254823" w:rsidRPr="004309D4">
        <w:t>.</w:t>
      </w:r>
    </w:p>
    <w:p w:rsidR="005D5A36" w:rsidRPr="004309D4" w:rsidRDefault="005D5A36" w:rsidP="002E741F">
      <w:pPr>
        <w:pStyle w:val="BodyText"/>
      </w:pPr>
      <w:r w:rsidRPr="004309D4">
        <w:t xml:space="preserve">The </w:t>
      </w:r>
      <w:r w:rsidR="000D0977" w:rsidRPr="004309D4">
        <w:t>P</w:t>
      </w:r>
      <w:r w:rsidR="004309D4" w:rsidRPr="004309D4">
        <w:t>lan sought</w:t>
      </w:r>
      <w:r w:rsidRPr="004309D4">
        <w:t xml:space="preserve"> to </w:t>
      </w:r>
      <w:r w:rsidR="00254823" w:rsidRPr="004309D4">
        <w:t>focus</w:t>
      </w:r>
      <w:r w:rsidRPr="004309D4">
        <w:t xml:space="preserve"> action on areas </w:t>
      </w:r>
      <w:r w:rsidR="00254823" w:rsidRPr="004309D4">
        <w:t>t</w:t>
      </w:r>
      <w:r w:rsidRPr="004309D4">
        <w:t xml:space="preserve">hat </w:t>
      </w:r>
      <w:r w:rsidR="004309D4" w:rsidRPr="004309D4">
        <w:t xml:space="preserve">would </w:t>
      </w:r>
      <w:r w:rsidRPr="004309D4">
        <w:t xml:space="preserve">make the most difference for Pasifika </w:t>
      </w:r>
      <w:r w:rsidR="00D53436">
        <w:t>student</w:t>
      </w:r>
      <w:r w:rsidR="00AB675A" w:rsidRPr="004309D4">
        <w:t>s</w:t>
      </w:r>
      <w:r w:rsidR="00254823" w:rsidRPr="004309D4">
        <w:t>:</w:t>
      </w:r>
    </w:p>
    <w:p w:rsidR="005D5A36" w:rsidRPr="004309D4" w:rsidRDefault="00D52AA1" w:rsidP="004F027F">
      <w:pPr>
        <w:pStyle w:val="BodyTextBullets"/>
      </w:pPr>
      <w:r w:rsidRPr="004309D4">
        <w:t>b</w:t>
      </w:r>
      <w:r w:rsidR="005D5A36" w:rsidRPr="004309D4">
        <w:t>uilding strong learning foundations</w:t>
      </w:r>
    </w:p>
    <w:p w:rsidR="005D5A36" w:rsidRPr="004309D4" w:rsidRDefault="00D52AA1" w:rsidP="004F027F">
      <w:pPr>
        <w:pStyle w:val="BodyTextBullets"/>
      </w:pPr>
      <w:r w:rsidRPr="004309D4">
        <w:t>l</w:t>
      </w:r>
      <w:r w:rsidR="005D5A36" w:rsidRPr="004309D4">
        <w:t xml:space="preserve">ifting literacy and numeracy achievement by using </w:t>
      </w:r>
      <w:r w:rsidRPr="004309D4">
        <w:t xml:space="preserve">the </w:t>
      </w:r>
      <w:r w:rsidR="005D5A36" w:rsidRPr="004309D4">
        <w:t>National Standards to improve teaching and plain</w:t>
      </w:r>
      <w:r w:rsidRPr="004309D4">
        <w:t>-</w:t>
      </w:r>
      <w:r w:rsidR="005D5A36" w:rsidRPr="004309D4">
        <w:t>language reporting to parents</w:t>
      </w:r>
    </w:p>
    <w:p w:rsidR="007308B2" w:rsidRPr="004309D4" w:rsidRDefault="00D52AA1" w:rsidP="007308B2">
      <w:pPr>
        <w:pStyle w:val="BodyTextBullets"/>
      </w:pPr>
      <w:r w:rsidRPr="004309D4">
        <w:t>i</w:t>
      </w:r>
      <w:r w:rsidR="005D5A36" w:rsidRPr="004309D4">
        <w:t xml:space="preserve">ncreasing the number of students achieving </w:t>
      </w:r>
      <w:r w:rsidR="007308B2" w:rsidRPr="004309D4">
        <w:t>higher level school and tertiary qualifications</w:t>
      </w:r>
    </w:p>
    <w:p w:rsidR="007308B2" w:rsidRPr="004309D4" w:rsidRDefault="007308B2" w:rsidP="00066FE6">
      <w:pPr>
        <w:pStyle w:val="BodyTextBulletslast"/>
      </w:pPr>
      <w:r w:rsidRPr="00043B3F">
        <w:t>the</w:t>
      </w:r>
      <w:r w:rsidRPr="004309D4">
        <w:t xml:space="preserve"> importanc</w:t>
      </w:r>
      <w:r w:rsidR="00D53436">
        <w:t>e of supporting Pasifika student</w:t>
      </w:r>
      <w:r w:rsidRPr="004309D4">
        <w:t>s’ identities, languages and culture to raise Pasifika achievement.</w:t>
      </w:r>
    </w:p>
    <w:p w:rsidR="004309D4" w:rsidRDefault="005D5A36" w:rsidP="002E741F">
      <w:pPr>
        <w:pStyle w:val="BodyText"/>
      </w:pPr>
      <w:r w:rsidRPr="004309D4">
        <w:t xml:space="preserve">The </w:t>
      </w:r>
      <w:r w:rsidRPr="004309D4">
        <w:rPr>
          <w:i/>
        </w:rPr>
        <w:t xml:space="preserve">Pasifika Education Plan 2009–2012 </w:t>
      </w:r>
      <w:r w:rsidRPr="004309D4">
        <w:t>se</w:t>
      </w:r>
      <w:r w:rsidR="004309D4" w:rsidRPr="004309D4">
        <w:t>t targets to monitor success, and progress against these targets have been recorded</w:t>
      </w:r>
      <w:r w:rsidRPr="004309D4">
        <w:t xml:space="preserve"> through an annual report, the </w:t>
      </w:r>
      <w:r w:rsidRPr="004309D4">
        <w:rPr>
          <w:i/>
        </w:rPr>
        <w:t>Pasifika Education Plan Monitoring Report</w:t>
      </w:r>
      <w:r w:rsidR="00DC6FA6" w:rsidRPr="004309D4">
        <w:t xml:space="preserve"> (</w:t>
      </w:r>
      <w:r w:rsidR="004309D4">
        <w:t>eg</w:t>
      </w:r>
      <w:r w:rsidR="00C97343">
        <w:t>,</w:t>
      </w:r>
      <w:r w:rsidR="004309D4">
        <w:t xml:space="preserve"> </w:t>
      </w:r>
      <w:r w:rsidR="00DC6FA6" w:rsidRPr="004309D4">
        <w:t xml:space="preserve">Ministry of </w:t>
      </w:r>
      <w:r w:rsidR="004309D4" w:rsidRPr="004309D4">
        <w:t>Education, 2012</w:t>
      </w:r>
      <w:r w:rsidR="006632B3" w:rsidRPr="004309D4">
        <w:t>).</w:t>
      </w:r>
      <w:r w:rsidR="00C45FFD" w:rsidRPr="004309D4">
        <w:t xml:space="preserve"> </w:t>
      </w:r>
    </w:p>
    <w:p w:rsidR="00A70AA2" w:rsidRPr="00A70AA2" w:rsidRDefault="00A70AA2" w:rsidP="002E741F">
      <w:pPr>
        <w:pStyle w:val="BodyText"/>
      </w:pPr>
      <w:r>
        <w:t xml:space="preserve">A revised version of the plan, the </w:t>
      </w:r>
      <w:r>
        <w:rPr>
          <w:i/>
        </w:rPr>
        <w:t>Pasifika Education Plan 2013</w:t>
      </w:r>
      <w:r w:rsidR="00C97343">
        <w:rPr>
          <w:rFonts w:cs="Arial"/>
          <w:i/>
        </w:rPr>
        <w:t>–</w:t>
      </w:r>
      <w:r>
        <w:rPr>
          <w:i/>
        </w:rPr>
        <w:t>2017</w:t>
      </w:r>
      <w:r>
        <w:t>, was released in late 2012. This presents the focus for initiatives relating to Pasifika education from 2013 onwards, as well as setting new targets for improving the educational outcomes for Pasifika students.</w:t>
      </w:r>
    </w:p>
    <w:p w:rsidR="002242C1" w:rsidRPr="0060013A" w:rsidRDefault="00B25D6F" w:rsidP="002242C1">
      <w:pPr>
        <w:pStyle w:val="Heading2"/>
        <w:rPr>
          <w:highlight w:val="yellow"/>
        </w:rPr>
      </w:pPr>
      <w:bookmarkStart w:id="48" w:name="_Toc367361625"/>
      <w:r w:rsidRPr="00B42816">
        <w:t>Ultra-</w:t>
      </w:r>
      <w:r w:rsidR="002242C1" w:rsidRPr="00B42816">
        <w:t>Fast Broadband in Schools (UFBiS)</w:t>
      </w:r>
      <w:bookmarkEnd w:id="48"/>
    </w:p>
    <w:p w:rsidR="00817356" w:rsidRPr="002572D1" w:rsidRDefault="002572D1" w:rsidP="002E741F">
      <w:pPr>
        <w:pStyle w:val="BodyText"/>
        <w:rPr>
          <w:lang w:val="en-NZ"/>
        </w:rPr>
      </w:pPr>
      <w:r>
        <w:rPr>
          <w:lang w:val="en-NZ"/>
        </w:rPr>
        <w:t>The education sector is undergoing rapid and significant change in response to the development of new technologies and access to the Internet</w:t>
      </w:r>
      <w:r w:rsidR="005D47F5">
        <w:rPr>
          <w:lang w:val="en-NZ"/>
        </w:rPr>
        <w:t xml:space="preserve"> (Education and Science Committee, 2012). In order to ensure that New Zealand’s students are prepared with 21</w:t>
      </w:r>
      <w:r w:rsidR="005D47F5" w:rsidRPr="005D47F5">
        <w:rPr>
          <w:lang w:val="en-NZ"/>
        </w:rPr>
        <w:t>st</w:t>
      </w:r>
      <w:r w:rsidR="005D47F5">
        <w:rPr>
          <w:lang w:val="en-NZ"/>
        </w:rPr>
        <w:t>-century skills, a number of initiatives have been developed and implemented that address digital literacy. One key initiative is the Ultra-Fast Broadband in Schools (UFBiS) project, launched in 2011.</w:t>
      </w:r>
    </w:p>
    <w:p w:rsidR="00B42816" w:rsidRPr="00025C83" w:rsidRDefault="00B42816" w:rsidP="002E741F">
      <w:pPr>
        <w:pStyle w:val="Heading3"/>
      </w:pPr>
      <w:r w:rsidRPr="00025C83">
        <w:t>Connecting schools to ultra-fast broadband</w:t>
      </w:r>
    </w:p>
    <w:p w:rsidR="00B42816" w:rsidRPr="00025C83" w:rsidRDefault="00B42816" w:rsidP="002E741F">
      <w:pPr>
        <w:pStyle w:val="BodyText"/>
        <w:rPr>
          <w:lang w:val="en-NZ"/>
        </w:rPr>
      </w:pPr>
      <w:r w:rsidRPr="00025C83">
        <w:rPr>
          <w:lang w:val="en-NZ"/>
        </w:rPr>
        <w:t xml:space="preserve">By 2016, 97.7% of schools will receive ultra-fast broadband (UFB) connections enabling speeds of 100 Mbps plus, through Government’s $1.5 billion investment in broadband. The remaining 2.3% of schools, which are in the most remote locations, will receive improved broadband services through terrestrial wireless or fast satellite connection. </w:t>
      </w:r>
    </w:p>
    <w:p w:rsidR="00B42816" w:rsidRPr="00025C83" w:rsidRDefault="00B42816" w:rsidP="002E741F">
      <w:pPr>
        <w:pStyle w:val="Heading3"/>
      </w:pPr>
      <w:r w:rsidRPr="00025C83">
        <w:t>Ultra-fast broadband rollout</w:t>
      </w:r>
    </w:p>
    <w:p w:rsidR="00B42816" w:rsidRPr="00025C83" w:rsidRDefault="00B42816" w:rsidP="002E741F">
      <w:pPr>
        <w:pStyle w:val="BodyText"/>
        <w:rPr>
          <w:lang w:val="en-NZ"/>
        </w:rPr>
      </w:pPr>
      <w:r w:rsidRPr="00025C83">
        <w:rPr>
          <w:lang w:val="en-NZ"/>
        </w:rPr>
        <w:t xml:space="preserve">In May 2011, contracts were signed to complete the roll out of fibre to urban areas by 2016. Enable Networks will deliver UFB access to 108 schools in Christchurch, Rangiora and surrounding areas. The contract with Chorus covers Auckland, the eastern and lower North Island and most of the South Island, connecting 896 schools to fibre. UFB contracts had been agreed previously with Northpower for Whangarei (26 schools), and with the WEL Networks-led consortium for Hamilton, Tauranga, New Plymouth, Whanganui, Tokoroa and Hawera (174 schools). </w:t>
      </w:r>
    </w:p>
    <w:p w:rsidR="00B42816" w:rsidRPr="00025C83" w:rsidRDefault="00B42816" w:rsidP="002E741F">
      <w:pPr>
        <w:pStyle w:val="BodyText"/>
        <w:rPr>
          <w:lang w:val="en-NZ"/>
        </w:rPr>
      </w:pPr>
      <w:r w:rsidRPr="00025C83">
        <w:rPr>
          <w:lang w:val="en-NZ"/>
        </w:rPr>
        <w:t xml:space="preserve">Fibre deployment to urban areas of New Zealand commenced in August 2011, with Chorus rolling out fibre to Albany, Auckland. </w:t>
      </w:r>
      <w:r>
        <w:rPr>
          <w:lang w:val="en-NZ"/>
        </w:rPr>
        <w:t>At the end of 2012, 368 urban schools had been connected to fibre and it was verified that they were ready for services over fibre.</w:t>
      </w:r>
    </w:p>
    <w:p w:rsidR="00B42816" w:rsidRPr="00025C83" w:rsidRDefault="00B42816" w:rsidP="002E741F">
      <w:pPr>
        <w:pStyle w:val="Heading3"/>
      </w:pPr>
      <w:r>
        <w:t xml:space="preserve">The </w:t>
      </w:r>
      <w:r w:rsidRPr="00025C83">
        <w:t>Rural Broadband Initiative</w:t>
      </w:r>
    </w:p>
    <w:p w:rsidR="00B42816" w:rsidRPr="00025C83" w:rsidRDefault="00B42816" w:rsidP="002E741F">
      <w:pPr>
        <w:pStyle w:val="BodyText"/>
        <w:rPr>
          <w:lang w:val="en-NZ"/>
        </w:rPr>
      </w:pPr>
      <w:r w:rsidRPr="00025C83">
        <w:rPr>
          <w:lang w:val="en-NZ"/>
        </w:rPr>
        <w:t xml:space="preserve">On 30 June 2011 the first phase of the Rural Broadband Initiative was officially launched when the first three rural </w:t>
      </w:r>
      <w:r>
        <w:rPr>
          <w:lang w:val="en-NZ"/>
        </w:rPr>
        <w:t>schools were connected to fibre</w:t>
      </w:r>
      <w:r w:rsidRPr="00025C83">
        <w:rPr>
          <w:lang w:val="en-NZ"/>
        </w:rPr>
        <w:t>.</w:t>
      </w:r>
      <w:r w:rsidR="00235FD2">
        <w:rPr>
          <w:lang w:val="en-NZ"/>
        </w:rPr>
        <w:t xml:space="preserve"> </w:t>
      </w:r>
      <w:r>
        <w:rPr>
          <w:lang w:val="en-NZ"/>
        </w:rPr>
        <w:t>By the end of 2012 a</w:t>
      </w:r>
      <w:r w:rsidRPr="00025C83">
        <w:rPr>
          <w:lang w:val="en-NZ"/>
        </w:rPr>
        <w:t xml:space="preserve"> total of </w:t>
      </w:r>
      <w:r>
        <w:rPr>
          <w:lang w:val="en-NZ"/>
        </w:rPr>
        <w:t>625</w:t>
      </w:r>
      <w:r w:rsidRPr="00025C83">
        <w:rPr>
          <w:lang w:val="en-NZ"/>
        </w:rPr>
        <w:t xml:space="preserve"> rural schools</w:t>
      </w:r>
      <w:r>
        <w:rPr>
          <w:lang w:val="en-NZ"/>
        </w:rPr>
        <w:t xml:space="preserve"> had been </w:t>
      </w:r>
      <w:r w:rsidRPr="00025C83">
        <w:rPr>
          <w:lang w:val="en-NZ"/>
        </w:rPr>
        <w:t>connected to fibre.</w:t>
      </w:r>
    </w:p>
    <w:p w:rsidR="00B42816" w:rsidRPr="00025C83" w:rsidRDefault="00B42816" w:rsidP="002E741F">
      <w:pPr>
        <w:pStyle w:val="Heading3"/>
      </w:pPr>
      <w:r w:rsidRPr="00025C83">
        <w:t>School Network Upgrade Project (SNUP)</w:t>
      </w:r>
    </w:p>
    <w:p w:rsidR="00B42816" w:rsidRPr="00025C83" w:rsidRDefault="00B42816" w:rsidP="002E741F">
      <w:pPr>
        <w:pStyle w:val="BodyText"/>
        <w:rPr>
          <w:lang w:val="en-NZ"/>
        </w:rPr>
      </w:pPr>
      <w:r w:rsidRPr="00025C83">
        <w:rPr>
          <w:lang w:val="en-NZ"/>
        </w:rPr>
        <w:t xml:space="preserve">The Ministry’s School Network Upgrade Project (SNUP) is progressively upgrading electrical and data cabling infrastructure in kura and schools in readiness for fibre. SNUP will optimise internal network performance in kura and schools and enable more staff and students to simultaneously access the Network for Learning. </w:t>
      </w:r>
    </w:p>
    <w:p w:rsidR="00896C2F" w:rsidRDefault="00B42816" w:rsidP="002E741F">
      <w:pPr>
        <w:pStyle w:val="BodyText"/>
        <w:rPr>
          <w:lang w:val="en-NZ"/>
        </w:rPr>
      </w:pPr>
      <w:r w:rsidRPr="00025C83">
        <w:rPr>
          <w:lang w:val="en-NZ"/>
        </w:rPr>
        <w:t xml:space="preserve">The majority of SNUP upgrade costs are funded by Government </w:t>
      </w:r>
      <w:r w:rsidR="00C21FA6">
        <w:rPr>
          <w:rFonts w:cs="Arial"/>
          <w:lang w:val="en-NZ"/>
        </w:rPr>
        <w:t>―</w:t>
      </w:r>
      <w:r w:rsidRPr="00025C83">
        <w:rPr>
          <w:lang w:val="en-NZ"/>
        </w:rPr>
        <w:t xml:space="preserve"> 68% for state-integrated schools and 80% for state schools. </w:t>
      </w:r>
      <w:r>
        <w:rPr>
          <w:lang w:val="en-NZ"/>
        </w:rPr>
        <w:t xml:space="preserve">At the end of 2012, a total of 942 schools had been upgraded since the project started (40% </w:t>
      </w:r>
      <w:r w:rsidRPr="00025C83">
        <w:rPr>
          <w:lang w:val="en-NZ"/>
        </w:rPr>
        <w:t>of all eligible schools</w:t>
      </w:r>
      <w:r>
        <w:rPr>
          <w:lang w:val="en-NZ"/>
        </w:rPr>
        <w:t>).</w:t>
      </w:r>
      <w:r w:rsidR="00235FD2">
        <w:rPr>
          <w:lang w:val="en-NZ"/>
        </w:rPr>
        <w:t>Two</w:t>
      </w:r>
      <w:r w:rsidR="00C21FA6">
        <w:rPr>
          <w:lang w:val="en-NZ"/>
        </w:rPr>
        <w:t xml:space="preserve"> </w:t>
      </w:r>
      <w:r w:rsidR="00235FD2">
        <w:rPr>
          <w:lang w:val="en-NZ"/>
        </w:rPr>
        <w:t xml:space="preserve">hundred and thirty-seven </w:t>
      </w:r>
      <w:r w:rsidRPr="00025C83">
        <w:rPr>
          <w:lang w:val="en-NZ"/>
        </w:rPr>
        <w:t xml:space="preserve">schools </w:t>
      </w:r>
      <w:r>
        <w:rPr>
          <w:lang w:val="en-NZ"/>
        </w:rPr>
        <w:t>were upgraded during 2012.</w:t>
      </w:r>
    </w:p>
    <w:p w:rsidR="00DB09CD" w:rsidRPr="0060013A" w:rsidRDefault="00DB09CD" w:rsidP="002E741F">
      <w:pPr>
        <w:pStyle w:val="Heading2"/>
        <w:rPr>
          <w:highlight w:val="yellow"/>
        </w:rPr>
      </w:pPr>
      <w:bookmarkStart w:id="49" w:name="_Toc367361626"/>
      <w:r w:rsidRPr="00AC6E8D">
        <w:t>Special education developments in 201</w:t>
      </w:r>
      <w:r w:rsidR="00AC6E8D" w:rsidRPr="00AC6E8D">
        <w:t>2</w:t>
      </w:r>
      <w:bookmarkEnd w:id="49"/>
    </w:p>
    <w:p w:rsidR="00DE7DD6" w:rsidRDefault="00AC6E8D" w:rsidP="002E741F">
      <w:pPr>
        <w:pStyle w:val="BodyText"/>
      </w:pPr>
      <w:r w:rsidRPr="00AC6E8D">
        <w:t>New Zealand has a focus on</w:t>
      </w:r>
      <w:r w:rsidR="003C3AB1">
        <w:t xml:space="preserve"> fully</w:t>
      </w:r>
      <w:r w:rsidRPr="00AC6E8D">
        <w:t xml:space="preserve"> inclusive e</w:t>
      </w:r>
      <w:r w:rsidR="005321A0">
        <w:t xml:space="preserve">ducation. In </w:t>
      </w:r>
      <w:r w:rsidR="00DE7DD6">
        <w:t>2010,</w:t>
      </w:r>
      <w:r w:rsidR="00B055D6">
        <w:t xml:space="preserve"> ERO </w:t>
      </w:r>
      <w:r w:rsidR="00DE7DD6">
        <w:t>conducted a review of 229 schools</w:t>
      </w:r>
      <w:r w:rsidR="00B055D6">
        <w:t xml:space="preserve"> </w:t>
      </w:r>
      <w:r w:rsidR="00DE7DD6">
        <w:t xml:space="preserve">that found that 20% of schools demonstrated few inclusive practices, compared to 80% of schools with at least some inclusive practices </w:t>
      </w:r>
      <w:r w:rsidR="00B055D6">
        <w:t>(ERO, 2010</w:t>
      </w:r>
      <w:r w:rsidR="003A37C8">
        <w:t>a</w:t>
      </w:r>
      <w:r w:rsidR="00B055D6">
        <w:t>)</w:t>
      </w:r>
      <w:r w:rsidR="00DE7DD6">
        <w:t xml:space="preserve">. ERO completed an additional review of Alternative Education (AE) in 2010, concluding that two-thirds of a sample of 44 secondary schools did not provide enough support for </w:t>
      </w:r>
      <w:r w:rsidR="003A37C8">
        <w:t>their students in AE (ERO, 2010b</w:t>
      </w:r>
      <w:r w:rsidR="00DE7DD6">
        <w:t xml:space="preserve">). </w:t>
      </w:r>
    </w:p>
    <w:p w:rsidR="00AC6E8D" w:rsidRPr="00AC6E8D" w:rsidRDefault="00DE7DD6" w:rsidP="002E741F">
      <w:pPr>
        <w:pStyle w:val="BodyText"/>
      </w:pPr>
      <w:r>
        <w:t>In response to these findings,</w:t>
      </w:r>
      <w:r w:rsidR="005321A0">
        <w:t xml:space="preserve"> t</w:t>
      </w:r>
      <w:r w:rsidR="005321A0" w:rsidRPr="00AC6E8D">
        <w:t>he Government</w:t>
      </w:r>
      <w:r w:rsidR="005321A0">
        <w:t xml:space="preserve"> has</w:t>
      </w:r>
      <w:r w:rsidR="005321A0" w:rsidRPr="00AC6E8D">
        <w:t xml:space="preserve"> set </w:t>
      </w:r>
      <w:r w:rsidR="005321A0">
        <w:t>a target</w:t>
      </w:r>
      <w:r w:rsidR="005321A0" w:rsidRPr="00AC6E8D">
        <w:t xml:space="preserve"> that by 2014</w:t>
      </w:r>
      <w:r w:rsidR="005321A0">
        <w:t>,</w:t>
      </w:r>
      <w:r w:rsidR="005321A0" w:rsidRPr="00AC6E8D">
        <w:t xml:space="preserve"> 80%</w:t>
      </w:r>
      <w:r w:rsidR="005321A0">
        <w:t xml:space="preserve"> of</w:t>
      </w:r>
      <w:r w:rsidR="005321A0" w:rsidRPr="00AC6E8D">
        <w:t xml:space="preserve"> schools will be demonstrating highly inclusive practice for </w:t>
      </w:r>
      <w:r w:rsidR="005321A0">
        <w:t>students</w:t>
      </w:r>
      <w:r w:rsidR="005321A0" w:rsidRPr="00AC6E8D">
        <w:t xml:space="preserve"> with special education needs</w:t>
      </w:r>
      <w:r w:rsidR="005321A0">
        <w:t>,</w:t>
      </w:r>
      <w:r w:rsidR="005321A0" w:rsidRPr="00AC6E8D">
        <w:t xml:space="preserve"> with </w:t>
      </w:r>
      <w:r w:rsidR="005321A0">
        <w:t xml:space="preserve">the remaining </w:t>
      </w:r>
      <w:r w:rsidR="005321A0" w:rsidRPr="00AC6E8D">
        <w:t>20% demonstrating good practice.</w:t>
      </w:r>
      <w:r w:rsidR="00235FD2">
        <w:t xml:space="preserve"> </w:t>
      </w:r>
      <w:r w:rsidR="00EA6BF7">
        <w:t>A recent ERO evaluation reported on primary schools’ progress in relation to this target, finding that 77% out of a sample of 81 primary schools were mostly inclusive, 16% of schools had some inclusive practices, and seven per cent had few inclusive practices (ERO, 2013a).</w:t>
      </w:r>
    </w:p>
    <w:p w:rsidR="00AC6E8D" w:rsidRPr="004278C3" w:rsidRDefault="00AC6E8D" w:rsidP="004278C3">
      <w:pPr>
        <w:pStyle w:val="Heading3"/>
      </w:pPr>
      <w:r w:rsidRPr="004278C3">
        <w:t xml:space="preserve">Success for All </w:t>
      </w:r>
      <w:r w:rsidR="00C21FA6">
        <w:rPr>
          <w:rFonts w:cs="Times New Roman"/>
        </w:rPr>
        <w:t>―</w:t>
      </w:r>
      <w:r w:rsidRPr="004278C3">
        <w:t xml:space="preserve"> Every School, Every Child</w:t>
      </w:r>
    </w:p>
    <w:p w:rsidR="00AC6E8D" w:rsidRPr="00AC6E8D" w:rsidRDefault="005321A0" w:rsidP="002E741F">
      <w:pPr>
        <w:pStyle w:val="BodyText"/>
      </w:pPr>
      <w:r>
        <w:t xml:space="preserve">The Government has </w:t>
      </w:r>
      <w:r w:rsidR="00AC6E8D" w:rsidRPr="00AC6E8D">
        <w:t>agreed to a program</w:t>
      </w:r>
      <w:r>
        <w:t>me of activities to achieve</w:t>
      </w:r>
      <w:r w:rsidR="00B055D6">
        <w:t xml:space="preserve"> the 100% </w:t>
      </w:r>
      <w:r>
        <w:t>inclusive practice</w:t>
      </w:r>
      <w:r w:rsidR="00B055D6">
        <w:t>s target</w:t>
      </w:r>
      <w:r w:rsidR="00EA6BF7">
        <w:t xml:space="preserve"> (80% highly inclusive and 20% demonstrating good practice)</w:t>
      </w:r>
      <w:r w:rsidR="00AC6E8D" w:rsidRPr="00AC6E8D">
        <w:t xml:space="preserve"> under the umbrella of </w:t>
      </w:r>
      <w:r w:rsidR="00AC6E8D" w:rsidRPr="00AC6E8D">
        <w:rPr>
          <w:i/>
        </w:rPr>
        <w:t xml:space="preserve">Success for All </w:t>
      </w:r>
      <w:r w:rsidR="00C21FA6">
        <w:rPr>
          <w:rFonts w:cs="Arial"/>
          <w:i/>
        </w:rPr>
        <w:t>―</w:t>
      </w:r>
      <w:r w:rsidR="00AC6E8D" w:rsidRPr="00AC6E8D">
        <w:rPr>
          <w:i/>
        </w:rPr>
        <w:t xml:space="preserve"> Every School, Every Child.</w:t>
      </w:r>
      <w:r w:rsidR="00AC6E8D" w:rsidRPr="00AC6E8D">
        <w:t xml:space="preserve"> This is a commitment to inclu</w:t>
      </w:r>
      <w:r>
        <w:t xml:space="preserve">sive practice and to continual </w:t>
      </w:r>
      <w:r w:rsidR="00AC6E8D" w:rsidRPr="00AC6E8D">
        <w:t>improve</w:t>
      </w:r>
      <w:r>
        <w:t>ment of</w:t>
      </w:r>
      <w:r w:rsidR="00AC6E8D" w:rsidRPr="00AC6E8D">
        <w:t xml:space="preserve"> systems and teaching for children and young people with special education needs.</w:t>
      </w:r>
    </w:p>
    <w:p w:rsidR="00AC6E8D" w:rsidRPr="00AC6E8D" w:rsidRDefault="00AC6E8D" w:rsidP="002E741F">
      <w:pPr>
        <w:pStyle w:val="BodyText"/>
      </w:pPr>
      <w:r w:rsidRPr="00AC6E8D">
        <w:t xml:space="preserve">The </w:t>
      </w:r>
      <w:r w:rsidR="00B055D6">
        <w:t xml:space="preserve">programme of activities in 2012 </w:t>
      </w:r>
      <w:r w:rsidRPr="00AC6E8D">
        <w:t>focused on developing tools and resources that build every school’s capability to be better able to support children and young people with a range of education needs.</w:t>
      </w:r>
    </w:p>
    <w:p w:rsidR="006D7875" w:rsidRPr="006D7875" w:rsidRDefault="006D7875" w:rsidP="002E741F">
      <w:pPr>
        <w:pStyle w:val="Heading4"/>
      </w:pPr>
      <w:r>
        <w:t>Resource Teachers: Learning and Behaviour (RTLB)</w:t>
      </w:r>
    </w:p>
    <w:p w:rsidR="00AC6E8D" w:rsidRDefault="008C2743" w:rsidP="002E741F">
      <w:pPr>
        <w:pStyle w:val="BodyText"/>
      </w:pPr>
      <w:r>
        <w:t>At the start of 2012, t</w:t>
      </w:r>
      <w:r w:rsidR="00AC6E8D" w:rsidRPr="00AC6E8D">
        <w:t>he Resource Teachers: Learning and Behaviour (RTLB) service and Supplementary Learning Support (SLS</w:t>
      </w:r>
      <w:r w:rsidR="006D7875">
        <w:t xml:space="preserve">) service </w:t>
      </w:r>
      <w:r>
        <w:t>were</w:t>
      </w:r>
      <w:r w:rsidR="006D7875">
        <w:t xml:space="preserve"> amalgamated, with the</w:t>
      </w:r>
      <w:r w:rsidR="00AC6E8D" w:rsidRPr="00AC6E8D">
        <w:t xml:space="preserve"> RTLB service now </w:t>
      </w:r>
      <w:r w:rsidR="006D7875">
        <w:t>employing</w:t>
      </w:r>
      <w:r w:rsidR="00A659B3">
        <w:t xml:space="preserve"> 856</w:t>
      </w:r>
      <w:r w:rsidR="00AC6E8D" w:rsidRPr="00AC6E8D">
        <w:t xml:space="preserve"> full time equivalent teachers.</w:t>
      </w:r>
      <w:r w:rsidR="00235FD2">
        <w:t xml:space="preserve"> </w:t>
      </w:r>
      <w:r>
        <w:t xml:space="preserve">The service changed focus in 2012 to the development of </w:t>
      </w:r>
      <w:r w:rsidR="00AC6E8D" w:rsidRPr="00AC6E8D">
        <w:t>i</w:t>
      </w:r>
      <w:r>
        <w:t>ncreasingly effective, evidence-</w:t>
      </w:r>
      <w:r w:rsidR="00AC6E8D" w:rsidRPr="00AC6E8D">
        <w:t xml:space="preserve">based practices </w:t>
      </w:r>
      <w:r>
        <w:t>centred on</w:t>
      </w:r>
      <w:r w:rsidR="00AC6E8D" w:rsidRPr="00AC6E8D">
        <w:t xml:space="preserve"> teacher</w:t>
      </w:r>
      <w:r>
        <w:t>s’ and</w:t>
      </w:r>
      <w:r w:rsidR="00AC6E8D" w:rsidRPr="00AC6E8D">
        <w:t xml:space="preserve"> school</w:t>
      </w:r>
      <w:r>
        <w:t>s’</w:t>
      </w:r>
      <w:r w:rsidR="00AC6E8D" w:rsidRPr="00AC6E8D">
        <w:t xml:space="preserve"> processes and systems</w:t>
      </w:r>
      <w:r>
        <w:t>,</w:t>
      </w:r>
      <w:r w:rsidR="00AC6E8D" w:rsidRPr="00AC6E8D">
        <w:t xml:space="preserve"> in order to better support </w:t>
      </w:r>
      <w:r>
        <w:t>students’</w:t>
      </w:r>
      <w:r w:rsidR="00AC6E8D" w:rsidRPr="00AC6E8D">
        <w:t xml:space="preserve"> learning and behaviour needs.</w:t>
      </w:r>
    </w:p>
    <w:p w:rsidR="008C2743" w:rsidRPr="008C2743" w:rsidRDefault="008C2743" w:rsidP="002E741F">
      <w:pPr>
        <w:pStyle w:val="Heading4"/>
      </w:pPr>
      <w:r>
        <w:t>Intensive Wraparound Service (IWS)</w:t>
      </w:r>
    </w:p>
    <w:p w:rsidR="00AC6E8D" w:rsidRPr="00AC6E8D" w:rsidRDefault="00AC6E8D" w:rsidP="002E741F">
      <w:pPr>
        <w:pStyle w:val="BodyText"/>
      </w:pPr>
      <w:r w:rsidRPr="00AC6E8D">
        <w:t xml:space="preserve">The Intensive Wraparound Service (IWS) </w:t>
      </w:r>
      <w:r w:rsidRPr="00187D49">
        <w:t>s</w:t>
      </w:r>
      <w:r w:rsidR="00187D49" w:rsidRPr="00187D49">
        <w:t>upported 120</w:t>
      </w:r>
      <w:r w:rsidRPr="00187D49">
        <w:t xml:space="preserve"> children during 2012.</w:t>
      </w:r>
      <w:r w:rsidR="00235FD2">
        <w:t xml:space="preserve"> </w:t>
      </w:r>
      <w:r w:rsidRPr="00AC6E8D">
        <w:t>A consultation and review of residential special schools and the IWS</w:t>
      </w:r>
      <w:r w:rsidR="000661BA">
        <w:t xml:space="preserve"> in 2012</w:t>
      </w:r>
      <w:r w:rsidRPr="00AC6E8D">
        <w:t xml:space="preserve"> resulted in the closure of MacKenzie Residential Special School</w:t>
      </w:r>
      <w:r w:rsidR="00FC0755">
        <w:t xml:space="preserve"> in Christchurch at the </w:t>
      </w:r>
      <w:r w:rsidR="000661BA">
        <w:t>beginning of 2013</w:t>
      </w:r>
      <w:r w:rsidR="00FC0755">
        <w:t>,</w:t>
      </w:r>
      <w:r w:rsidRPr="00AC6E8D">
        <w:t xml:space="preserve"> and the development of the new IWS.</w:t>
      </w:r>
      <w:r w:rsidR="000661BA">
        <w:t xml:space="preserve"> </w:t>
      </w:r>
      <w:r w:rsidR="00603529">
        <w:t>This provided the opportunity to provide services and support for more children with complex needs</w:t>
      </w:r>
      <w:r w:rsidR="008E5410">
        <w:t>,</w:t>
      </w:r>
      <w:r w:rsidR="00603529">
        <w:t xml:space="preserve"> in their local community.</w:t>
      </w:r>
      <w:r w:rsidR="00235FD2">
        <w:t xml:space="preserve"> </w:t>
      </w:r>
      <w:r w:rsidR="00FC0755">
        <w:t>Depending on need, c</w:t>
      </w:r>
      <w:r w:rsidRPr="00AC6E8D">
        <w:t xml:space="preserve">hildren and young people may access one of the </w:t>
      </w:r>
      <w:r w:rsidR="000661BA">
        <w:t>three remaining</w:t>
      </w:r>
      <w:r w:rsidR="00FC0755">
        <w:t xml:space="preserve"> residential special schools</w:t>
      </w:r>
      <w:r w:rsidR="000661BA">
        <w:t xml:space="preserve"> (Halswell Residential College in Christchurch, Salisbury School in Nelson, and Westbridge School in Auckland)</w:t>
      </w:r>
      <w:r w:rsidR="00FC0755">
        <w:t xml:space="preserve"> </w:t>
      </w:r>
      <w:r w:rsidRPr="00AC6E8D">
        <w:t>for a short period of time</w:t>
      </w:r>
      <w:r w:rsidR="00FC0755">
        <w:t>,</w:t>
      </w:r>
      <w:r w:rsidRPr="00AC6E8D">
        <w:t xml:space="preserve"> as part of a wider programme of support from the IWS.</w:t>
      </w:r>
    </w:p>
    <w:p w:rsidR="00AC6E8D" w:rsidRDefault="00AC6E8D" w:rsidP="002E741F">
      <w:pPr>
        <w:pStyle w:val="BodyText"/>
      </w:pPr>
      <w:r w:rsidRPr="00AC6E8D">
        <w:t xml:space="preserve">New information sheets </w:t>
      </w:r>
      <w:r w:rsidR="008E5410">
        <w:t xml:space="preserve">on the IWS </w:t>
      </w:r>
      <w:r w:rsidRPr="00AC6E8D">
        <w:t>have been produced for schools and teachers</w:t>
      </w:r>
      <w:r w:rsidR="008E5410">
        <w:t>,</w:t>
      </w:r>
      <w:r w:rsidR="00EB1EC2">
        <w:t xml:space="preserve"> and these are</w:t>
      </w:r>
      <w:r w:rsidRPr="00AC6E8D">
        <w:t xml:space="preserve"> available</w:t>
      </w:r>
      <w:r w:rsidR="00E84AAC">
        <w:t xml:space="preserve"> on the Ministry website</w:t>
      </w:r>
      <w:r w:rsidRPr="00AC6E8D">
        <w:t>.</w:t>
      </w:r>
    </w:p>
    <w:p w:rsidR="00551E86" w:rsidRPr="004278C3" w:rsidRDefault="00551E86" w:rsidP="004278C3">
      <w:pPr>
        <w:pStyle w:val="Heading3"/>
      </w:pPr>
      <w:r w:rsidRPr="004278C3">
        <w:t>Inclusion Taskforce</w:t>
      </w:r>
    </w:p>
    <w:p w:rsidR="00551E86" w:rsidRPr="002E741F" w:rsidRDefault="00551E86" w:rsidP="002E741F">
      <w:pPr>
        <w:pStyle w:val="BodyText"/>
      </w:pPr>
      <w:r>
        <w:t>The Inclusio</w:t>
      </w:r>
      <w:r w:rsidR="00EB1EC2">
        <w:t>n Taskforce was established mid-</w:t>
      </w:r>
      <w:r>
        <w:t xml:space="preserve">2012 for the purpose of accelerating the achievement of the Government target of 100% of schools demonstrating inclusive practices by 2014. </w:t>
      </w:r>
      <w:r w:rsidRPr="00551E86">
        <w:rPr>
          <w:rFonts w:cs="Arial"/>
        </w:rPr>
        <w:t>During the second half of 2012</w:t>
      </w:r>
      <w:r>
        <w:rPr>
          <w:rFonts w:cs="Arial"/>
        </w:rPr>
        <w:t>,</w:t>
      </w:r>
      <w:r w:rsidRPr="00551E86">
        <w:rPr>
          <w:rFonts w:cs="Arial"/>
        </w:rPr>
        <w:t xml:space="preserve"> the taskforce</w:t>
      </w:r>
      <w:r>
        <w:rPr>
          <w:rFonts w:cs="Arial"/>
        </w:rPr>
        <w:t>’s</w:t>
      </w:r>
      <w:r w:rsidRPr="00551E86">
        <w:rPr>
          <w:rFonts w:cs="Arial"/>
        </w:rPr>
        <w:t xml:space="preserve"> </w:t>
      </w:r>
      <w:r>
        <w:rPr>
          <w:rFonts w:cs="Arial"/>
        </w:rPr>
        <w:t>focus</w:t>
      </w:r>
      <w:r w:rsidRPr="00551E86">
        <w:rPr>
          <w:rFonts w:cs="Arial"/>
        </w:rPr>
        <w:t xml:space="preserve"> was to </w:t>
      </w:r>
      <w:r>
        <w:rPr>
          <w:rFonts w:cs="Arial"/>
        </w:rPr>
        <w:t xml:space="preserve">raise </w:t>
      </w:r>
      <w:r w:rsidRPr="00551E86">
        <w:rPr>
          <w:rFonts w:cs="Arial"/>
        </w:rPr>
        <w:t>schools</w:t>
      </w:r>
      <w:r>
        <w:rPr>
          <w:rFonts w:cs="Arial"/>
        </w:rPr>
        <w:t>’</w:t>
      </w:r>
      <w:r w:rsidRPr="00551E86">
        <w:rPr>
          <w:rFonts w:cs="Arial"/>
        </w:rPr>
        <w:t xml:space="preserve"> awareness of the need to plan for the accelerated achievement of students with special education needs</w:t>
      </w:r>
      <w:r>
        <w:rPr>
          <w:rFonts w:cs="Arial"/>
        </w:rPr>
        <w:t>.</w:t>
      </w:r>
      <w:r w:rsidRPr="00551E86">
        <w:rPr>
          <w:rFonts w:cs="Arial"/>
        </w:rPr>
        <w:t xml:space="preserve"> </w:t>
      </w:r>
      <w:r>
        <w:t xml:space="preserve">Support was provided to </w:t>
      </w:r>
      <w:r w:rsidRPr="00AC6E8D">
        <w:t>Boards of Trustees, principal</w:t>
      </w:r>
      <w:r>
        <w:t>s</w:t>
      </w:r>
      <w:r w:rsidRPr="00AC6E8D">
        <w:t>, other school leaders and teachers to review their current practices</w:t>
      </w:r>
      <w:r>
        <w:t xml:space="preserve"> and develop a plan </w:t>
      </w:r>
      <w:r w:rsidRPr="00AC6E8D">
        <w:t>for students with special education needs</w:t>
      </w:r>
      <w:r>
        <w:t>. These plans were outlined in school charters submitted in late 2012 and early 2013. As a result, the percentage of schools assessed as having highly effective special education plans rose from 5.4% in 2012 to 11% in 2013. A further 56% were assessed as being at the consolidating effectiveness stage (an increase from 28%), and the percentage of schools assessed as being at the developing effectiveness stage dropped from 67% in 2012 to 33% in 2013.</w:t>
      </w:r>
      <w:r w:rsidRPr="00AC6E8D">
        <w:t xml:space="preserve"> </w:t>
      </w:r>
    </w:p>
    <w:p w:rsidR="00B10E79" w:rsidRPr="00962428" w:rsidRDefault="00D11A9D" w:rsidP="00825191">
      <w:pPr>
        <w:pStyle w:val="Heading2"/>
      </w:pPr>
      <w:bookmarkStart w:id="50" w:name="_Toc367361627"/>
      <w:r w:rsidRPr="00962428">
        <w:t>The Canterbury e</w:t>
      </w:r>
      <w:r w:rsidR="00B10E79" w:rsidRPr="00962428">
        <w:t>arthquakes</w:t>
      </w:r>
      <w:bookmarkEnd w:id="50"/>
    </w:p>
    <w:p w:rsidR="00B10E79" w:rsidRPr="00AC143D" w:rsidRDefault="00B10E79" w:rsidP="00B10E79">
      <w:pPr>
        <w:pStyle w:val="BodyText"/>
        <w:rPr>
          <w:highlight w:val="yellow"/>
        </w:rPr>
      </w:pPr>
      <w:r w:rsidRPr="00962428">
        <w:t>The earthquakes of September 2010 and February, June and December 2011 have changed the educational landscape in greater Christchurch. They have caused disruption and loss for individuals, wh</w:t>
      </w:r>
      <w:r w:rsidR="00E17350" w:rsidRPr="00962428">
        <w:t>ā</w:t>
      </w:r>
      <w:r w:rsidRPr="00962428">
        <w:t>nau, and community. The impact on education provision remains substantial</w:t>
      </w:r>
      <w:r w:rsidR="00431080">
        <w:t>, with most schools being affected by earthquake damage as well as the ensuing migration of people</w:t>
      </w:r>
      <w:r w:rsidRPr="00962428">
        <w:t>.</w:t>
      </w:r>
      <w:r w:rsidR="00AC143D">
        <w:t xml:space="preserve"> </w:t>
      </w:r>
      <w:r w:rsidR="00AC143D" w:rsidRPr="00AC143D">
        <w:t xml:space="preserve">Following the February earthquake, over 12,000 students left the school they had been attending and enrolled elsewhere </w:t>
      </w:r>
      <w:r w:rsidR="00C21FA6">
        <w:rPr>
          <w:rFonts w:cs="Arial"/>
        </w:rPr>
        <w:t>―</w:t>
      </w:r>
      <w:r w:rsidR="00AC143D" w:rsidRPr="00AC143D">
        <w:t xml:space="preserve"> often at a school outside the region. Many have since returned, but </w:t>
      </w:r>
      <w:r w:rsidR="00A7768D">
        <w:t>as of March 2013</w:t>
      </w:r>
      <w:r w:rsidR="00AC143D" w:rsidRPr="00AC143D">
        <w:t xml:space="preserve"> over 4,100 fewer students were enrolled in greater Christchurch schools compared to March 2010.</w:t>
      </w:r>
    </w:p>
    <w:p w:rsidR="00B10E79" w:rsidRPr="00CC5645" w:rsidRDefault="00B10E79" w:rsidP="002E741F">
      <w:pPr>
        <w:pStyle w:val="Heading3"/>
      </w:pPr>
      <w:r w:rsidRPr="00CC5645">
        <w:t>Damage to the network</w:t>
      </w:r>
    </w:p>
    <w:p w:rsidR="00AC143D" w:rsidRPr="002E0BB8" w:rsidRDefault="00B10E79" w:rsidP="002E741F">
      <w:pPr>
        <w:pStyle w:val="BodyText"/>
      </w:pPr>
      <w:r w:rsidRPr="00CC5645">
        <w:t>The physical damage to buildings and land has been significant</w:t>
      </w:r>
      <w:r w:rsidR="00672609">
        <w:t xml:space="preserve">: </w:t>
      </w:r>
      <w:r w:rsidR="00431080">
        <w:t>207 of the 215 state and integrated schools in greater Christchurch suffered damage as a result of the earthquakes</w:t>
      </w:r>
      <w:r w:rsidR="00AC143D">
        <w:t xml:space="preserve">. </w:t>
      </w:r>
      <w:r w:rsidR="00AC143D" w:rsidRPr="002E0BB8">
        <w:t xml:space="preserve">The Government is investing $1 billion in renewing and modernising the schooling network in greater Christchurch over the next 10 years. </w:t>
      </w:r>
      <w:r w:rsidR="00AC143D">
        <w:t xml:space="preserve">This includes building 16 new or relocated schools and undertaking substantial rebuilds of another 30 schools. </w:t>
      </w:r>
      <w:r w:rsidR="00AC143D" w:rsidRPr="002E0BB8">
        <w:t xml:space="preserve">At the end of that time, Christchurch will have one of the best schooling networks in </w:t>
      </w:r>
      <w:r w:rsidR="001239FD">
        <w:t>New Zealand</w:t>
      </w:r>
      <w:r w:rsidR="00AC143D" w:rsidRPr="002E0BB8">
        <w:t>. The majority will be modern schools equipped for modern day teaching practices, with new facilities and advanced infrastructure, including access to ultra-fast broadband, modern information technology, flexible spaces, and energy efficient buildings, with plenty of natural light and fresh air.</w:t>
      </w:r>
    </w:p>
    <w:p w:rsidR="00B10E79" w:rsidRPr="00AC143D" w:rsidRDefault="00AC143D" w:rsidP="002E741F">
      <w:pPr>
        <w:pStyle w:val="Heading3"/>
      </w:pPr>
      <w:r w:rsidRPr="00AC143D">
        <w:t>Education Renewal Plan</w:t>
      </w:r>
    </w:p>
    <w:p w:rsidR="00FE03F2" w:rsidRPr="002E0BB8" w:rsidRDefault="00FE03F2" w:rsidP="00FE03F2">
      <w:pPr>
        <w:pStyle w:val="BodyText"/>
      </w:pPr>
      <w:bookmarkStart w:id="51" w:name="_Toc303511353"/>
      <w:r>
        <w:t>Following consultation with the education sector and the general community, the Ministry released the Educational Renewal Recovery Programme in late 2012. This plan outlined the future shape of education provision in greater Christchurch, as well as informing decisions regarding the restructuring of the greater Christchurch school network</w:t>
      </w:r>
      <w:r w:rsidRPr="002E0BB8">
        <w:t>.</w:t>
      </w:r>
      <w:r>
        <w:t xml:space="preserve"> </w:t>
      </w:r>
    </w:p>
    <w:p w:rsidR="00FE03F2" w:rsidRPr="002E0BB8" w:rsidRDefault="00FE03F2" w:rsidP="00FE03F2">
      <w:pPr>
        <w:pStyle w:val="BodyText"/>
      </w:pPr>
      <w:r w:rsidRPr="002E0BB8">
        <w:t xml:space="preserve">The Education Renewal proposals </w:t>
      </w:r>
      <w:r>
        <w:t xml:space="preserve">involve </w:t>
      </w:r>
      <w:r w:rsidRPr="002E0BB8">
        <w:t xml:space="preserve">38 schools </w:t>
      </w:r>
      <w:r w:rsidR="00C21FA6">
        <w:rPr>
          <w:rFonts w:cs="Arial"/>
        </w:rPr>
        <w:t>―</w:t>
      </w:r>
      <w:r w:rsidRPr="002E0BB8">
        <w:t xml:space="preserve"> some 20 per</w:t>
      </w:r>
      <w:r w:rsidR="00AB3911">
        <w:t xml:space="preserve"> </w:t>
      </w:r>
      <w:r w:rsidRPr="002E0BB8">
        <w:t xml:space="preserve">cent of the 215 schools in greater Christchurch. </w:t>
      </w:r>
      <w:r>
        <w:t>As at September 2013, all 38 schools</w:t>
      </w:r>
      <w:r w:rsidRPr="002E0BB8">
        <w:t xml:space="preserve"> have received </w:t>
      </w:r>
      <w:r>
        <w:t xml:space="preserve">final </w:t>
      </w:r>
      <w:r w:rsidRPr="002E0BB8">
        <w:t>decisions</w:t>
      </w:r>
      <w:r>
        <w:t>; these decisions were reached after nine months of consultation including two consultation periods with each of the affected schools. In summary, 14 schools received decisions to stay open on their current sites; 11 schools received decisions to merge, creating five merged schools; 11 received decisions to close; and two schools chose to close voluntarily. T</w:t>
      </w:r>
      <w:r w:rsidRPr="002E0BB8">
        <w:t xml:space="preserve">he decisions account for a number of different factors other than earthquake damage, including declining rolls, the age and wear-and-tear of schools, future population growth and school location, as well as the opportunity to establish modern learning environments and ‘build back better’. </w:t>
      </w:r>
    </w:p>
    <w:p w:rsidR="00FE03F2" w:rsidRDefault="00FE03F2" w:rsidP="00FE03F2">
      <w:pPr>
        <w:pStyle w:val="BodyText"/>
      </w:pPr>
      <w:r>
        <w:t>The proposals were first announced in September 2012, and two schools chose to close voluntarily after the announcement. Education Minister Hekia Parata announced interim decisions for 31 schools in February 2013, and the first set of final decisions (relating to 12 schools) was released in March 2013.</w:t>
      </w:r>
      <w:r w:rsidR="00235FD2">
        <w:t xml:space="preserve"> </w:t>
      </w:r>
      <w:r>
        <w:t>This was followed by the announcement of final decisions for a further 16 schools at the end of May 2013, and an additional eight schools in September 2013.</w:t>
      </w:r>
    </w:p>
    <w:p w:rsidR="00FE03F2" w:rsidRDefault="00FE03F2" w:rsidP="00FE03F2">
      <w:pPr>
        <w:pStyle w:val="BodyText"/>
      </w:pPr>
      <w:r w:rsidRPr="00C21FC3">
        <w:t xml:space="preserve">The decisions announced by the Minister at the end of May were for seven schools to close, and six schools to merge to become three. Three schools (two of them Maori immersion schools) will remain open on their current sites. The seven schools that will close have a combined roll of </w:t>
      </w:r>
      <w:r w:rsidRPr="0036263C">
        <w:t xml:space="preserve">around </w:t>
      </w:r>
      <w:r w:rsidRPr="00C21FC3">
        <w:t>700 students.</w:t>
      </w:r>
    </w:p>
    <w:p w:rsidR="00FE03F2" w:rsidRDefault="00FE03F2" w:rsidP="00FE03F2">
      <w:pPr>
        <w:pStyle w:val="BodyText"/>
      </w:pPr>
      <w:r>
        <w:t>In September, the Minister announced decisions for the final eight schools from New Brighton and Aranui. A new community campus catering for Years 1</w:t>
      </w:r>
      <w:r w:rsidR="00C21FA6">
        <w:rPr>
          <w:rFonts w:cs="Arial"/>
        </w:rPr>
        <w:t>–</w:t>
      </w:r>
      <w:r>
        <w:t xml:space="preserve">13 will be opened on the current Aranui High School site in 2017. Four of the existing schools will close, and one school is to remain open on their current site. In addition, three schools will merge to create one merged school. </w:t>
      </w:r>
    </w:p>
    <w:p w:rsidR="001239FD" w:rsidRPr="003C2ACE" w:rsidRDefault="001239FD" w:rsidP="003C2ACE">
      <w:pPr>
        <w:pStyle w:val="Heading2"/>
      </w:pPr>
      <w:bookmarkStart w:id="52" w:name="_Toc367361628"/>
      <w:r>
        <w:t>Novopay</w:t>
      </w:r>
      <w:bookmarkEnd w:id="52"/>
    </w:p>
    <w:p w:rsidR="00C44809" w:rsidRDefault="00C44809" w:rsidP="002E741F">
      <w:pPr>
        <w:pStyle w:val="BodyText"/>
      </w:pPr>
      <w:r>
        <w:t>On 20 August 2012, the new schools’ payroll system, Novopay, was introduced nation-wide, with the first pay run occurring on 5 September. This new system encompassed the schooling sector payroll in New Zealand, which is one of the largest and most complex payrolls in Australasia, paying approximately $170 million to around 90,000 people each fortnight. Adding to the complexity created by the large size of the sector, around 30% of the education workforce is employed in flexible positions, which can involve working at multiple different schools and in differing capacities during the same pay period. Due to the highly mobile nature of the education workforce and the associated range of unique employment conditions, some initial issues with No</w:t>
      </w:r>
      <w:r w:rsidR="004801C2">
        <w:t>vopay were anticipated, but</w:t>
      </w:r>
      <w:r>
        <w:t xml:space="preserve"> the actual level of problems and errors relating to school staff members’ pay that resulted after the rollout was significantly larger than what was expected.</w:t>
      </w:r>
    </w:p>
    <w:p w:rsidR="00C44809" w:rsidRDefault="00C44809" w:rsidP="00C44809">
      <w:r>
        <w:t xml:space="preserve">Problems with the Novopay system were evident from the first pay round, with approximately 5,000 staff underpaid, approximately 700 staff overpaid, and 15 people not paid at all. </w:t>
      </w:r>
      <w:r w:rsidR="004801C2">
        <w:t>Issues</w:t>
      </w:r>
      <w:r>
        <w:t xml:space="preserve"> with achieving accurate payroll payments were ongoing from that point; while a majority</w:t>
      </w:r>
      <w:r w:rsidR="00672609">
        <w:t xml:space="preserve"> of staff were paid correctly,</w:t>
      </w:r>
      <w:r>
        <w:t xml:space="preserve"> significant number</w:t>
      </w:r>
      <w:r w:rsidR="00672609">
        <w:t>s</w:t>
      </w:r>
      <w:r>
        <w:t xml:space="preserve"> of staff were not receiving the right amount of pay at the right time. The inaccuracies in paym</w:t>
      </w:r>
      <w:r w:rsidR="00672609">
        <w:t>ents related not just to salary</w:t>
      </w:r>
      <w:r>
        <w:t xml:space="preserve"> but also included payments made to ACC and superannuation funds, student loan repayments, Kiwisaver contributions, and automatic insurance payments. </w:t>
      </w:r>
    </w:p>
    <w:p w:rsidR="00C44809" w:rsidRDefault="00C44809" w:rsidP="00C44809">
      <w:r>
        <w:t>In a survey of secondary school staff conducted by the New Zealand Post Primary Teachers’ Association (PPTA), 49.4% of the 4,659 respondents indicated that they had been financially affected by the Novopay system, including owing money to payroll, being owed money by pay roll, or incurring financial costs such as penalties for late bill payments (PPTA, 2013). Submissions received by the Ministerial Inquiry into the Novopay Project in the beginning of 2013 corroborated reports of the impact on New Zealand schools (Ministerial Inquiry into the Novopay Project,</w:t>
      </w:r>
      <w:r w:rsidR="00672609">
        <w:t xml:space="preserve"> 2013). T</w:t>
      </w:r>
      <w:r>
        <w:t>he Ministerial Inquiry found that the issues related to Nov</w:t>
      </w:r>
      <w:r w:rsidR="00672609">
        <w:t xml:space="preserve">opay had </w:t>
      </w:r>
      <w:r>
        <w:t xml:space="preserve">significantly impacted the schooling sector, noting that “[t]he Novopay issues have distracted the sector’s attention from its rightful focus </w:t>
      </w:r>
      <w:r w:rsidR="00C21FA6">
        <w:rPr>
          <w:rFonts w:cs="Arial"/>
        </w:rPr>
        <w:t>―</w:t>
      </w:r>
      <w:r>
        <w:t xml:space="preserve"> improving educ</w:t>
      </w:r>
      <w:r w:rsidR="00672609">
        <w:t>ational outcomes for students.”</w:t>
      </w:r>
    </w:p>
    <w:p w:rsidR="00C44809" w:rsidRDefault="00C44809" w:rsidP="00C44809">
      <w:r>
        <w:t>A specialised Novopay business unit was established within the Ministry in March 2013</w:t>
      </w:r>
      <w:r w:rsidR="004801C2">
        <w:t xml:space="preserve"> in order to clear</w:t>
      </w:r>
      <w:r>
        <w:t xml:space="preserve"> the backlog of pay transactions related to Novopay payment issues. A $5 million remediation plan was also launched, focussed on eradicating software bugs and resolving historic issues. In recognition of the impact that Novopay had had on schools, it was announced in May 2013 that a $6 million support package would be put into effect in order to compensate schools for the additional administration hours that had been used in resolving Novopay issues. </w:t>
      </w:r>
    </w:p>
    <w:p w:rsidR="003C2ACE" w:rsidRDefault="003C2ACE" w:rsidP="001239FD"/>
    <w:p w:rsidR="003C2ACE" w:rsidRPr="003C2ACE" w:rsidRDefault="003C2ACE" w:rsidP="001239FD">
      <w:pPr>
        <w:sectPr w:rsidR="003C2ACE" w:rsidRPr="003C2ACE" w:rsidSect="00AC143D">
          <w:headerReference w:type="even" r:id="rId16"/>
          <w:headerReference w:type="default" r:id="rId17"/>
          <w:pgSz w:w="11906" w:h="16838"/>
          <w:pgMar w:top="1701" w:right="1361" w:bottom="1134" w:left="1701" w:header="709" w:footer="709" w:gutter="0"/>
          <w:cols w:space="567"/>
          <w:docGrid w:linePitch="360"/>
        </w:sectPr>
      </w:pPr>
    </w:p>
    <w:p w:rsidR="00FF4160" w:rsidRPr="00051C07" w:rsidRDefault="00FF4160" w:rsidP="00FC15F7">
      <w:pPr>
        <w:pStyle w:val="Heading1"/>
      </w:pPr>
      <w:bookmarkStart w:id="53" w:name="_Toc367361629"/>
      <w:r w:rsidRPr="00051C07">
        <w:t>Chapter 2: Resourcing</w:t>
      </w:r>
      <w:bookmarkEnd w:id="51"/>
      <w:bookmarkEnd w:id="53"/>
    </w:p>
    <w:p w:rsidR="006C7D01" w:rsidRPr="00051C07" w:rsidRDefault="006C7D01" w:rsidP="006C7D01">
      <w:pPr>
        <w:pStyle w:val="Heading2"/>
      </w:pPr>
      <w:bookmarkStart w:id="54" w:name="_Toc303511354"/>
      <w:bookmarkStart w:id="55" w:name="_Toc304799237"/>
      <w:bookmarkStart w:id="56" w:name="_Toc367361630"/>
      <w:r w:rsidRPr="00051C07">
        <w:t>School resources</w:t>
      </w:r>
      <w:bookmarkEnd w:id="54"/>
      <w:bookmarkEnd w:id="55"/>
      <w:bookmarkEnd w:id="56"/>
    </w:p>
    <w:p w:rsidR="006C7D01" w:rsidRPr="00051C07" w:rsidRDefault="006C7D01" w:rsidP="002E741F">
      <w:pPr>
        <w:pStyle w:val="Heading3"/>
      </w:pPr>
      <w:r w:rsidRPr="00051C07">
        <w:t>Background</w:t>
      </w:r>
    </w:p>
    <w:p w:rsidR="00051C07" w:rsidRPr="00CF2F0E" w:rsidRDefault="00051C07" w:rsidP="007A3F0B">
      <w:pPr>
        <w:pStyle w:val="BodyText"/>
      </w:pPr>
      <w:r w:rsidRPr="00CF2F0E">
        <w:t xml:space="preserve">The majority of government funding in the schooling sector is delivered to educational institutions in the form of operational grants and teacher salaries. There are expenditures where funding is not necessarily provided to schools but students directly benefit from the educational programmes and initiatives. School transport and school property funding are examples of such funding. </w:t>
      </w:r>
    </w:p>
    <w:p w:rsidR="00051C07" w:rsidRPr="00CF2F0E" w:rsidRDefault="00051C07" w:rsidP="007A3F0B">
      <w:pPr>
        <w:pStyle w:val="BodyText"/>
      </w:pPr>
      <w:r w:rsidRPr="00CF2F0E">
        <w:t>Operational grants and teacher salaries are directly transferred to educational institutions or teachers on behalf of educational institutions. The purpose of these funds is running day-to-day operations. With the exception of Secondary Tertiary Alig</w:t>
      </w:r>
      <w:r>
        <w:t>nment Resource (STAR) funding, Boards of T</w:t>
      </w:r>
      <w:r w:rsidRPr="00CF2F0E">
        <w:t>rustees are given full discretion to spend government operational grants in accordance with their approved budget and plans. In addition to the approved Ministry staffing entitlement, schools can</w:t>
      </w:r>
      <w:r w:rsidR="00756A3E">
        <w:t xml:space="preserve"> hire more teaching staff, which also</w:t>
      </w:r>
      <w:r w:rsidRPr="00CF2F0E">
        <w:t xml:space="preserve"> can be funded through locally raised revenues. </w:t>
      </w:r>
    </w:p>
    <w:p w:rsidR="00051C07" w:rsidRPr="00CF2F0E" w:rsidRDefault="00051C07" w:rsidP="007A3F0B">
      <w:pPr>
        <w:pStyle w:val="BodyText"/>
      </w:pPr>
      <w:r>
        <w:t>Aside from a few exceptions</w:t>
      </w:r>
      <w:r w:rsidRPr="00CF2F0E">
        <w:t xml:space="preserve"> </w:t>
      </w:r>
      <w:r>
        <w:t>(</w:t>
      </w:r>
      <w:r w:rsidRPr="00CF2F0E">
        <w:t>where schools have raised funds and contributed financially themselves</w:t>
      </w:r>
      <w:r>
        <w:t>)</w:t>
      </w:r>
      <w:r w:rsidRPr="00CF2F0E">
        <w:t xml:space="preserve">, the Crown owns all </w:t>
      </w:r>
      <w:r>
        <w:t xml:space="preserve">state non-integrated </w:t>
      </w:r>
      <w:r w:rsidRPr="00CF2F0E">
        <w:t xml:space="preserve">school buildings and land. Direct property funding for building new classrooms and funding major capital works on school property is provided to </w:t>
      </w:r>
      <w:r>
        <w:t xml:space="preserve">state non-integrated </w:t>
      </w:r>
      <w:r w:rsidRPr="00CF2F0E">
        <w:t xml:space="preserve">schools or third parties on behalf of the Crown. </w:t>
      </w:r>
      <w:r w:rsidRPr="00CF2F0E" w:rsidDel="00570EBD">
        <w:t>S</w:t>
      </w:r>
      <w:r w:rsidRPr="00CF2F0E">
        <w:t>ome schools can also receive government funding through participation in various educational programmes or initiatives funded by government.</w:t>
      </w:r>
    </w:p>
    <w:p w:rsidR="00051C07" w:rsidRPr="00CF2F0E" w:rsidRDefault="00051C07" w:rsidP="007A3F0B">
      <w:pPr>
        <w:pStyle w:val="BodyText"/>
      </w:pPr>
      <w:r w:rsidRPr="00CF2F0E">
        <w:t xml:space="preserve">The Government also gives various kinds of in-kind resourcing, including software licensing, laptops for principals and teachers, other ICT support and professional development. The Government has committed to providing 97% of New Zealand schools with access to ultra-fast broadband </w:t>
      </w:r>
      <w:r>
        <w:t>by 2016</w:t>
      </w:r>
      <w:r w:rsidRPr="00CF2F0E">
        <w:t>, on the back of its $1.5 billion national fibre rollout, which is being overseen by the Ministry of Economic Development.</w:t>
      </w:r>
    </w:p>
    <w:p w:rsidR="00051C07" w:rsidRPr="00CF2F0E" w:rsidRDefault="00051C07" w:rsidP="007A3F0B">
      <w:pPr>
        <w:pStyle w:val="BodyText"/>
      </w:pPr>
      <w:r w:rsidRPr="00CF2F0E">
        <w:t xml:space="preserve">Government funding is not the only source of revenue for schools. Schools raise funds locally from parents and communities. They also organise fairs, operate hostels and generate funds through enrolling international students. </w:t>
      </w:r>
    </w:p>
    <w:p w:rsidR="00051C07" w:rsidRPr="00CF2F0E" w:rsidRDefault="00051C07" w:rsidP="007A3F0B">
      <w:pPr>
        <w:pStyle w:val="BodyText"/>
      </w:pPr>
      <w:r w:rsidRPr="00CF2F0E">
        <w:t>The following section focuses on the government resources provided to schools for delivering educational services.</w:t>
      </w:r>
    </w:p>
    <w:p w:rsidR="006C7D01" w:rsidRPr="00811F8E" w:rsidRDefault="006C7D01" w:rsidP="002E741F">
      <w:pPr>
        <w:pStyle w:val="Heading3"/>
      </w:pPr>
      <w:r w:rsidRPr="00811F8E">
        <w:t>Government funding to schools</w:t>
      </w:r>
    </w:p>
    <w:p w:rsidR="000B1D63" w:rsidRPr="00CF2F0E" w:rsidRDefault="000B1D63" w:rsidP="007A3F0B">
      <w:pPr>
        <w:pStyle w:val="BodyText"/>
      </w:pPr>
      <w:r w:rsidRPr="00CF2F0E">
        <w:t xml:space="preserve">New Zealand schools are primarily funded by the Government. The three main components of funding are: </w:t>
      </w:r>
    </w:p>
    <w:p w:rsidR="000B1D63" w:rsidRPr="008B0759" w:rsidRDefault="000B1D63" w:rsidP="007A3F0B">
      <w:pPr>
        <w:pStyle w:val="BodyTextBullets"/>
      </w:pPr>
      <w:r w:rsidRPr="008B0759">
        <w:t>operational funding, including property maintenance (on which the Government spent $1,23</w:t>
      </w:r>
      <w:r>
        <w:t>9</w:t>
      </w:r>
      <w:r w:rsidRPr="008B0759">
        <w:t xml:space="preserve"> million in 2012)</w:t>
      </w:r>
    </w:p>
    <w:p w:rsidR="000B1D63" w:rsidRPr="008B0759" w:rsidRDefault="000B1D63" w:rsidP="007A3F0B">
      <w:pPr>
        <w:pStyle w:val="BodyTextBullets"/>
      </w:pPr>
      <w:r w:rsidRPr="008B0759">
        <w:t>staffing ($3,52</w:t>
      </w:r>
      <w:r>
        <w:t>4</w:t>
      </w:r>
      <w:r w:rsidRPr="008B0759">
        <w:t xml:space="preserve"> million in 2012)</w:t>
      </w:r>
      <w:r>
        <w:t>, and</w:t>
      </w:r>
      <w:r w:rsidRPr="008B0759">
        <w:t xml:space="preserve"> </w:t>
      </w:r>
    </w:p>
    <w:p w:rsidR="000B1D63" w:rsidRPr="008B0759" w:rsidRDefault="000B1D63" w:rsidP="000B1D63">
      <w:pPr>
        <w:pStyle w:val="BodyTextBulletslast"/>
      </w:pPr>
      <w:r w:rsidRPr="008B0759">
        <w:t>property capital works ($</w:t>
      </w:r>
      <w:r>
        <w:t>391</w:t>
      </w:r>
      <w:r w:rsidRPr="008B0759">
        <w:t xml:space="preserve"> million in 201</w:t>
      </w:r>
      <w:r>
        <w:t>2</w:t>
      </w:r>
      <w:r w:rsidRPr="008B0759">
        <w:t>).</w:t>
      </w:r>
      <w:r w:rsidRPr="008B0759">
        <w:rPr>
          <w:vertAlign w:val="superscript"/>
        </w:rPr>
        <w:footnoteReference w:id="2"/>
      </w:r>
    </w:p>
    <w:p w:rsidR="006C7D01" w:rsidRPr="0060013A" w:rsidRDefault="006C7D01" w:rsidP="00257BC8">
      <w:pPr>
        <w:pStyle w:val="Heading4"/>
        <w:rPr>
          <w:highlight w:val="yellow"/>
        </w:rPr>
      </w:pPr>
      <w:r w:rsidRPr="0060013A">
        <w:rPr>
          <w:highlight w:val="yellow"/>
        </w:rPr>
        <w:br w:type="page"/>
      </w:r>
      <w:r w:rsidRPr="00811F8E">
        <w:t>Operational funding to schools</w:t>
      </w:r>
    </w:p>
    <w:p w:rsidR="00811F8E" w:rsidRPr="00CF2F0E" w:rsidRDefault="00811F8E" w:rsidP="007A3F0B">
      <w:pPr>
        <w:pStyle w:val="BodyText"/>
      </w:pPr>
      <w:bookmarkStart w:id="57" w:name="_Toc304214667"/>
      <w:r w:rsidRPr="00CF2F0E">
        <w:t xml:space="preserve">Operational funding consists of several components, each with its own formulae and drivers. Detailed descriptions of each component, their drivers and formulae can be found in the </w:t>
      </w:r>
      <w:r w:rsidRPr="00CF2F0E">
        <w:rPr>
          <w:i/>
        </w:rPr>
        <w:t>Funding, Staffing and Allowance Handbook</w:t>
      </w:r>
      <w:r w:rsidRPr="00CF2F0E">
        <w:t>.</w:t>
      </w:r>
      <w:r w:rsidRPr="00CF2F0E">
        <w:rPr>
          <w:vertAlign w:val="superscript"/>
        </w:rPr>
        <w:footnoteReference w:id="3"/>
      </w:r>
      <w:r w:rsidRPr="00CF2F0E">
        <w:t xml:space="preserve"> Figure 2 shows that total operational funding has increased over the last 10 years, both in nominal and real (201</w:t>
      </w:r>
      <w:r>
        <w:t>2</w:t>
      </w:r>
      <w:r w:rsidRPr="00CF2F0E">
        <w:t>) terms. Between 200</w:t>
      </w:r>
      <w:r>
        <w:t>2</w:t>
      </w:r>
      <w:r w:rsidRPr="00CF2F0E">
        <w:t xml:space="preserve"> and 201</w:t>
      </w:r>
      <w:r>
        <w:t>2</w:t>
      </w:r>
      <w:r w:rsidRPr="00CF2F0E">
        <w:t xml:space="preserve"> operational funding provided to schools increased by </w:t>
      </w:r>
      <w:r>
        <w:t>12.9</w:t>
      </w:r>
      <w:r w:rsidRPr="00CF2F0E">
        <w:t>% in real terms.</w:t>
      </w:r>
    </w:p>
    <w:p w:rsidR="006C7D01" w:rsidRPr="00FF505A" w:rsidRDefault="006C7D01" w:rsidP="00F75B24">
      <w:pPr>
        <w:pStyle w:val="FigureHeading"/>
      </w:pPr>
      <w:bookmarkStart w:id="58" w:name="_Toc367361579"/>
      <w:r w:rsidRPr="00FF505A">
        <w:t>Nominal and real ope</w:t>
      </w:r>
      <w:r w:rsidR="00811F8E" w:rsidRPr="00FF505A">
        <w:t>rational grants to schools, 2002</w:t>
      </w:r>
      <w:r w:rsidRPr="00FF505A">
        <w:t>–201</w:t>
      </w:r>
      <w:bookmarkEnd w:id="57"/>
      <w:r w:rsidR="00811F8E" w:rsidRPr="00FF505A">
        <w:t>2</w:t>
      </w:r>
      <w:bookmarkEnd w:id="58"/>
    </w:p>
    <w:p w:rsidR="006C7D01" w:rsidRPr="0060013A" w:rsidRDefault="00D375FF" w:rsidP="0027731F">
      <w:pPr>
        <w:pStyle w:val="BodyText"/>
        <w:rPr>
          <w:highlight w:val="yellow"/>
        </w:rPr>
      </w:pPr>
      <w:r>
        <w:rPr>
          <w:noProof/>
          <w:lang w:val="en-NZ"/>
        </w:rPr>
        <w:drawing>
          <wp:inline distT="0" distB="0" distL="0" distR="0">
            <wp:extent cx="5615940" cy="1862455"/>
            <wp:effectExtent l="19050" t="0" r="3810" b="0"/>
            <wp:docPr id="2" name="Picture 1" descr="Line graph showing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_HR.png"/>
                    <pic:cNvPicPr/>
                  </pic:nvPicPr>
                  <pic:blipFill>
                    <a:blip r:embed="rId18" cstate="print"/>
                    <a:stretch>
                      <a:fillRect/>
                    </a:stretch>
                  </pic:blipFill>
                  <pic:spPr>
                    <a:xfrm>
                      <a:off x="0" y="0"/>
                      <a:ext cx="5615940" cy="1862455"/>
                    </a:xfrm>
                    <a:prstGeom prst="rect">
                      <a:avLst/>
                    </a:prstGeom>
                  </pic:spPr>
                </pic:pic>
              </a:graphicData>
            </a:graphic>
          </wp:inline>
        </w:drawing>
      </w:r>
    </w:p>
    <w:p w:rsidR="001653E4" w:rsidRPr="004278C3" w:rsidRDefault="001653E4" w:rsidP="004278C3">
      <w:pPr>
        <w:pStyle w:val="TableFootnote"/>
        <w:spacing w:after="40"/>
        <w:rPr>
          <w:bCs w:val="0"/>
          <w:highlight w:val="yellow"/>
        </w:rPr>
      </w:pPr>
    </w:p>
    <w:p w:rsidR="00811F8E" w:rsidRPr="00CF2F0E" w:rsidRDefault="00811F8E" w:rsidP="007A3F0B">
      <w:pPr>
        <w:pStyle w:val="BodyText"/>
      </w:pPr>
      <w:r w:rsidRPr="00CF2F0E">
        <w:t>Over the past year operational funding sta</w:t>
      </w:r>
      <w:r>
        <w:t>yed relatively stable, with a 1</w:t>
      </w:r>
      <w:r w:rsidRPr="00CF2F0E">
        <w:t>% increase in real terms. A more detailed breakdown of operational grants to schools is available on the Education Counts website.</w:t>
      </w:r>
      <w:r w:rsidRPr="00CF2F0E">
        <w:rPr>
          <w:vertAlign w:val="superscript"/>
        </w:rPr>
        <w:footnoteReference w:id="4"/>
      </w:r>
    </w:p>
    <w:p w:rsidR="006C7D01" w:rsidRPr="003D0B7A" w:rsidRDefault="006C7D01" w:rsidP="00257BC8">
      <w:pPr>
        <w:pStyle w:val="Heading4"/>
      </w:pPr>
      <w:r w:rsidRPr="003D0B7A">
        <w:t xml:space="preserve">Funding for teacher </w:t>
      </w:r>
      <w:r w:rsidRPr="003D0B7A" w:rsidDel="00570EBD">
        <w:t>s</w:t>
      </w:r>
      <w:r w:rsidRPr="003D0B7A">
        <w:t>alaries</w:t>
      </w:r>
    </w:p>
    <w:p w:rsidR="003D0B7A" w:rsidRPr="00CF2F0E" w:rsidRDefault="003D0B7A" w:rsidP="007A3F0B">
      <w:pPr>
        <w:pStyle w:val="BodyText"/>
      </w:pPr>
      <w:bookmarkStart w:id="59" w:name="_Toc302801065"/>
      <w:bookmarkStart w:id="60" w:name="_Toc302801137"/>
      <w:bookmarkStart w:id="61" w:name="_Toc302910593"/>
      <w:bookmarkStart w:id="62" w:name="_Toc304214668"/>
      <w:bookmarkStart w:id="63" w:name="_Ref268022520"/>
      <w:bookmarkEnd w:id="59"/>
      <w:bookmarkEnd w:id="60"/>
      <w:bookmarkEnd w:id="61"/>
      <w:r w:rsidRPr="00CF2F0E">
        <w:t xml:space="preserve">Teacher salaries are centrally funded, which means the Ministry of Education pays teachers on behalf of schools. Teacher salary funding is based on entitlement staffing, which is derived from the year-level rolls of the school. Detailed descriptions and the calculation process for teacher staffing entitlements can be found in the </w:t>
      </w:r>
      <w:r w:rsidRPr="00CF2F0E">
        <w:rPr>
          <w:i/>
        </w:rPr>
        <w:t>Funding, Staffing and Allowance Handbook</w:t>
      </w:r>
      <w:r w:rsidRPr="00CF2F0E">
        <w:t>.</w:t>
      </w:r>
      <w:r>
        <w:t xml:space="preserve"> Figure 3 displays</w:t>
      </w:r>
      <w:r w:rsidRPr="00CF2F0E">
        <w:t xml:space="preserve"> the total funding for teacher salaries from 200</w:t>
      </w:r>
      <w:r>
        <w:t>2</w:t>
      </w:r>
      <w:r w:rsidRPr="00CF2F0E">
        <w:t xml:space="preserve"> to 201</w:t>
      </w:r>
      <w:r>
        <w:t>2</w:t>
      </w:r>
      <w:r w:rsidRPr="00CF2F0E">
        <w:t>, in nominal and real (201</w:t>
      </w:r>
      <w:r>
        <w:t>2</w:t>
      </w:r>
      <w:r w:rsidRPr="00CF2F0E">
        <w:t>) terms.</w:t>
      </w:r>
    </w:p>
    <w:p w:rsidR="00756A3E" w:rsidRPr="00CF2F0E" w:rsidRDefault="00756A3E" w:rsidP="00756A3E">
      <w:pPr>
        <w:pStyle w:val="BodyText"/>
      </w:pPr>
      <w:r w:rsidRPr="00CF2F0E">
        <w:t xml:space="preserve">Government funding for teacher salaries increased by </w:t>
      </w:r>
      <w:r>
        <w:t>70.5</w:t>
      </w:r>
      <w:r w:rsidRPr="00CF2F0E">
        <w:t>% in nominal terms, or by 3</w:t>
      </w:r>
      <w:r>
        <w:t>1</w:t>
      </w:r>
      <w:r w:rsidRPr="00CF2F0E">
        <w:t>.</w:t>
      </w:r>
      <w:r>
        <w:t>6</w:t>
      </w:r>
      <w:r w:rsidRPr="00CF2F0E">
        <w:t>% in real terms</w:t>
      </w:r>
      <w:r>
        <w:t>,</w:t>
      </w:r>
      <w:r w:rsidRPr="00CF2F0E">
        <w:t xml:space="preserve"> between 200</w:t>
      </w:r>
      <w:r>
        <w:t>2</w:t>
      </w:r>
      <w:r w:rsidRPr="00CF2F0E">
        <w:t xml:space="preserve"> and 201</w:t>
      </w:r>
      <w:r>
        <w:t>2. T</w:t>
      </w:r>
      <w:r w:rsidRPr="00CF2F0E">
        <w:t xml:space="preserve">eacher salaries </w:t>
      </w:r>
      <w:r>
        <w:t>de</w:t>
      </w:r>
      <w:r w:rsidRPr="00CF2F0E">
        <w:t xml:space="preserve">creased by </w:t>
      </w:r>
      <w:r>
        <w:t>0.3</w:t>
      </w:r>
      <w:r w:rsidRPr="00CF2F0E">
        <w:t>% in real terms from 20</w:t>
      </w:r>
      <w:r>
        <w:t>11, however this figure relates to salaries before the new collective agreements for primary, composite, and secondary schools came into effect in 2013</w:t>
      </w:r>
      <w:r w:rsidRPr="00CF2F0E">
        <w:t>. A more detailed breakdown of salaries funding to schools is available on the Education Counts website.</w:t>
      </w:r>
    </w:p>
    <w:p w:rsidR="006C7D01" w:rsidRPr="00FF505A" w:rsidRDefault="006C7D01" w:rsidP="00825191">
      <w:pPr>
        <w:pStyle w:val="FigureHeading"/>
      </w:pPr>
      <w:bookmarkStart w:id="64" w:name="_Toc367361580"/>
      <w:r w:rsidRPr="00FF505A">
        <w:t xml:space="preserve">Teacher salary funding to state </w:t>
      </w:r>
      <w:r w:rsidRPr="00FF505A" w:rsidDel="00570EBD">
        <w:t>a</w:t>
      </w:r>
      <w:r w:rsidRPr="00FF505A">
        <w:t>n</w:t>
      </w:r>
      <w:r w:rsidR="003D0B7A" w:rsidRPr="00FF505A">
        <w:t>d state-integrated schools, 2002</w:t>
      </w:r>
      <w:r w:rsidRPr="00FF505A" w:rsidDel="00570EBD">
        <w:t>–</w:t>
      </w:r>
      <w:r w:rsidRPr="00FF505A">
        <w:t>201</w:t>
      </w:r>
      <w:bookmarkEnd w:id="62"/>
      <w:r w:rsidR="003D0B7A" w:rsidRPr="00FF505A">
        <w:t>2</w:t>
      </w:r>
      <w:bookmarkEnd w:id="64"/>
    </w:p>
    <w:p w:rsidR="006C7D01" w:rsidRPr="0060013A" w:rsidRDefault="00D375FF" w:rsidP="0027731F">
      <w:pPr>
        <w:pStyle w:val="BodyText"/>
        <w:rPr>
          <w:highlight w:val="yellow"/>
        </w:rPr>
      </w:pPr>
      <w:r>
        <w:rPr>
          <w:noProof/>
          <w:lang w:val="en-NZ"/>
        </w:rPr>
        <w:drawing>
          <wp:inline distT="0" distB="0" distL="0" distR="0">
            <wp:extent cx="5615940" cy="1862455"/>
            <wp:effectExtent l="19050" t="0" r="3810" b="0"/>
            <wp:docPr id="6" name="Picture 5" descr="Line graph showing 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3_HR.png"/>
                    <pic:cNvPicPr/>
                  </pic:nvPicPr>
                  <pic:blipFill>
                    <a:blip r:embed="rId19" cstate="print"/>
                    <a:stretch>
                      <a:fillRect/>
                    </a:stretch>
                  </pic:blipFill>
                  <pic:spPr>
                    <a:xfrm>
                      <a:off x="0" y="0"/>
                      <a:ext cx="5615940" cy="1862455"/>
                    </a:xfrm>
                    <a:prstGeom prst="rect">
                      <a:avLst/>
                    </a:prstGeom>
                  </pic:spPr>
                </pic:pic>
              </a:graphicData>
            </a:graphic>
          </wp:inline>
        </w:drawing>
      </w:r>
    </w:p>
    <w:bookmarkEnd w:id="63"/>
    <w:p w:rsidR="006C7D01" w:rsidRPr="00E82951" w:rsidRDefault="006C7D01" w:rsidP="00257BC8">
      <w:pPr>
        <w:pStyle w:val="Heading4"/>
      </w:pPr>
      <w:r w:rsidRPr="00E82951">
        <w:t xml:space="preserve">Direct property funding to </w:t>
      </w:r>
      <w:r w:rsidRPr="00E82951" w:rsidDel="00570EBD">
        <w:t>s</w:t>
      </w:r>
      <w:r w:rsidRPr="00E82951">
        <w:t>chools</w:t>
      </w:r>
    </w:p>
    <w:p w:rsidR="00E82951" w:rsidRPr="00CF2F0E" w:rsidRDefault="00E82951" w:rsidP="007A3F0B">
      <w:pPr>
        <w:pStyle w:val="BodyText"/>
      </w:pPr>
      <w:bookmarkStart w:id="65" w:name="_Toc304214669"/>
      <w:r w:rsidRPr="00CF2F0E">
        <w:t>The Crown owns the buildings and land of state schools, and the proprietors own the buildings and land of state-integrated schools. Both Crown and proprietors must make sure that school property can accommodate current and future enrolments</w:t>
      </w:r>
      <w:r w:rsidRPr="00CF2F0E" w:rsidDel="00570EBD">
        <w:t xml:space="preserve"> and</w:t>
      </w:r>
      <w:r w:rsidRPr="00CF2F0E">
        <w:t xml:space="preserve"> meet health and safety requirements, and hence facilitate learning. To help ensure this, the Ministry of Education and state schools agree on a five-year school property plan that allocates an amount of funding available to the school over this period. Schools can draw funding for property works each year in accordance with this plan. Figure 4 shows nominal and real direct property funding from 200</w:t>
      </w:r>
      <w:r>
        <w:t>2</w:t>
      </w:r>
      <w:r w:rsidRPr="00CF2F0E">
        <w:t xml:space="preserve"> to 201</w:t>
      </w:r>
      <w:r>
        <w:t>2</w:t>
      </w:r>
      <w:r w:rsidRPr="00CF2F0E">
        <w:t>.</w:t>
      </w:r>
    </w:p>
    <w:p w:rsidR="006C7D01" w:rsidRPr="00FF505A" w:rsidRDefault="006C7D01" w:rsidP="00F75B24">
      <w:pPr>
        <w:pStyle w:val="FigureHeading"/>
      </w:pPr>
      <w:bookmarkStart w:id="66" w:name="_Toc367361581"/>
      <w:r w:rsidRPr="00FF505A">
        <w:t xml:space="preserve">Direct </w:t>
      </w:r>
      <w:r w:rsidRPr="00FF505A" w:rsidDel="00570EBD">
        <w:t>p</w:t>
      </w:r>
      <w:r w:rsidR="00E82951" w:rsidRPr="00FF505A">
        <w:t>roperty funding to schools, 2002</w:t>
      </w:r>
      <w:r w:rsidRPr="00FF505A">
        <w:t>–201</w:t>
      </w:r>
      <w:bookmarkEnd w:id="65"/>
      <w:r w:rsidR="00E82951" w:rsidRPr="00FF505A">
        <w:t>2</w:t>
      </w:r>
      <w:bookmarkEnd w:id="66"/>
    </w:p>
    <w:p w:rsidR="006C7D01" w:rsidRPr="0060013A" w:rsidRDefault="00D375FF" w:rsidP="0027731F">
      <w:pPr>
        <w:pStyle w:val="BodyText"/>
        <w:rPr>
          <w:highlight w:val="yellow"/>
        </w:rPr>
      </w:pPr>
      <w:r>
        <w:rPr>
          <w:noProof/>
          <w:lang w:val="en-NZ"/>
        </w:rPr>
        <w:drawing>
          <wp:inline distT="0" distB="0" distL="0" distR="0">
            <wp:extent cx="5615940" cy="1862455"/>
            <wp:effectExtent l="19050" t="0" r="3810" b="0"/>
            <wp:docPr id="7" name="Picture 6" descr="Line graph showing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4_HR.png"/>
                    <pic:cNvPicPr/>
                  </pic:nvPicPr>
                  <pic:blipFill>
                    <a:blip r:embed="rId20" cstate="print"/>
                    <a:stretch>
                      <a:fillRect/>
                    </a:stretch>
                  </pic:blipFill>
                  <pic:spPr>
                    <a:xfrm>
                      <a:off x="0" y="0"/>
                      <a:ext cx="5615940" cy="1862455"/>
                    </a:xfrm>
                    <a:prstGeom prst="rect">
                      <a:avLst/>
                    </a:prstGeom>
                  </pic:spPr>
                </pic:pic>
              </a:graphicData>
            </a:graphic>
          </wp:inline>
        </w:drawing>
      </w:r>
    </w:p>
    <w:p w:rsidR="00256F20" w:rsidRPr="0060013A" w:rsidRDefault="00256F20" w:rsidP="00256F20">
      <w:pPr>
        <w:pStyle w:val="TableFootnote"/>
        <w:spacing w:after="40"/>
        <w:rPr>
          <w:bCs w:val="0"/>
          <w:highlight w:val="yellow"/>
        </w:rPr>
      </w:pPr>
    </w:p>
    <w:p w:rsidR="00E82951" w:rsidRPr="00CF2F0E" w:rsidRDefault="00E82951" w:rsidP="007A3F0B">
      <w:pPr>
        <w:pStyle w:val="BodyText"/>
      </w:pPr>
      <w:bookmarkStart w:id="67" w:name="_Toc303511355"/>
      <w:bookmarkStart w:id="68" w:name="_Toc304799238"/>
      <w:r w:rsidRPr="00CF2F0E">
        <w:t xml:space="preserve">Over the past year, direct property funding </w:t>
      </w:r>
      <w:r>
        <w:t>de</w:t>
      </w:r>
      <w:r w:rsidRPr="00CF2F0E">
        <w:t xml:space="preserve">creased by </w:t>
      </w:r>
      <w:r>
        <w:t>21.4</w:t>
      </w:r>
      <w:r w:rsidRPr="00CF2F0E">
        <w:t>% in real terms. Between 200</w:t>
      </w:r>
      <w:r>
        <w:t>2</w:t>
      </w:r>
      <w:r w:rsidRPr="00CF2F0E">
        <w:t xml:space="preserve"> and 201</w:t>
      </w:r>
      <w:r>
        <w:t>2,</w:t>
      </w:r>
      <w:r w:rsidRPr="00CF2F0E">
        <w:t xml:space="preserve"> the capital investment in school property increased by </w:t>
      </w:r>
      <w:r>
        <w:t>6.6</w:t>
      </w:r>
      <w:r w:rsidRPr="00CF2F0E">
        <w:t>% in real terms. A more detailed breakdown of property funding to schools is available on the Education Counts website.</w:t>
      </w:r>
    </w:p>
    <w:p w:rsidR="00F0676E" w:rsidRDefault="00F0676E">
      <w:pPr>
        <w:spacing w:after="0" w:line="240" w:lineRule="auto"/>
        <w:rPr>
          <w:rFonts w:ascii="Times New Roman" w:hAnsi="Times New Roman"/>
          <w:b/>
          <w:color w:val="4A7729"/>
          <w:sz w:val="28"/>
          <w:szCs w:val="20"/>
          <w:lang w:val="en-NZ"/>
        </w:rPr>
      </w:pPr>
      <w:bookmarkStart w:id="69" w:name="_Toc367361631"/>
      <w:r>
        <w:br w:type="page"/>
      </w:r>
    </w:p>
    <w:p w:rsidR="006C7D01" w:rsidRPr="00E82951" w:rsidRDefault="006C7D01" w:rsidP="006C7D01">
      <w:pPr>
        <w:pStyle w:val="Heading2"/>
      </w:pPr>
      <w:r w:rsidRPr="00E82951">
        <w:t>Financial performance of New Zealand schools</w:t>
      </w:r>
      <w:bookmarkEnd w:id="67"/>
      <w:bookmarkEnd w:id="68"/>
      <w:bookmarkEnd w:id="69"/>
    </w:p>
    <w:p w:rsidR="006C7D01" w:rsidRPr="00E82951" w:rsidRDefault="006C7D01" w:rsidP="002E741F">
      <w:pPr>
        <w:pStyle w:val="Heading3"/>
      </w:pPr>
      <w:r w:rsidRPr="00E82951">
        <w:t xml:space="preserve">Introduction </w:t>
      </w:r>
    </w:p>
    <w:p w:rsidR="00081690" w:rsidRPr="00CF2F0E" w:rsidRDefault="00081690" w:rsidP="007A3F0B">
      <w:pPr>
        <w:pStyle w:val="BodyText"/>
      </w:pPr>
      <w:r w:rsidRPr="00CF2F0E">
        <w:rPr>
          <w:lang w:val="en-NZ"/>
        </w:rPr>
        <w:t xml:space="preserve">A school’s board of trustees is responsible for the management, organisation and administration of a school under </w:t>
      </w:r>
      <w:r w:rsidRPr="00CF2F0E" w:rsidDel="00570EBD">
        <w:rPr>
          <w:lang w:val="en-NZ"/>
        </w:rPr>
        <w:t>S</w:t>
      </w:r>
      <w:r w:rsidRPr="00CF2F0E">
        <w:rPr>
          <w:lang w:val="en-NZ"/>
        </w:rPr>
        <w:t>ection 75 of the Education Act 1989. State and state-integrated schools provide their end</w:t>
      </w:r>
      <w:r w:rsidRPr="00CF2F0E" w:rsidDel="00570EBD">
        <w:rPr>
          <w:lang w:val="en-NZ"/>
        </w:rPr>
        <w:t>-</w:t>
      </w:r>
      <w:r w:rsidRPr="00CF2F0E">
        <w:rPr>
          <w:lang w:val="en-NZ"/>
        </w:rPr>
        <w:t xml:space="preserve">of-year financial statements to the Ministry of Education after the annual audit. </w:t>
      </w:r>
    </w:p>
    <w:p w:rsidR="00081690" w:rsidRPr="00CF2F0E" w:rsidRDefault="00081690" w:rsidP="007A3F0B">
      <w:pPr>
        <w:pStyle w:val="BodyText"/>
      </w:pPr>
      <w:r w:rsidRPr="00CF2F0E">
        <w:t xml:space="preserve">New Zealand implemented major reforms in the administration of the education sector in the late 1980s and early 1990s. These reforms substantially changed financial management in the education sector, shifting the accountability and authority for spending from the former Department of Education and Regional District Boards to school boards of trustees. </w:t>
      </w:r>
    </w:p>
    <w:p w:rsidR="00081690" w:rsidRPr="00CF2F0E" w:rsidRDefault="00081690" w:rsidP="007A3F0B">
      <w:pPr>
        <w:pStyle w:val="BodyText"/>
      </w:pPr>
      <w:r w:rsidRPr="00CF2F0E">
        <w:t>This section of this report presents summary results on the financial performance of state and state-integrated schools. The focus is on reven</w:t>
      </w:r>
      <w:r w:rsidR="00756A3E">
        <w:t>ues and expenditures of schools</w:t>
      </w:r>
      <w:r w:rsidRPr="00CF2F0E">
        <w:t xml:space="preserve"> as well as indicators of sound financial performance. First, the main sources of school revenues and main categories of expenditures are presented. This is followed by a discussion of schools’ financial performance using indicators such as operating surplus, working capital and public equity. </w:t>
      </w:r>
    </w:p>
    <w:p w:rsidR="006C7D01" w:rsidRPr="00EC693F" w:rsidRDefault="006C7D01" w:rsidP="002E741F">
      <w:pPr>
        <w:pStyle w:val="Heading3"/>
      </w:pPr>
      <w:r w:rsidRPr="00EC693F">
        <w:t>Revenue</w:t>
      </w:r>
    </w:p>
    <w:p w:rsidR="00EC693F" w:rsidRPr="00CF2F0E" w:rsidRDefault="00EC693F" w:rsidP="007A3F0B">
      <w:pPr>
        <w:pStyle w:val="BodyText"/>
      </w:pPr>
      <w:r w:rsidRPr="00CF2F0E">
        <w:t xml:space="preserve">The Government provides the </w:t>
      </w:r>
      <w:r w:rsidR="00756A3E">
        <w:t xml:space="preserve">large </w:t>
      </w:r>
      <w:r w:rsidRPr="00CF2F0E">
        <w:t>majority of schools’ income, but schools supplement this income in various ways. The total revenue for state and integrated schools between 200</w:t>
      </w:r>
      <w:r>
        <w:t>9</w:t>
      </w:r>
      <w:r w:rsidRPr="00CF2F0E">
        <w:t xml:space="preserve"> and 201</w:t>
      </w:r>
      <w:r>
        <w:t>2</w:t>
      </w:r>
      <w:r w:rsidRPr="00CF2F0E">
        <w:t>, broken down by the main source cat</w:t>
      </w:r>
      <w:r>
        <w:t>egories, is presented in Table 1</w:t>
      </w:r>
      <w:r w:rsidRPr="00CF2F0E">
        <w:t xml:space="preserve">. </w:t>
      </w:r>
    </w:p>
    <w:p w:rsidR="006C7D01" w:rsidRPr="00EC693F" w:rsidRDefault="006C7D01" w:rsidP="00257BC8">
      <w:pPr>
        <w:pStyle w:val="Heading4"/>
      </w:pPr>
      <w:r w:rsidRPr="00EC693F">
        <w:t>Proportion of government funding</w:t>
      </w:r>
    </w:p>
    <w:p w:rsidR="00EC693F" w:rsidRPr="00CF2F0E" w:rsidRDefault="00EC693F" w:rsidP="007A3F0B">
      <w:pPr>
        <w:pStyle w:val="BodyText"/>
      </w:pPr>
      <w:bookmarkStart w:id="70" w:name="_Toc302401486"/>
      <w:bookmarkStart w:id="71" w:name="_Toc304217619"/>
      <w:bookmarkStart w:id="72" w:name="_Toc304449798"/>
      <w:r w:rsidRPr="00CF2F0E">
        <w:t>The trend in government funding as a proportion of total school</w:t>
      </w:r>
      <w:r>
        <w:t xml:space="preserve"> revenue is presented in Table 1</w:t>
      </w:r>
      <w:r w:rsidRPr="00CF2F0E">
        <w:t xml:space="preserve">. The table includes the components of schools’ revenue in gross terms. </w:t>
      </w:r>
    </w:p>
    <w:p w:rsidR="006C7D01" w:rsidRPr="00EC693F" w:rsidRDefault="00607C36" w:rsidP="00F75B24">
      <w:pPr>
        <w:pStyle w:val="TableHeading"/>
        <w:rPr>
          <w:lang w:val="en-NZ"/>
        </w:rPr>
      </w:pPr>
      <w:bookmarkStart w:id="73" w:name="_Toc367361569"/>
      <w:r w:rsidRPr="00EC693F">
        <w:t>School revenue</w:t>
      </w:r>
      <w:r w:rsidR="0071584C" w:rsidRPr="00EC693F">
        <w:t xml:space="preserve">, </w:t>
      </w:r>
      <w:r w:rsidR="00EC693F" w:rsidRPr="00EC693F">
        <w:t>2009</w:t>
      </w:r>
      <w:r w:rsidRPr="00EC693F">
        <w:t>–201</w:t>
      </w:r>
      <w:bookmarkEnd w:id="70"/>
      <w:bookmarkEnd w:id="71"/>
      <w:bookmarkEnd w:id="72"/>
      <w:r w:rsidR="00EC693F" w:rsidRPr="00EC693F">
        <w:t>2</w:t>
      </w:r>
      <w:bookmarkEnd w:id="73"/>
      <w:r w:rsidR="006C7D01" w:rsidRPr="00EC693F">
        <w:rPr>
          <w:lang w:val="en-NZ"/>
        </w:rPr>
        <w:t xml:space="preserve"> </w:t>
      </w:r>
    </w:p>
    <w:tbl>
      <w:tblPr>
        <w:tblW w:w="8947"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972"/>
        <w:gridCol w:w="1493"/>
        <w:gridCol w:w="1494"/>
        <w:gridCol w:w="1494"/>
        <w:gridCol w:w="1494"/>
      </w:tblGrid>
      <w:tr w:rsidR="00EC693F" w:rsidRPr="0060013A" w:rsidTr="002B0B59">
        <w:trPr>
          <w:trHeight w:val="43"/>
        </w:trPr>
        <w:tc>
          <w:tcPr>
            <w:tcW w:w="2972" w:type="dxa"/>
            <w:tcBorders>
              <w:bottom w:val="single" w:sz="4" w:space="0" w:color="FFFFFF" w:themeColor="background1"/>
            </w:tcBorders>
            <w:shd w:val="clear" w:color="auto" w:fill="DBE2D1"/>
            <w:noWrap/>
            <w:vAlign w:val="bottom"/>
            <w:hideMark/>
          </w:tcPr>
          <w:p w:rsidR="00EC693F" w:rsidRPr="00EC693F" w:rsidRDefault="00EC693F" w:rsidP="00EC693F">
            <w:pPr>
              <w:pStyle w:val="TableText"/>
              <w:rPr>
                <w:b/>
              </w:rPr>
            </w:pPr>
            <w:r w:rsidRPr="00EC693F">
              <w:rPr>
                <w:b/>
              </w:rPr>
              <w:t>Revenue</w:t>
            </w:r>
          </w:p>
        </w:tc>
        <w:tc>
          <w:tcPr>
            <w:tcW w:w="1493" w:type="dxa"/>
            <w:tcBorders>
              <w:bottom w:val="single" w:sz="4" w:space="0" w:color="FFFFFF" w:themeColor="background1"/>
            </w:tcBorders>
            <w:shd w:val="clear" w:color="auto" w:fill="DBE2D1"/>
            <w:noWrap/>
            <w:hideMark/>
          </w:tcPr>
          <w:p w:rsidR="00EC693F" w:rsidRPr="00EC693F" w:rsidRDefault="00EC693F" w:rsidP="00EC693F">
            <w:pPr>
              <w:pStyle w:val="TableText"/>
              <w:jc w:val="center"/>
              <w:rPr>
                <w:b/>
              </w:rPr>
            </w:pPr>
            <w:r w:rsidRPr="00EC693F">
              <w:rPr>
                <w:b/>
              </w:rPr>
              <w:t>2009</w:t>
            </w:r>
          </w:p>
        </w:tc>
        <w:tc>
          <w:tcPr>
            <w:tcW w:w="1494" w:type="dxa"/>
            <w:tcBorders>
              <w:bottom w:val="single" w:sz="4" w:space="0" w:color="FFFFFF" w:themeColor="background1"/>
            </w:tcBorders>
            <w:shd w:val="clear" w:color="auto" w:fill="DBE2D1"/>
            <w:noWrap/>
            <w:hideMark/>
          </w:tcPr>
          <w:p w:rsidR="00EC693F" w:rsidRPr="00EC693F" w:rsidRDefault="00EC693F" w:rsidP="00EC693F">
            <w:pPr>
              <w:pStyle w:val="TableText"/>
              <w:jc w:val="center"/>
              <w:rPr>
                <w:b/>
              </w:rPr>
            </w:pPr>
            <w:r w:rsidRPr="00EC693F">
              <w:rPr>
                <w:b/>
              </w:rPr>
              <w:t>2010</w:t>
            </w:r>
          </w:p>
        </w:tc>
        <w:tc>
          <w:tcPr>
            <w:tcW w:w="1494" w:type="dxa"/>
            <w:tcBorders>
              <w:bottom w:val="single" w:sz="4" w:space="0" w:color="FFFFFF" w:themeColor="background1"/>
            </w:tcBorders>
            <w:shd w:val="clear" w:color="auto" w:fill="DBE2D1"/>
            <w:noWrap/>
            <w:hideMark/>
          </w:tcPr>
          <w:p w:rsidR="00EC693F" w:rsidRPr="00EC693F" w:rsidRDefault="00EC693F" w:rsidP="00EC693F">
            <w:pPr>
              <w:pStyle w:val="TableText"/>
              <w:jc w:val="center"/>
              <w:rPr>
                <w:b/>
              </w:rPr>
            </w:pPr>
            <w:r w:rsidRPr="00EC693F">
              <w:rPr>
                <w:b/>
              </w:rPr>
              <w:t>2011</w:t>
            </w:r>
          </w:p>
        </w:tc>
        <w:tc>
          <w:tcPr>
            <w:tcW w:w="1494" w:type="dxa"/>
            <w:tcBorders>
              <w:bottom w:val="single" w:sz="4" w:space="0" w:color="FFFFFF" w:themeColor="background1"/>
            </w:tcBorders>
            <w:shd w:val="clear" w:color="auto" w:fill="DBE2D1"/>
            <w:noWrap/>
            <w:hideMark/>
          </w:tcPr>
          <w:p w:rsidR="00EC693F" w:rsidRPr="00EC693F" w:rsidRDefault="00EC693F" w:rsidP="00EC693F">
            <w:pPr>
              <w:pStyle w:val="TableText"/>
              <w:jc w:val="center"/>
              <w:rPr>
                <w:b/>
              </w:rPr>
            </w:pPr>
            <w:r w:rsidRPr="00EC693F">
              <w:rPr>
                <w:b/>
              </w:rPr>
              <w:t>2012 (est)</w:t>
            </w:r>
          </w:p>
        </w:tc>
      </w:tr>
      <w:tr w:rsidR="00EC693F" w:rsidRPr="0060013A" w:rsidTr="002B0B59">
        <w:trPr>
          <w:trHeight w:val="43"/>
        </w:trPr>
        <w:tc>
          <w:tcPr>
            <w:tcW w:w="2972" w:type="dxa"/>
            <w:tcBorders>
              <w:bottom w:val="single" w:sz="4" w:space="0" w:color="FFFFFF" w:themeColor="background1"/>
            </w:tcBorders>
            <w:shd w:val="clear" w:color="auto" w:fill="EDF0E7"/>
            <w:noWrap/>
            <w:vAlign w:val="bottom"/>
            <w:hideMark/>
          </w:tcPr>
          <w:p w:rsidR="00EC693F" w:rsidRPr="00EC693F" w:rsidRDefault="00EC693F" w:rsidP="00EC693F">
            <w:pPr>
              <w:pStyle w:val="TableText"/>
            </w:pPr>
            <w:r w:rsidRPr="00EC693F">
              <w:t>Government grants ($)</w:t>
            </w:r>
          </w:p>
        </w:tc>
        <w:tc>
          <w:tcPr>
            <w:tcW w:w="1493" w:type="dxa"/>
            <w:tcBorders>
              <w:bottom w:val="single" w:sz="4" w:space="0" w:color="FFFFFF" w:themeColor="background1"/>
            </w:tcBorders>
            <w:shd w:val="clear" w:color="auto" w:fill="EDF0E7"/>
            <w:noWrap/>
            <w:hideMark/>
          </w:tcPr>
          <w:p w:rsidR="00EC693F" w:rsidRPr="002B0B59" w:rsidRDefault="00EC693F" w:rsidP="002B0B59">
            <w:pPr>
              <w:pStyle w:val="TableText"/>
              <w:ind w:right="170"/>
              <w:jc w:val="right"/>
              <w:rPr>
                <w:bCs w:val="0"/>
              </w:rPr>
            </w:pPr>
            <w:r w:rsidRPr="002B0B59">
              <w:rPr>
                <w:bCs w:val="0"/>
              </w:rPr>
              <w:t>5,446,244,516</w:t>
            </w:r>
          </w:p>
        </w:tc>
        <w:tc>
          <w:tcPr>
            <w:tcW w:w="1494" w:type="dxa"/>
            <w:tcBorders>
              <w:bottom w:val="single" w:sz="4" w:space="0" w:color="FFFFFF" w:themeColor="background1"/>
            </w:tcBorders>
            <w:shd w:val="clear" w:color="auto" w:fill="EDF0E7"/>
            <w:noWrap/>
            <w:hideMark/>
          </w:tcPr>
          <w:p w:rsidR="00EC693F" w:rsidRPr="002B0B59" w:rsidRDefault="00EC693F" w:rsidP="002B0B59">
            <w:pPr>
              <w:pStyle w:val="TableText"/>
              <w:ind w:right="170"/>
              <w:jc w:val="right"/>
              <w:rPr>
                <w:bCs w:val="0"/>
              </w:rPr>
            </w:pPr>
            <w:r w:rsidRPr="002B0B59">
              <w:rPr>
                <w:bCs w:val="0"/>
              </w:rPr>
              <w:t>5,562,573,955</w:t>
            </w:r>
          </w:p>
        </w:tc>
        <w:tc>
          <w:tcPr>
            <w:tcW w:w="1494" w:type="dxa"/>
            <w:tcBorders>
              <w:bottom w:val="single" w:sz="4" w:space="0" w:color="FFFFFF" w:themeColor="background1"/>
            </w:tcBorders>
            <w:shd w:val="clear" w:color="auto" w:fill="EDF0E7"/>
            <w:noWrap/>
            <w:hideMark/>
          </w:tcPr>
          <w:p w:rsidR="00EC693F" w:rsidRPr="002B0B59" w:rsidRDefault="00EC693F" w:rsidP="002B0B59">
            <w:pPr>
              <w:pStyle w:val="TableText"/>
              <w:ind w:right="170"/>
              <w:jc w:val="right"/>
              <w:rPr>
                <w:bCs w:val="0"/>
              </w:rPr>
            </w:pPr>
            <w:r w:rsidRPr="002B0B59">
              <w:rPr>
                <w:bCs w:val="0"/>
              </w:rPr>
              <w:t>5,840,535,288</w:t>
            </w:r>
          </w:p>
        </w:tc>
        <w:tc>
          <w:tcPr>
            <w:tcW w:w="1494" w:type="dxa"/>
            <w:tcBorders>
              <w:bottom w:val="single" w:sz="4" w:space="0" w:color="FFFFFF" w:themeColor="background1"/>
            </w:tcBorders>
            <w:shd w:val="clear" w:color="auto" w:fill="EDF0E7"/>
            <w:noWrap/>
            <w:hideMark/>
          </w:tcPr>
          <w:p w:rsidR="00EC693F" w:rsidRPr="002B0B59" w:rsidRDefault="00EC693F" w:rsidP="002B0B59">
            <w:pPr>
              <w:pStyle w:val="TableText"/>
              <w:ind w:right="170"/>
              <w:jc w:val="right"/>
              <w:rPr>
                <w:bCs w:val="0"/>
              </w:rPr>
            </w:pPr>
            <w:r w:rsidRPr="002B0B59">
              <w:rPr>
                <w:bCs w:val="0"/>
              </w:rPr>
              <w:t>5,898,163,225</w:t>
            </w:r>
          </w:p>
        </w:tc>
      </w:tr>
      <w:tr w:rsidR="00EC693F" w:rsidRPr="0060013A" w:rsidTr="002B0B59">
        <w:trPr>
          <w:trHeight w:val="63"/>
        </w:trPr>
        <w:tc>
          <w:tcPr>
            <w:tcW w:w="2972" w:type="dxa"/>
            <w:tcBorders>
              <w:bottom w:val="single" w:sz="4" w:space="0" w:color="FFFFFF" w:themeColor="background1"/>
            </w:tcBorders>
            <w:shd w:val="clear" w:color="auto" w:fill="EDF0E7"/>
            <w:vAlign w:val="bottom"/>
            <w:hideMark/>
          </w:tcPr>
          <w:p w:rsidR="00EC693F" w:rsidRPr="00EC693F" w:rsidRDefault="00EC693F" w:rsidP="00EC693F">
            <w:pPr>
              <w:pStyle w:val="TableText"/>
            </w:pPr>
            <w:r w:rsidRPr="00EC693F">
              <w:t>Local funds ($)</w:t>
            </w:r>
          </w:p>
        </w:tc>
        <w:tc>
          <w:tcPr>
            <w:tcW w:w="1493"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474,809,280</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473,484,523</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477,479,852</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487,535,141</w:t>
            </w:r>
          </w:p>
        </w:tc>
      </w:tr>
      <w:tr w:rsidR="00EC693F" w:rsidRPr="0060013A" w:rsidTr="002B0B59">
        <w:trPr>
          <w:trHeight w:val="63"/>
        </w:trPr>
        <w:tc>
          <w:tcPr>
            <w:tcW w:w="2972" w:type="dxa"/>
            <w:tcBorders>
              <w:bottom w:val="single" w:sz="4" w:space="0" w:color="FFFFFF" w:themeColor="background1"/>
            </w:tcBorders>
            <w:shd w:val="clear" w:color="auto" w:fill="EDF0E7"/>
            <w:vAlign w:val="bottom"/>
            <w:hideMark/>
          </w:tcPr>
          <w:p w:rsidR="00EC693F" w:rsidRPr="00EC693F" w:rsidRDefault="00EC693F" w:rsidP="00EC693F">
            <w:pPr>
              <w:pStyle w:val="TableText"/>
            </w:pPr>
            <w:r w:rsidRPr="00EC693F">
              <w:t>International students ($)</w:t>
            </w:r>
          </w:p>
        </w:tc>
        <w:tc>
          <w:tcPr>
            <w:tcW w:w="1493"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99,209,939</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105,124,751</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110,770,012</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108,133,134</w:t>
            </w:r>
          </w:p>
        </w:tc>
      </w:tr>
      <w:tr w:rsidR="00EC693F" w:rsidRPr="0060013A" w:rsidTr="002B0B59">
        <w:trPr>
          <w:trHeight w:val="63"/>
        </w:trPr>
        <w:tc>
          <w:tcPr>
            <w:tcW w:w="2972" w:type="dxa"/>
            <w:tcBorders>
              <w:bottom w:val="single" w:sz="4" w:space="0" w:color="FFFFFF" w:themeColor="background1"/>
            </w:tcBorders>
            <w:shd w:val="clear" w:color="auto" w:fill="EDF0E7"/>
            <w:vAlign w:val="bottom"/>
            <w:hideMark/>
          </w:tcPr>
          <w:p w:rsidR="00EC693F" w:rsidRPr="00EC693F" w:rsidRDefault="00EC693F" w:rsidP="00EC693F">
            <w:pPr>
              <w:pStyle w:val="TableText"/>
            </w:pPr>
            <w:r w:rsidRPr="00EC693F">
              <w:t>Investments ($)</w:t>
            </w:r>
          </w:p>
        </w:tc>
        <w:tc>
          <w:tcPr>
            <w:tcW w:w="1493"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36,449,549</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39,167,717</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39,596,027</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38,667,959</w:t>
            </w:r>
          </w:p>
        </w:tc>
      </w:tr>
      <w:tr w:rsidR="00EC693F" w:rsidRPr="0060013A" w:rsidTr="002B0B59">
        <w:trPr>
          <w:trHeight w:val="63"/>
        </w:trPr>
        <w:tc>
          <w:tcPr>
            <w:tcW w:w="2972" w:type="dxa"/>
            <w:tcBorders>
              <w:bottom w:val="single" w:sz="4" w:space="0" w:color="FFFFFF" w:themeColor="background1"/>
            </w:tcBorders>
            <w:shd w:val="clear" w:color="auto" w:fill="EDF0E7"/>
            <w:vAlign w:val="bottom"/>
            <w:hideMark/>
          </w:tcPr>
          <w:p w:rsidR="00EC693F" w:rsidRPr="00EC693F" w:rsidRDefault="00EC693F" w:rsidP="00EC693F">
            <w:pPr>
              <w:pStyle w:val="TableText"/>
            </w:pPr>
            <w:r w:rsidRPr="00EC693F">
              <w:t>Hostels ($)</w:t>
            </w:r>
          </w:p>
        </w:tc>
        <w:tc>
          <w:tcPr>
            <w:tcW w:w="1493"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30,140,179</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30,260,735</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32,540,125</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33,440,547</w:t>
            </w:r>
          </w:p>
        </w:tc>
      </w:tr>
      <w:tr w:rsidR="00EC693F" w:rsidRPr="0060013A" w:rsidTr="002B0B59">
        <w:trPr>
          <w:trHeight w:val="63"/>
        </w:trPr>
        <w:tc>
          <w:tcPr>
            <w:tcW w:w="2972" w:type="dxa"/>
            <w:tcBorders>
              <w:bottom w:val="single" w:sz="4" w:space="0" w:color="FFFFFF" w:themeColor="background1"/>
            </w:tcBorders>
            <w:shd w:val="clear" w:color="auto" w:fill="EDF0E7"/>
            <w:vAlign w:val="bottom"/>
            <w:hideMark/>
          </w:tcPr>
          <w:p w:rsidR="00EC693F" w:rsidRPr="00EC693F" w:rsidRDefault="00EC693F" w:rsidP="00EC693F">
            <w:pPr>
              <w:pStyle w:val="TableText"/>
            </w:pPr>
            <w:r w:rsidRPr="00EC693F">
              <w:t>Other revenue ($)</w:t>
            </w:r>
          </w:p>
        </w:tc>
        <w:tc>
          <w:tcPr>
            <w:tcW w:w="1493"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70,981,481</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104,838,522</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112,852,119</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108,690,337</w:t>
            </w:r>
          </w:p>
        </w:tc>
      </w:tr>
      <w:tr w:rsidR="00EC693F" w:rsidRPr="0060013A" w:rsidTr="002B0B59">
        <w:trPr>
          <w:trHeight w:val="43"/>
        </w:trPr>
        <w:tc>
          <w:tcPr>
            <w:tcW w:w="2972" w:type="dxa"/>
            <w:tcBorders>
              <w:bottom w:val="single" w:sz="4" w:space="0" w:color="FFFFFF" w:themeColor="background1"/>
            </w:tcBorders>
            <w:shd w:val="clear" w:color="auto" w:fill="EDF0E7"/>
            <w:vAlign w:val="bottom"/>
            <w:hideMark/>
          </w:tcPr>
          <w:p w:rsidR="00EC693F" w:rsidRPr="00EC693F" w:rsidRDefault="00EC693F" w:rsidP="00EC693F">
            <w:pPr>
              <w:pStyle w:val="TableText"/>
            </w:pPr>
            <w:r w:rsidRPr="00EC693F">
              <w:t>Total revenue ($)</w:t>
            </w:r>
          </w:p>
        </w:tc>
        <w:tc>
          <w:tcPr>
            <w:tcW w:w="1493"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6,157,834,944</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6,315,450,203</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6,613,773,423</w:t>
            </w:r>
          </w:p>
        </w:tc>
        <w:tc>
          <w:tcPr>
            <w:tcW w:w="1494" w:type="dxa"/>
            <w:tcBorders>
              <w:bottom w:val="single" w:sz="4" w:space="0" w:color="FFFFFF" w:themeColor="background1"/>
            </w:tcBorders>
            <w:shd w:val="clear" w:color="auto" w:fill="EDF0E7"/>
            <w:hideMark/>
          </w:tcPr>
          <w:p w:rsidR="00EC693F" w:rsidRPr="002B0B59" w:rsidRDefault="00EC693F" w:rsidP="002B0B59">
            <w:pPr>
              <w:pStyle w:val="TableText"/>
              <w:ind w:right="170"/>
              <w:jc w:val="right"/>
              <w:rPr>
                <w:bCs w:val="0"/>
              </w:rPr>
            </w:pPr>
            <w:r w:rsidRPr="002B0B59">
              <w:rPr>
                <w:bCs w:val="0"/>
              </w:rPr>
              <w:t>6,674,630,343</w:t>
            </w:r>
          </w:p>
        </w:tc>
      </w:tr>
      <w:tr w:rsidR="00EC693F" w:rsidRPr="0060013A" w:rsidTr="002B0B59">
        <w:trPr>
          <w:trHeight w:val="43"/>
        </w:trPr>
        <w:tc>
          <w:tcPr>
            <w:tcW w:w="2972" w:type="dxa"/>
            <w:shd w:val="clear" w:color="auto" w:fill="EDF0E7"/>
            <w:vAlign w:val="bottom"/>
            <w:hideMark/>
          </w:tcPr>
          <w:p w:rsidR="00EC693F" w:rsidRPr="00EC693F" w:rsidRDefault="00EC693F" w:rsidP="00EC693F">
            <w:pPr>
              <w:pStyle w:val="TableText"/>
            </w:pPr>
            <w:r w:rsidRPr="00EC693F">
              <w:t>Proportion of government funding (%)</w:t>
            </w:r>
          </w:p>
        </w:tc>
        <w:tc>
          <w:tcPr>
            <w:tcW w:w="1493" w:type="dxa"/>
            <w:shd w:val="clear" w:color="auto" w:fill="EDF0E7"/>
            <w:hideMark/>
          </w:tcPr>
          <w:p w:rsidR="00EC693F" w:rsidRPr="002B0B59" w:rsidRDefault="00EC693F" w:rsidP="002B0B59">
            <w:pPr>
              <w:pStyle w:val="TableText"/>
              <w:ind w:right="170"/>
              <w:jc w:val="right"/>
              <w:rPr>
                <w:bCs w:val="0"/>
              </w:rPr>
            </w:pPr>
            <w:r w:rsidRPr="002B0B59">
              <w:rPr>
                <w:bCs w:val="0"/>
              </w:rPr>
              <w:t>88.4</w:t>
            </w:r>
          </w:p>
        </w:tc>
        <w:tc>
          <w:tcPr>
            <w:tcW w:w="1494" w:type="dxa"/>
            <w:shd w:val="clear" w:color="auto" w:fill="EDF0E7"/>
            <w:hideMark/>
          </w:tcPr>
          <w:p w:rsidR="00EC693F" w:rsidRPr="002B0B59" w:rsidRDefault="00EC693F" w:rsidP="002B0B59">
            <w:pPr>
              <w:pStyle w:val="TableText"/>
              <w:ind w:right="170"/>
              <w:jc w:val="right"/>
              <w:rPr>
                <w:bCs w:val="0"/>
              </w:rPr>
            </w:pPr>
            <w:r w:rsidRPr="002B0B59">
              <w:rPr>
                <w:bCs w:val="0"/>
              </w:rPr>
              <w:t>88.1</w:t>
            </w:r>
          </w:p>
        </w:tc>
        <w:tc>
          <w:tcPr>
            <w:tcW w:w="1494" w:type="dxa"/>
            <w:shd w:val="clear" w:color="auto" w:fill="EDF0E7"/>
            <w:hideMark/>
          </w:tcPr>
          <w:p w:rsidR="00EC693F" w:rsidRPr="002B0B59" w:rsidRDefault="00EC693F" w:rsidP="002B0B59">
            <w:pPr>
              <w:pStyle w:val="TableText"/>
              <w:ind w:right="170"/>
              <w:jc w:val="right"/>
              <w:rPr>
                <w:bCs w:val="0"/>
              </w:rPr>
            </w:pPr>
            <w:r w:rsidRPr="002B0B59">
              <w:rPr>
                <w:bCs w:val="0"/>
              </w:rPr>
              <w:t>88.3</w:t>
            </w:r>
          </w:p>
        </w:tc>
        <w:tc>
          <w:tcPr>
            <w:tcW w:w="1494" w:type="dxa"/>
            <w:shd w:val="clear" w:color="auto" w:fill="EDF0E7"/>
            <w:hideMark/>
          </w:tcPr>
          <w:p w:rsidR="00EC693F" w:rsidRPr="002B0B59" w:rsidRDefault="00EC693F" w:rsidP="002B0B59">
            <w:pPr>
              <w:pStyle w:val="TableText"/>
              <w:ind w:right="170"/>
              <w:jc w:val="right"/>
              <w:rPr>
                <w:bCs w:val="0"/>
              </w:rPr>
            </w:pPr>
            <w:r w:rsidRPr="002B0B59">
              <w:rPr>
                <w:bCs w:val="0"/>
              </w:rPr>
              <w:t>88.4</w:t>
            </w:r>
          </w:p>
        </w:tc>
      </w:tr>
    </w:tbl>
    <w:p w:rsidR="00EC693F" w:rsidRPr="00D81822" w:rsidRDefault="00EC693F" w:rsidP="00EC693F">
      <w:pPr>
        <w:pStyle w:val="TableFootnote"/>
        <w:rPr>
          <w:lang w:val="en-NZ" w:eastAsia="en-NZ"/>
        </w:rPr>
      </w:pPr>
      <w:r w:rsidRPr="00CF2F0E">
        <w:rPr>
          <w:b/>
          <w:lang w:val="en-NZ" w:eastAsia="en-NZ"/>
        </w:rPr>
        <w:t>Notes:</w:t>
      </w:r>
      <w:r w:rsidRPr="00CF2F0E">
        <w:rPr>
          <w:b/>
          <w:lang w:val="en-NZ" w:eastAsia="en-NZ"/>
        </w:rPr>
        <w:br/>
      </w:r>
      <w:r w:rsidRPr="00CF2F0E">
        <w:rPr>
          <w:lang w:val="en-NZ" w:eastAsia="en-NZ"/>
        </w:rPr>
        <w:t>Figures are GST exclusive.</w:t>
      </w:r>
      <w:r w:rsidRPr="00D81822">
        <w:rPr>
          <w:lang w:val="en-NZ" w:eastAsia="en-NZ"/>
        </w:rPr>
        <w:br/>
      </w:r>
      <w:r>
        <w:rPr>
          <w:lang w:val="en-NZ" w:eastAsia="en-NZ"/>
        </w:rPr>
        <w:t>I</w:t>
      </w:r>
      <w:r w:rsidRPr="00D81822">
        <w:rPr>
          <w:lang w:val="en-NZ" w:eastAsia="en-NZ"/>
        </w:rPr>
        <w:t>ncludes use of land and building grants from government and proprietors</w:t>
      </w:r>
      <w:r>
        <w:rPr>
          <w:lang w:val="en-NZ" w:eastAsia="en-NZ"/>
        </w:rPr>
        <w:t xml:space="preserve"> from 2009 onwards</w:t>
      </w:r>
      <w:r w:rsidRPr="00D81822">
        <w:rPr>
          <w:lang w:val="en-NZ" w:eastAsia="en-NZ"/>
        </w:rPr>
        <w:t>.</w:t>
      </w:r>
      <w:r w:rsidRPr="00D81822">
        <w:rPr>
          <w:lang w:val="en-NZ" w:eastAsia="en-NZ"/>
        </w:rPr>
        <w:br/>
        <w:t xml:space="preserve">The figures in this table for 2012 are estimates based on 1,942 (80%) schools at the time of </w:t>
      </w:r>
      <w:r w:rsidRPr="00D81822">
        <w:t>writing</w:t>
      </w:r>
      <w:r w:rsidRPr="00D81822">
        <w:rPr>
          <w:lang w:val="en-NZ" w:eastAsia="en-NZ"/>
        </w:rPr>
        <w:t>, and estimates based on previous accounts data for 497 remaining schools.</w:t>
      </w:r>
    </w:p>
    <w:p w:rsidR="00756A3E" w:rsidRPr="00CF2F0E" w:rsidRDefault="00756A3E" w:rsidP="00756A3E">
      <w:pPr>
        <w:pStyle w:val="BodyText"/>
      </w:pPr>
      <w:r w:rsidRPr="00CF2F0E">
        <w:t>Local funds revenue generated by schools include</w:t>
      </w:r>
      <w:r>
        <w:t>s</w:t>
      </w:r>
      <w:r w:rsidRPr="00CF2F0E">
        <w:t xml:space="preserve"> donations from parents and community and fundraising activities</w:t>
      </w:r>
      <w:r>
        <w:t>, not excluding the cost of generating this revenue (see page 26 for information relating to local funds expenditure)</w:t>
      </w:r>
      <w:r w:rsidRPr="00CF2F0E">
        <w:t>. In 201</w:t>
      </w:r>
      <w:r>
        <w:t>2</w:t>
      </w:r>
      <w:r w:rsidRPr="00CF2F0E">
        <w:t xml:space="preserve"> these sources represented </w:t>
      </w:r>
      <w:r w:rsidR="006F74FA">
        <w:t xml:space="preserve">seven per cent </w:t>
      </w:r>
      <w:r w:rsidRPr="00CF2F0E">
        <w:t xml:space="preserve">of all revenue. A further </w:t>
      </w:r>
      <w:r w:rsidR="006F74FA">
        <w:t xml:space="preserve">two per cent </w:t>
      </w:r>
      <w:r w:rsidRPr="00CF2F0E">
        <w:t xml:space="preserve">of revenue was attributed to income from international students. </w:t>
      </w:r>
    </w:p>
    <w:p w:rsidR="006C7D01" w:rsidRPr="00C5002F" w:rsidRDefault="0071584C" w:rsidP="002E741F">
      <w:pPr>
        <w:pStyle w:val="Heading3"/>
      </w:pPr>
      <w:r w:rsidRPr="00C5002F">
        <w:t>Expenditure</w:t>
      </w:r>
    </w:p>
    <w:p w:rsidR="00F0676E" w:rsidRDefault="00C5002F" w:rsidP="007A3F0B">
      <w:pPr>
        <w:pStyle w:val="BodyText"/>
      </w:pPr>
      <w:bookmarkStart w:id="74" w:name="RANGE!B3"/>
      <w:bookmarkStart w:id="75" w:name="_Toc304217620"/>
      <w:bookmarkStart w:id="76" w:name="_Toc304449799"/>
      <w:r w:rsidRPr="00CF2F0E">
        <w:t>Operating a school incurs expenditure in a number of different areas. In 201</w:t>
      </w:r>
      <w:r>
        <w:t>2,</w:t>
      </w:r>
      <w:r w:rsidRPr="00CF2F0E">
        <w:t xml:space="preserve"> total school expenditure was $6.</w:t>
      </w:r>
      <w:r>
        <w:t>6</w:t>
      </w:r>
      <w:r w:rsidRPr="00CF2F0E">
        <w:t xml:space="preserve"> billion, a </w:t>
      </w:r>
      <w:r w:rsidR="006F74FA">
        <w:t>one per cent</w:t>
      </w:r>
      <w:r>
        <w:t xml:space="preserve"> nominal</w:t>
      </w:r>
      <w:r w:rsidRPr="00CF2F0E">
        <w:t xml:space="preserve"> increase</w:t>
      </w:r>
      <w:r>
        <w:t xml:space="preserve"> from the previous year. Table 2</w:t>
      </w:r>
      <w:r w:rsidRPr="00CF2F0E">
        <w:t xml:space="preserve"> contains the breakdown of school expenditure by main expenditure categor</w:t>
      </w:r>
      <w:r w:rsidRPr="00CF2F0E" w:rsidDel="00570EBD">
        <w:t>ies</w:t>
      </w:r>
      <w:r w:rsidRPr="00CF2F0E">
        <w:t>.</w:t>
      </w:r>
    </w:p>
    <w:p w:rsidR="006C7D01" w:rsidRPr="00C5002F" w:rsidRDefault="006C7D01" w:rsidP="00F75B24">
      <w:pPr>
        <w:pStyle w:val="TableHeading"/>
      </w:pPr>
      <w:bookmarkStart w:id="77" w:name="_Toc367361570"/>
      <w:r w:rsidRPr="00C5002F">
        <w:t>Expenditure of state and state-integrated schools, by m</w:t>
      </w:r>
      <w:r w:rsidR="00D939EA" w:rsidRPr="00C5002F">
        <w:t>ain expend</w:t>
      </w:r>
      <w:r w:rsidR="005842DF">
        <w:t>iture category</w:t>
      </w:r>
      <w:r w:rsidR="00D939EA" w:rsidRPr="00C5002F">
        <w:t xml:space="preserve">, </w:t>
      </w:r>
      <w:r w:rsidR="00831875" w:rsidRPr="00C5002F">
        <w:br/>
      </w:r>
      <w:r w:rsidR="00C5002F" w:rsidRPr="00C5002F">
        <w:t>2009</w:t>
      </w:r>
      <w:r w:rsidRPr="00C5002F">
        <w:t>–201</w:t>
      </w:r>
      <w:bookmarkEnd w:id="74"/>
      <w:bookmarkEnd w:id="75"/>
      <w:bookmarkEnd w:id="76"/>
      <w:r w:rsidR="00C5002F" w:rsidRPr="00C5002F">
        <w:t>2</w:t>
      </w:r>
      <w:bookmarkEnd w:id="77"/>
    </w:p>
    <w:tbl>
      <w:tblPr>
        <w:tblW w:w="8845"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ayout w:type="fixed"/>
        <w:tblLook w:val="04A0"/>
      </w:tblPr>
      <w:tblGrid>
        <w:gridCol w:w="2972"/>
        <w:gridCol w:w="1468"/>
        <w:gridCol w:w="1468"/>
        <w:gridCol w:w="1468"/>
        <w:gridCol w:w="1469"/>
      </w:tblGrid>
      <w:tr w:rsidR="00C5002F" w:rsidRPr="0060013A" w:rsidTr="00C5002F">
        <w:tc>
          <w:tcPr>
            <w:tcW w:w="2972" w:type="dxa"/>
            <w:tcBorders>
              <w:bottom w:val="single" w:sz="4" w:space="0" w:color="FFFFFF" w:themeColor="background1"/>
            </w:tcBorders>
            <w:shd w:val="clear" w:color="auto" w:fill="DBE2D1"/>
            <w:noWrap/>
            <w:vAlign w:val="bottom"/>
            <w:hideMark/>
          </w:tcPr>
          <w:p w:rsidR="00C5002F" w:rsidRPr="00C5002F" w:rsidRDefault="00C5002F" w:rsidP="00E85C6B">
            <w:pPr>
              <w:pStyle w:val="TableText"/>
              <w:rPr>
                <w:b/>
              </w:rPr>
            </w:pPr>
            <w:r w:rsidRPr="00C5002F">
              <w:rPr>
                <w:b/>
              </w:rPr>
              <w:t>Expenses</w:t>
            </w:r>
          </w:p>
        </w:tc>
        <w:tc>
          <w:tcPr>
            <w:tcW w:w="1468" w:type="dxa"/>
            <w:tcBorders>
              <w:bottom w:val="single" w:sz="4" w:space="0" w:color="FFFFFF" w:themeColor="background1"/>
            </w:tcBorders>
            <w:shd w:val="clear" w:color="auto" w:fill="DBE2D1"/>
            <w:noWrap/>
            <w:hideMark/>
          </w:tcPr>
          <w:p w:rsidR="00C5002F" w:rsidRPr="00C5002F" w:rsidRDefault="00C5002F" w:rsidP="00026DE8">
            <w:pPr>
              <w:pStyle w:val="TableText"/>
              <w:jc w:val="center"/>
              <w:rPr>
                <w:b/>
              </w:rPr>
            </w:pPr>
            <w:r w:rsidRPr="00C5002F">
              <w:rPr>
                <w:b/>
              </w:rPr>
              <w:t>2009 ($)</w:t>
            </w:r>
          </w:p>
        </w:tc>
        <w:tc>
          <w:tcPr>
            <w:tcW w:w="1468" w:type="dxa"/>
            <w:tcBorders>
              <w:bottom w:val="single" w:sz="4" w:space="0" w:color="FFFFFF" w:themeColor="background1"/>
            </w:tcBorders>
            <w:shd w:val="clear" w:color="auto" w:fill="DBE2D1"/>
            <w:noWrap/>
            <w:hideMark/>
          </w:tcPr>
          <w:p w:rsidR="00C5002F" w:rsidRPr="00C5002F" w:rsidRDefault="00C5002F" w:rsidP="00026DE8">
            <w:pPr>
              <w:pStyle w:val="TableText"/>
              <w:jc w:val="center"/>
              <w:rPr>
                <w:b/>
              </w:rPr>
            </w:pPr>
            <w:r w:rsidRPr="00C5002F">
              <w:rPr>
                <w:b/>
              </w:rPr>
              <w:t>2010 ($)</w:t>
            </w:r>
          </w:p>
        </w:tc>
        <w:tc>
          <w:tcPr>
            <w:tcW w:w="1468" w:type="dxa"/>
            <w:tcBorders>
              <w:bottom w:val="single" w:sz="4" w:space="0" w:color="FFFFFF" w:themeColor="background1"/>
            </w:tcBorders>
            <w:shd w:val="clear" w:color="auto" w:fill="DBE2D1"/>
            <w:noWrap/>
            <w:hideMark/>
          </w:tcPr>
          <w:p w:rsidR="00C5002F" w:rsidRPr="00C5002F" w:rsidRDefault="00C5002F" w:rsidP="00026DE8">
            <w:pPr>
              <w:pStyle w:val="TableText"/>
              <w:jc w:val="center"/>
              <w:rPr>
                <w:b/>
              </w:rPr>
            </w:pPr>
            <w:r w:rsidRPr="00C5002F">
              <w:rPr>
                <w:b/>
              </w:rPr>
              <w:t>2011 ($)</w:t>
            </w:r>
          </w:p>
        </w:tc>
        <w:tc>
          <w:tcPr>
            <w:tcW w:w="1469" w:type="dxa"/>
            <w:tcBorders>
              <w:bottom w:val="single" w:sz="4" w:space="0" w:color="FFFFFF" w:themeColor="background1"/>
            </w:tcBorders>
            <w:shd w:val="clear" w:color="auto" w:fill="DBE2D1"/>
            <w:noWrap/>
            <w:hideMark/>
          </w:tcPr>
          <w:p w:rsidR="00C5002F" w:rsidRPr="00C5002F" w:rsidRDefault="00C5002F" w:rsidP="00026DE8">
            <w:pPr>
              <w:pStyle w:val="TableText"/>
              <w:jc w:val="center"/>
              <w:rPr>
                <w:b/>
              </w:rPr>
            </w:pPr>
            <w:r w:rsidRPr="00C5002F">
              <w:rPr>
                <w:b/>
              </w:rPr>
              <w:t>2012 ($) est</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Learning resources</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4,026,962,236</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4,149,082,116</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4,304,196,197</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4,323,825,465</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Administration</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371,521,182</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391,247,174</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397,613,022</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403,393,865</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Property</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1,265,696,207</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1,271,565,981</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1,371,018,467</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1,410,547,945</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Local funds</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221,434,608</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219,622,018</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216,427,304</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222,644,211</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Depreciation</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157,684,491</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162,066,799</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167,096,287</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168,716,483</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International students</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43,185,843</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46,031,970</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51,025,868</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52,292,790</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Hostel</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20,757,383</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26,875,620</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27,826,563</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30,453,216</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Loss on asset disposal</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5,617,128</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6,751,735</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7,746,848</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6,948,654</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Amortisation of equitable leasehold interest</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659,775</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628,772</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648,116</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1,164,512</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Amortisation of software</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304,064</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381,562</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390,944</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Finance costs</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1,497,450</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1,448,096</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1,377,824</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1,343,503</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Impairment</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296,965</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1,346,918</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2,423,292</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hideMark/>
          </w:tcPr>
          <w:p w:rsidR="00C5002F" w:rsidRPr="007A3F0B" w:rsidRDefault="00C5002F" w:rsidP="007A3F0B">
            <w:pPr>
              <w:pStyle w:val="TableText"/>
              <w:ind w:right="170"/>
              <w:jc w:val="right"/>
              <w:rPr>
                <w:bCs w:val="0"/>
              </w:rPr>
            </w:pPr>
            <w:r w:rsidRPr="007A3F0B">
              <w:rPr>
                <w:bCs w:val="0"/>
              </w:rPr>
              <w:t>1,277,224</w:t>
            </w:r>
          </w:p>
        </w:tc>
      </w:tr>
      <w:tr w:rsidR="00C5002F" w:rsidRPr="0060013A" w:rsidTr="00C500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bottom"/>
            <w:hideMark/>
          </w:tcPr>
          <w:p w:rsidR="00C5002F" w:rsidRPr="00C5002F" w:rsidRDefault="00C5002F" w:rsidP="00C979C6">
            <w:pPr>
              <w:pStyle w:val="TableText"/>
            </w:pPr>
            <w:r w:rsidRPr="00C5002F">
              <w:t>Other expenses</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hideMark/>
          </w:tcPr>
          <w:p w:rsidR="00C5002F" w:rsidRPr="007A3F0B" w:rsidRDefault="00C5002F" w:rsidP="007A3F0B">
            <w:pPr>
              <w:pStyle w:val="TableText"/>
              <w:ind w:right="170"/>
              <w:jc w:val="right"/>
              <w:rPr>
                <w:bCs w:val="0"/>
              </w:rPr>
            </w:pPr>
            <w:r w:rsidRPr="007A3F0B">
              <w:rPr>
                <w:bCs w:val="0"/>
              </w:rPr>
              <w:t>16,538,987</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hideMark/>
          </w:tcPr>
          <w:p w:rsidR="00C5002F" w:rsidRPr="007A3F0B" w:rsidRDefault="00C5002F" w:rsidP="007A3F0B">
            <w:pPr>
              <w:pStyle w:val="TableText"/>
              <w:ind w:right="170"/>
              <w:jc w:val="right"/>
              <w:rPr>
                <w:bCs w:val="0"/>
              </w:rPr>
            </w:pPr>
            <w:r w:rsidRPr="007A3F0B">
              <w:rPr>
                <w:bCs w:val="0"/>
              </w:rPr>
              <w:t>24,297,004</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hideMark/>
          </w:tcPr>
          <w:p w:rsidR="00C5002F" w:rsidRPr="007A3F0B" w:rsidRDefault="00C5002F" w:rsidP="007A3F0B">
            <w:pPr>
              <w:pStyle w:val="TableText"/>
              <w:ind w:right="170"/>
              <w:jc w:val="right"/>
              <w:rPr>
                <w:bCs w:val="0"/>
              </w:rPr>
            </w:pPr>
            <w:r w:rsidRPr="007A3F0B">
              <w:rPr>
                <w:bCs w:val="0"/>
              </w:rPr>
              <w:t>27,184,743</w:t>
            </w:r>
          </w:p>
        </w:tc>
        <w:tc>
          <w:tcPr>
            <w:tcW w:w="1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hideMark/>
          </w:tcPr>
          <w:p w:rsidR="00C5002F" w:rsidRPr="007A3F0B" w:rsidRDefault="00C5002F" w:rsidP="007A3F0B">
            <w:pPr>
              <w:pStyle w:val="TableText"/>
              <w:ind w:right="170"/>
              <w:jc w:val="right"/>
              <w:rPr>
                <w:bCs w:val="0"/>
              </w:rPr>
            </w:pPr>
            <w:r w:rsidRPr="007A3F0B">
              <w:rPr>
                <w:bCs w:val="0"/>
              </w:rPr>
              <w:t>20,134,095</w:t>
            </w:r>
          </w:p>
        </w:tc>
      </w:tr>
    </w:tbl>
    <w:p w:rsidR="006C7D01" w:rsidRPr="00C5002F" w:rsidRDefault="006C7D01" w:rsidP="000A333A">
      <w:pPr>
        <w:pStyle w:val="TableFootnote"/>
      </w:pPr>
      <w:r w:rsidRPr="00C5002F">
        <w:rPr>
          <w:b/>
        </w:rPr>
        <w:t>Notes:</w:t>
      </w:r>
      <w:r w:rsidRPr="00C5002F">
        <w:rPr>
          <w:b/>
        </w:rPr>
        <w:br/>
      </w:r>
      <w:r w:rsidRPr="00C5002F">
        <w:t>Figures are GST exclusive.</w:t>
      </w:r>
      <w:r w:rsidRPr="00C5002F">
        <w:br/>
        <w:t>From 2009 on, includes use of</w:t>
      </w:r>
      <w:r w:rsidR="00CF439A" w:rsidRPr="00C5002F">
        <w:t xml:space="preserve"> land and building grants from the G</w:t>
      </w:r>
      <w:r w:rsidRPr="00C5002F">
        <w:t>overnment and proprietors.</w:t>
      </w:r>
    </w:p>
    <w:p w:rsidR="00C5002F" w:rsidRPr="00CF2F0E" w:rsidRDefault="00C5002F" w:rsidP="007A3F0B">
      <w:pPr>
        <w:pStyle w:val="BodyText"/>
      </w:pPr>
      <w:r w:rsidRPr="00CF2F0E">
        <w:t>Learning resources include teachers’ salaries, expenses for teachers’ aides, purchase of materials and equipment for learning and applying the curriculum, and expenses related to extracurricular activities. In 201</w:t>
      </w:r>
      <w:r>
        <w:t>2</w:t>
      </w:r>
      <w:r w:rsidRPr="00CF2F0E">
        <w:t xml:space="preserve"> learning resources comprised 6</w:t>
      </w:r>
      <w:r>
        <w:t>5</w:t>
      </w:r>
      <w:r w:rsidRPr="00CF2F0E">
        <w:t>.</w:t>
      </w:r>
      <w:r>
        <w:t>1</w:t>
      </w:r>
      <w:r w:rsidRPr="00CF2F0E">
        <w:t xml:space="preserve">% of all school expenditure. </w:t>
      </w:r>
    </w:p>
    <w:p w:rsidR="00C5002F" w:rsidRPr="00CF2F0E" w:rsidRDefault="00C5002F" w:rsidP="007A3F0B">
      <w:pPr>
        <w:pStyle w:val="BodyText"/>
      </w:pPr>
      <w:r w:rsidRPr="00CF2F0E">
        <w:t>The majority of administration expenses are the salaries of principals and other administrators. Administrative expenses also include the expenses of boards of trustees and all communication- and audit-related expenses. Administration expenses comprised 6.</w:t>
      </w:r>
      <w:r>
        <w:t>1</w:t>
      </w:r>
      <w:r w:rsidRPr="00CF2F0E">
        <w:t>% of total school expenditure in 201</w:t>
      </w:r>
      <w:r>
        <w:t>2</w:t>
      </w:r>
      <w:r w:rsidRPr="00CF2F0E">
        <w:t>.</w:t>
      </w:r>
    </w:p>
    <w:p w:rsidR="00C5002F" w:rsidRPr="00CF2F0E" w:rsidRDefault="00C5002F" w:rsidP="007A3F0B">
      <w:pPr>
        <w:pStyle w:val="BodyText"/>
      </w:pPr>
      <w:r w:rsidRPr="00CF2F0E">
        <w:t>Depreciation includes the depreciation on furniture, equipment and physical assets of schools, and comprised 2.</w:t>
      </w:r>
      <w:r>
        <w:t>5</w:t>
      </w:r>
      <w:r w:rsidRPr="00CF2F0E">
        <w:t>% of total school expenses in 201</w:t>
      </w:r>
      <w:r>
        <w:t>2</w:t>
      </w:r>
      <w:r w:rsidRPr="00CF2F0E">
        <w:t xml:space="preserve">. </w:t>
      </w:r>
    </w:p>
    <w:p w:rsidR="00C5002F" w:rsidRPr="00CF2F0E" w:rsidRDefault="00C5002F" w:rsidP="007A3F0B">
      <w:pPr>
        <w:pStyle w:val="BodyText"/>
      </w:pPr>
      <w:r w:rsidRPr="00CF2F0E">
        <w:t>Expenses to raise funds from local sources include expenses for trading and fundraising activities</w:t>
      </w:r>
      <w:r w:rsidRPr="00CF2F0E" w:rsidDel="00570EBD">
        <w:t>. I</w:t>
      </w:r>
      <w:r w:rsidRPr="00CF2F0E">
        <w:t>n 201</w:t>
      </w:r>
      <w:r>
        <w:t>2</w:t>
      </w:r>
      <w:r w:rsidRPr="00CF2F0E">
        <w:t xml:space="preserve"> these comprised 3.</w:t>
      </w:r>
      <w:r>
        <w:t>4</w:t>
      </w:r>
      <w:r w:rsidRPr="00CF2F0E">
        <w:t>% of total school expenditure. Administration of international students comprised 0.</w:t>
      </w:r>
      <w:r>
        <w:t>8</w:t>
      </w:r>
      <w:r w:rsidRPr="00CF2F0E">
        <w:t xml:space="preserve">% of the total. </w:t>
      </w:r>
    </w:p>
    <w:p w:rsidR="00C5002F" w:rsidRPr="00CF2F0E" w:rsidRDefault="00C5002F" w:rsidP="007A3F0B">
      <w:pPr>
        <w:pStyle w:val="BodyText"/>
      </w:pPr>
      <w:r w:rsidRPr="00CF2F0E">
        <w:t>Property expenditure includes the salaries of cleaners and caretakers, heating, light and water requirements, expenses related to the upkeep of school grounds, and repairs and maintenance of school sites. In 201</w:t>
      </w:r>
      <w:r>
        <w:t>2</w:t>
      </w:r>
      <w:r w:rsidRPr="00CF2F0E">
        <w:t xml:space="preserve"> the property expenditure comprised 2</w:t>
      </w:r>
      <w:r>
        <w:t>1</w:t>
      </w:r>
      <w:r w:rsidRPr="00CF2F0E">
        <w:t>.</w:t>
      </w:r>
      <w:r>
        <w:t>2</w:t>
      </w:r>
      <w:r w:rsidRPr="00CF2F0E">
        <w:t xml:space="preserve">% (when use of land and buildings are included) of the total expenditure of schools. Other forms of expenditure comprised </w:t>
      </w:r>
      <w:r>
        <w:t>0.9</w:t>
      </w:r>
      <w:r w:rsidRPr="00CF2F0E">
        <w:t>% of total expenditure.</w:t>
      </w:r>
    </w:p>
    <w:p w:rsidR="00F0676E" w:rsidRDefault="00F0676E">
      <w:pPr>
        <w:spacing w:after="0" w:line="240" w:lineRule="auto"/>
        <w:rPr>
          <w:rFonts w:ascii="Times New Roman" w:hAnsi="Times New Roman" w:cs="Arial"/>
          <w:b/>
          <w:color w:val="4A7729"/>
          <w:sz w:val="22"/>
          <w:szCs w:val="22"/>
          <w:lang w:val="en-NZ"/>
        </w:rPr>
      </w:pPr>
      <w:r>
        <w:br w:type="page"/>
      </w:r>
    </w:p>
    <w:p w:rsidR="006C7D01" w:rsidRPr="001C583B" w:rsidRDefault="006C7D01" w:rsidP="002E741F">
      <w:pPr>
        <w:pStyle w:val="Heading3"/>
      </w:pPr>
      <w:r w:rsidRPr="001C583B">
        <w:t>Indicators of sound financial management</w:t>
      </w:r>
    </w:p>
    <w:p w:rsidR="001C583B" w:rsidRPr="00CF2F0E" w:rsidRDefault="001C583B" w:rsidP="007A3F0B">
      <w:pPr>
        <w:pStyle w:val="BodyText"/>
      </w:pPr>
      <w:r w:rsidRPr="00CF2F0E">
        <w:t>A range of financial indicators give some insight into the financial management and performance of schools, including whether they have an operating surplus, sufficient wo</w:t>
      </w:r>
      <w:r w:rsidR="00756A3E">
        <w:t>rking capital for operations or</w:t>
      </w:r>
      <w:r w:rsidRPr="00CF2F0E">
        <w:t xml:space="preserve"> increasing public equity. The general performance of schools based on these indicators is discussed below.</w:t>
      </w:r>
    </w:p>
    <w:p w:rsidR="006C7D01" w:rsidRPr="001C583B" w:rsidRDefault="006C7D01" w:rsidP="00257BC8">
      <w:pPr>
        <w:pStyle w:val="Heading4"/>
      </w:pPr>
      <w:r w:rsidRPr="001C583B">
        <w:t xml:space="preserve">Operating surplus </w:t>
      </w:r>
    </w:p>
    <w:p w:rsidR="001C583B" w:rsidRPr="00CF2F0E" w:rsidRDefault="001C583B" w:rsidP="007A3F0B">
      <w:pPr>
        <w:pStyle w:val="BodyText"/>
      </w:pPr>
      <w:bookmarkStart w:id="78" w:name="_Toc304217621"/>
      <w:bookmarkStart w:id="79" w:name="_Toc304449800"/>
      <w:r w:rsidRPr="00CF2F0E">
        <w:t xml:space="preserve">The operating surplus is calculated as the difference between total revenue and total expenditure (including depreciation on assets). In general, schools should have an operating surplus or sufficient reserves available to provide for any unexpected expenditure. Schools achieved an estimated combined operating </w:t>
      </w:r>
      <w:r>
        <w:t xml:space="preserve">surplus </w:t>
      </w:r>
      <w:r w:rsidRPr="00CF2F0E">
        <w:t>of 0.</w:t>
      </w:r>
      <w:r>
        <w:t>5</w:t>
      </w:r>
      <w:r w:rsidRPr="00CF2F0E">
        <w:t>% of total revenue in 201</w:t>
      </w:r>
      <w:r>
        <w:t>2</w:t>
      </w:r>
      <w:r w:rsidRPr="00CF2F0E">
        <w:t>, compared with 0.</w:t>
      </w:r>
      <w:r>
        <w:t>6</w:t>
      </w:r>
      <w:r w:rsidRPr="00CF2F0E">
        <w:t>% in 20</w:t>
      </w:r>
      <w:r>
        <w:t>11</w:t>
      </w:r>
      <w:r w:rsidRPr="00CF2F0E">
        <w:t xml:space="preserve">. </w:t>
      </w:r>
    </w:p>
    <w:p w:rsidR="00F0676E" w:rsidRDefault="001C583B" w:rsidP="00F0676E">
      <w:pPr>
        <w:pStyle w:val="BodyText"/>
      </w:pPr>
      <w:r w:rsidRPr="00CF2F0E">
        <w:t>Schools can record an operating deficit in one year due to unexpected or unforeseen expenditure. An operating surplus for multiple consecutive years is an indicator of sou</w:t>
      </w:r>
      <w:r>
        <w:t>nd financial management. Table 3</w:t>
      </w:r>
      <w:r w:rsidRPr="00CF2F0E">
        <w:t xml:space="preserve"> presents the proportion of schools that have reported one, two or three years of operating surplus during t</w:t>
      </w:r>
      <w:r>
        <w:t>he last three years (2010</w:t>
      </w:r>
      <w:r w:rsidRPr="00CF2F0E">
        <w:t>–201</w:t>
      </w:r>
      <w:r>
        <w:t>2</w:t>
      </w:r>
      <w:r w:rsidRPr="00CF2F0E">
        <w:t xml:space="preserve">). </w:t>
      </w:r>
    </w:p>
    <w:p w:rsidR="006C7D01" w:rsidRPr="001C583B" w:rsidRDefault="006C7D01" w:rsidP="00F75B24">
      <w:pPr>
        <w:pStyle w:val="TableHeading"/>
      </w:pPr>
      <w:bookmarkStart w:id="80" w:name="_Toc367361571"/>
      <w:r w:rsidRPr="001C583B">
        <w:t xml:space="preserve">Percentage of schools with </w:t>
      </w:r>
      <w:r w:rsidR="001C583B">
        <w:t>an operating surplus, 2010</w:t>
      </w:r>
      <w:r w:rsidRPr="001C583B">
        <w:t>–201</w:t>
      </w:r>
      <w:bookmarkEnd w:id="78"/>
      <w:bookmarkEnd w:id="79"/>
      <w:r w:rsidR="001C583B" w:rsidRPr="001C583B">
        <w:t>2</w:t>
      </w:r>
      <w:bookmarkEnd w:id="80"/>
    </w:p>
    <w:tbl>
      <w:tblPr>
        <w:tblW w:w="8845"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4A0"/>
      </w:tblPr>
      <w:tblGrid>
        <w:gridCol w:w="2349"/>
        <w:gridCol w:w="1624"/>
        <w:gridCol w:w="1624"/>
        <w:gridCol w:w="1624"/>
        <w:gridCol w:w="1624"/>
      </w:tblGrid>
      <w:tr w:rsidR="00D939EA" w:rsidRPr="0060013A" w:rsidTr="00FC15F7">
        <w:tc>
          <w:tcPr>
            <w:tcW w:w="2349" w:type="dxa"/>
            <w:tcBorders>
              <w:bottom w:val="single" w:sz="4" w:space="0" w:color="FFFFFF" w:themeColor="background1"/>
            </w:tcBorders>
            <w:shd w:val="clear" w:color="auto" w:fill="DBE2D1"/>
            <w:noWrap/>
            <w:vAlign w:val="bottom"/>
            <w:hideMark/>
          </w:tcPr>
          <w:p w:rsidR="00D939EA" w:rsidRPr="001C583B" w:rsidRDefault="00CF439A" w:rsidP="00EA69FB">
            <w:pPr>
              <w:pStyle w:val="TableText"/>
              <w:rPr>
                <w:b/>
              </w:rPr>
            </w:pPr>
            <w:r w:rsidRPr="001C583B">
              <w:rPr>
                <w:b/>
              </w:rPr>
              <w:t>Surplus</w:t>
            </w:r>
          </w:p>
        </w:tc>
        <w:tc>
          <w:tcPr>
            <w:tcW w:w="1624" w:type="dxa"/>
            <w:tcBorders>
              <w:bottom w:val="single" w:sz="4" w:space="0" w:color="FFFFFF" w:themeColor="background1"/>
            </w:tcBorders>
            <w:shd w:val="clear" w:color="auto" w:fill="DBE2D1"/>
            <w:hideMark/>
          </w:tcPr>
          <w:p w:rsidR="00D939EA" w:rsidRPr="001C583B" w:rsidRDefault="00D939EA" w:rsidP="00941C19">
            <w:pPr>
              <w:pStyle w:val="TableText"/>
              <w:jc w:val="center"/>
              <w:rPr>
                <w:b/>
              </w:rPr>
            </w:pPr>
            <w:r w:rsidRPr="001C583B">
              <w:rPr>
                <w:b/>
              </w:rPr>
              <w:t xml:space="preserve">All </w:t>
            </w:r>
            <w:r w:rsidR="00026DE8" w:rsidRPr="001C583B">
              <w:rPr>
                <w:b/>
              </w:rPr>
              <w:t xml:space="preserve">schools </w:t>
            </w:r>
            <w:r w:rsidR="00941C19" w:rsidRPr="001C583B">
              <w:rPr>
                <w:b/>
              </w:rPr>
              <w:br/>
              <w:t>(%)</w:t>
            </w:r>
          </w:p>
        </w:tc>
        <w:tc>
          <w:tcPr>
            <w:tcW w:w="1624" w:type="dxa"/>
            <w:tcBorders>
              <w:bottom w:val="single" w:sz="4" w:space="0" w:color="FFFFFF" w:themeColor="background1"/>
            </w:tcBorders>
            <w:shd w:val="clear" w:color="auto" w:fill="DBE2D1"/>
            <w:hideMark/>
          </w:tcPr>
          <w:p w:rsidR="00D939EA" w:rsidRPr="001C583B" w:rsidRDefault="00D939EA" w:rsidP="00941C19">
            <w:pPr>
              <w:pStyle w:val="TableText"/>
              <w:jc w:val="center"/>
              <w:rPr>
                <w:b/>
              </w:rPr>
            </w:pPr>
            <w:r w:rsidRPr="001C583B">
              <w:rPr>
                <w:b/>
              </w:rPr>
              <w:t xml:space="preserve">Primary </w:t>
            </w:r>
            <w:r w:rsidR="00026DE8" w:rsidRPr="001C583B">
              <w:rPr>
                <w:b/>
              </w:rPr>
              <w:t xml:space="preserve">schools </w:t>
            </w:r>
            <w:r w:rsidR="00941C19" w:rsidRPr="001C583B">
              <w:rPr>
                <w:b/>
              </w:rPr>
              <w:br/>
              <w:t>(%)</w:t>
            </w:r>
          </w:p>
        </w:tc>
        <w:tc>
          <w:tcPr>
            <w:tcW w:w="1624" w:type="dxa"/>
            <w:tcBorders>
              <w:bottom w:val="single" w:sz="4" w:space="0" w:color="FFFFFF" w:themeColor="background1"/>
            </w:tcBorders>
            <w:shd w:val="clear" w:color="auto" w:fill="DBE2D1"/>
            <w:vAlign w:val="bottom"/>
            <w:hideMark/>
          </w:tcPr>
          <w:p w:rsidR="00D939EA" w:rsidRPr="001C583B" w:rsidRDefault="00D939EA" w:rsidP="00EA69FB">
            <w:pPr>
              <w:pStyle w:val="TableText"/>
              <w:jc w:val="center"/>
              <w:rPr>
                <w:b/>
              </w:rPr>
            </w:pPr>
            <w:r w:rsidRPr="001C583B">
              <w:rPr>
                <w:b/>
              </w:rPr>
              <w:t>Secondary schools</w:t>
            </w:r>
            <w:r w:rsidR="00941C19" w:rsidRPr="001C583B">
              <w:rPr>
                <w:b/>
              </w:rPr>
              <w:t xml:space="preserve"> (%)</w:t>
            </w:r>
          </w:p>
        </w:tc>
        <w:tc>
          <w:tcPr>
            <w:tcW w:w="1624" w:type="dxa"/>
            <w:tcBorders>
              <w:bottom w:val="single" w:sz="4" w:space="0" w:color="FFFFFF" w:themeColor="background1"/>
            </w:tcBorders>
            <w:shd w:val="clear" w:color="auto" w:fill="DBE2D1"/>
            <w:hideMark/>
          </w:tcPr>
          <w:p w:rsidR="00D939EA" w:rsidRPr="001C583B" w:rsidRDefault="00D939EA" w:rsidP="00941C19">
            <w:pPr>
              <w:pStyle w:val="TableText"/>
              <w:jc w:val="center"/>
              <w:rPr>
                <w:b/>
              </w:rPr>
            </w:pPr>
            <w:r w:rsidRPr="001C583B">
              <w:rPr>
                <w:b/>
              </w:rPr>
              <w:t xml:space="preserve">Other </w:t>
            </w:r>
            <w:r w:rsidR="00026DE8" w:rsidRPr="001C583B">
              <w:rPr>
                <w:b/>
              </w:rPr>
              <w:t xml:space="preserve">schools </w:t>
            </w:r>
            <w:r w:rsidR="00941C19" w:rsidRPr="001C583B">
              <w:rPr>
                <w:b/>
              </w:rPr>
              <w:br/>
              <w:t>(%)</w:t>
            </w:r>
          </w:p>
        </w:tc>
      </w:tr>
      <w:tr w:rsidR="001C583B" w:rsidRPr="0060013A" w:rsidTr="00B24FC4">
        <w:tc>
          <w:tcPr>
            <w:tcW w:w="2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BA550A" w:rsidRDefault="001C583B" w:rsidP="001C583B">
            <w:pPr>
              <w:pStyle w:val="TableText"/>
              <w:rPr>
                <w:lang w:val="en-NZ" w:eastAsia="en-NZ"/>
              </w:rPr>
            </w:pPr>
            <w:r w:rsidRPr="00BA550A">
              <w:rPr>
                <w:lang w:val="en-NZ" w:eastAsia="en-NZ"/>
              </w:rPr>
              <w:t>One year of operating surplus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27.8</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28.9</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23.2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22.5</w:t>
            </w:r>
          </w:p>
        </w:tc>
      </w:tr>
      <w:tr w:rsidR="001C583B" w:rsidRPr="0060013A" w:rsidTr="00B24FC4">
        <w:tc>
          <w:tcPr>
            <w:tcW w:w="2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BA550A" w:rsidRDefault="001C583B" w:rsidP="001C583B">
            <w:pPr>
              <w:pStyle w:val="TableText"/>
              <w:rPr>
                <w:lang w:val="en-NZ" w:eastAsia="en-NZ"/>
              </w:rPr>
            </w:pPr>
            <w:r w:rsidRPr="00BA550A">
              <w:rPr>
                <w:lang w:val="en-NZ" w:eastAsia="en-NZ"/>
              </w:rPr>
              <w:t>Two years of operating surplus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30.2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29.9</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31.4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27.5</w:t>
            </w:r>
          </w:p>
        </w:tc>
      </w:tr>
      <w:tr w:rsidR="001C583B" w:rsidRPr="0060013A" w:rsidTr="00B24FC4">
        <w:tc>
          <w:tcPr>
            <w:tcW w:w="2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BA550A" w:rsidRDefault="001C583B" w:rsidP="001C583B">
            <w:pPr>
              <w:pStyle w:val="TableText"/>
              <w:rPr>
                <w:lang w:val="en-NZ" w:eastAsia="en-NZ"/>
              </w:rPr>
            </w:pPr>
            <w:r w:rsidRPr="00BA550A">
              <w:rPr>
                <w:lang w:val="en-NZ" w:eastAsia="en-NZ"/>
              </w:rPr>
              <w:t>Three years of operating surplus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24.4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23.2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27.9</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45.0</w:t>
            </w:r>
          </w:p>
        </w:tc>
      </w:tr>
      <w:tr w:rsidR="001C583B" w:rsidRPr="0060013A" w:rsidTr="00B24FC4">
        <w:tc>
          <w:tcPr>
            <w:tcW w:w="2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BA550A" w:rsidRDefault="001C583B" w:rsidP="001C583B">
            <w:pPr>
              <w:pStyle w:val="TableText"/>
              <w:rPr>
                <w:lang w:val="en-NZ" w:eastAsia="en-NZ"/>
              </w:rPr>
            </w:pPr>
            <w:r w:rsidRPr="00BA550A">
              <w:rPr>
                <w:lang w:val="en-NZ" w:eastAsia="en-NZ"/>
              </w:rPr>
              <w:t>Operating surplus in 2010</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49.2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48.2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52.9</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56.5</w:t>
            </w:r>
          </w:p>
        </w:tc>
      </w:tr>
      <w:tr w:rsidR="001C583B" w:rsidRPr="0060013A" w:rsidTr="00B24FC4">
        <w:tc>
          <w:tcPr>
            <w:tcW w:w="2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BA550A" w:rsidRDefault="001C583B" w:rsidP="001C583B">
            <w:pPr>
              <w:pStyle w:val="TableText"/>
              <w:rPr>
                <w:lang w:val="en-NZ" w:eastAsia="en-NZ"/>
              </w:rPr>
            </w:pPr>
            <w:r w:rsidRPr="00BA550A">
              <w:rPr>
                <w:lang w:val="en-NZ" w:eastAsia="en-NZ"/>
              </w:rPr>
              <w:t>Operating surplus in 2011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56.3</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55.3</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59.6</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71.1</w:t>
            </w:r>
          </w:p>
        </w:tc>
      </w:tr>
      <w:tr w:rsidR="001C583B" w:rsidRPr="0060013A" w:rsidTr="00B24FC4">
        <w:tc>
          <w:tcPr>
            <w:tcW w:w="2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BA550A" w:rsidRDefault="001C583B" w:rsidP="001C583B">
            <w:pPr>
              <w:pStyle w:val="TableText"/>
              <w:rPr>
                <w:lang w:val="en-NZ" w:eastAsia="en-NZ"/>
              </w:rPr>
            </w:pPr>
            <w:r w:rsidRPr="00BA550A">
              <w:rPr>
                <w:lang w:val="en-NZ" w:eastAsia="en-NZ"/>
              </w:rPr>
              <w:t>Operating surplus in 2012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55.2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54.4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57.2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BA550A" w:rsidRDefault="001C583B" w:rsidP="001C583B">
            <w:pPr>
              <w:pStyle w:val="TableText"/>
              <w:jc w:val="center"/>
              <w:rPr>
                <w:lang w:val="en-NZ" w:eastAsia="en-NZ"/>
              </w:rPr>
            </w:pPr>
            <w:r w:rsidRPr="00BA550A">
              <w:rPr>
                <w:lang w:val="en-NZ" w:eastAsia="en-NZ"/>
              </w:rPr>
              <w:t>72.5</w:t>
            </w:r>
          </w:p>
        </w:tc>
      </w:tr>
    </w:tbl>
    <w:p w:rsidR="001231C3" w:rsidRPr="0060013A" w:rsidRDefault="001231C3" w:rsidP="00256F20">
      <w:pPr>
        <w:pStyle w:val="TableFootnote"/>
        <w:spacing w:after="40"/>
        <w:rPr>
          <w:bCs w:val="0"/>
          <w:highlight w:val="yellow"/>
        </w:rPr>
      </w:pPr>
    </w:p>
    <w:p w:rsidR="001C583B" w:rsidRPr="00CF2F0E" w:rsidRDefault="001C583B" w:rsidP="007A3F0B">
      <w:pPr>
        <w:pStyle w:val="BodyText"/>
      </w:pPr>
      <w:r>
        <w:t>A</w:t>
      </w:r>
      <w:r w:rsidRPr="00CF2F0E">
        <w:t xml:space="preserve">round half of schools have operated in surplus in each of the last three years. In the </w:t>
      </w:r>
      <w:r>
        <w:t xml:space="preserve">last </w:t>
      </w:r>
      <w:r w:rsidRPr="00CF2F0E">
        <w:t>t</w:t>
      </w:r>
      <w:r>
        <w:t>hree</w:t>
      </w:r>
      <w:r w:rsidRPr="00CF2F0E">
        <w:t xml:space="preserve"> years, </w:t>
      </w:r>
      <w:r>
        <w:t>secondary</w:t>
      </w:r>
      <w:r w:rsidRPr="00CF2F0E">
        <w:t xml:space="preserve"> schools were more likely to have a surplus than </w:t>
      </w:r>
      <w:r>
        <w:t>primary</w:t>
      </w:r>
      <w:r w:rsidRPr="00CF2F0E">
        <w:t xml:space="preserve"> schools</w:t>
      </w:r>
      <w:r>
        <w:t>.</w:t>
      </w:r>
    </w:p>
    <w:p w:rsidR="006C7D01" w:rsidRPr="001C583B" w:rsidRDefault="006C7D01" w:rsidP="001231C3">
      <w:pPr>
        <w:pStyle w:val="Heading4"/>
      </w:pPr>
      <w:r w:rsidRPr="001C583B">
        <w:t>Working capital</w:t>
      </w:r>
    </w:p>
    <w:p w:rsidR="001C583B" w:rsidRPr="00CF2F0E" w:rsidRDefault="001C583B" w:rsidP="007A3F0B">
      <w:pPr>
        <w:pStyle w:val="BodyText"/>
      </w:pPr>
      <w:bookmarkStart w:id="81" w:name="_Toc304217622"/>
      <w:bookmarkStart w:id="82" w:name="_Toc304449801"/>
      <w:r w:rsidRPr="00CF2F0E">
        <w:t>The level of</w:t>
      </w:r>
      <w:r w:rsidRPr="00CF2F0E">
        <w:rPr>
          <w:b/>
        </w:rPr>
        <w:t xml:space="preserve"> </w:t>
      </w:r>
      <w:r w:rsidRPr="00CF2F0E">
        <w:t xml:space="preserve">working capital is an indicator of a school’s ability to operate financially and meet debts in the short term. Working capital is normally measured in one of two ways: as a dollar value or as a ratio between current </w:t>
      </w:r>
      <w:r w:rsidR="007A3F0B">
        <w:t>assets and current liabilities.</w:t>
      </w:r>
    </w:p>
    <w:p w:rsidR="001C583B" w:rsidRPr="00CF2F0E" w:rsidRDefault="001C583B" w:rsidP="007A3F0B">
      <w:pPr>
        <w:pStyle w:val="BodyText"/>
      </w:pPr>
      <w:r>
        <w:t>Table 4</w:t>
      </w:r>
      <w:r w:rsidRPr="00CF2F0E">
        <w:t xml:space="preserve"> presents the working capital ratios of schools in 201</w:t>
      </w:r>
      <w:r>
        <w:t>2</w:t>
      </w:r>
      <w:r w:rsidRPr="00CF2F0E">
        <w:t>. Having a working capital ratio of at least 1:1 means that a school is able to pay its short-term debts and operate with some flexibility. For example, if the working capital ratio is 1</w:t>
      </w:r>
      <w:r w:rsidRPr="00CF2F0E" w:rsidDel="00570EBD">
        <w:t>:</w:t>
      </w:r>
      <w:r w:rsidRPr="00CF2F0E">
        <w:t>35, this means that for every dollar of current liabilities a school owes, they have $1.35 worth of current assets to meet their short-term financial obligations.</w:t>
      </w:r>
    </w:p>
    <w:p w:rsidR="006C7D01" w:rsidRPr="001C583B" w:rsidRDefault="006C7D01" w:rsidP="00F75B24">
      <w:pPr>
        <w:pStyle w:val="TableHeading"/>
      </w:pPr>
      <w:bookmarkStart w:id="83" w:name="_Toc367361572"/>
      <w:r w:rsidRPr="001C583B">
        <w:t>Percentage of schools in different working capital ratio bands, 201</w:t>
      </w:r>
      <w:bookmarkEnd w:id="81"/>
      <w:bookmarkEnd w:id="82"/>
      <w:r w:rsidR="001C583B" w:rsidRPr="001C583B">
        <w:t>2</w:t>
      </w:r>
      <w:bookmarkEnd w:id="83"/>
    </w:p>
    <w:tbl>
      <w:tblPr>
        <w:tblW w:w="8845"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ayout w:type="fixed"/>
        <w:tblLook w:val="04A0"/>
      </w:tblPr>
      <w:tblGrid>
        <w:gridCol w:w="2547"/>
        <w:gridCol w:w="1574"/>
        <w:gridCol w:w="1575"/>
        <w:gridCol w:w="1574"/>
        <w:gridCol w:w="1575"/>
      </w:tblGrid>
      <w:tr w:rsidR="00941C19" w:rsidRPr="001C583B" w:rsidTr="00FC15F7">
        <w:tc>
          <w:tcPr>
            <w:tcW w:w="2547" w:type="dxa"/>
            <w:tcBorders>
              <w:bottom w:val="single" w:sz="4" w:space="0" w:color="FFFFFF" w:themeColor="background1"/>
            </w:tcBorders>
            <w:shd w:val="clear" w:color="auto" w:fill="DBE2D1"/>
            <w:noWrap/>
            <w:vAlign w:val="bottom"/>
            <w:hideMark/>
          </w:tcPr>
          <w:p w:rsidR="00941C19" w:rsidRPr="001C583B" w:rsidRDefault="00941C19" w:rsidP="00EA69FB">
            <w:pPr>
              <w:pStyle w:val="TableText"/>
              <w:rPr>
                <w:b/>
              </w:rPr>
            </w:pPr>
            <w:r w:rsidRPr="001C583B">
              <w:rPr>
                <w:b/>
              </w:rPr>
              <w:t>Working capital ratio</w:t>
            </w:r>
          </w:p>
        </w:tc>
        <w:tc>
          <w:tcPr>
            <w:tcW w:w="1574" w:type="dxa"/>
            <w:tcBorders>
              <w:bottom w:val="single" w:sz="4" w:space="0" w:color="FFFFFF" w:themeColor="background1"/>
            </w:tcBorders>
            <w:shd w:val="clear" w:color="auto" w:fill="DBE2D1"/>
            <w:noWrap/>
            <w:hideMark/>
          </w:tcPr>
          <w:p w:rsidR="00941C19" w:rsidRPr="001C583B" w:rsidRDefault="00941C19" w:rsidP="00941C19">
            <w:pPr>
              <w:pStyle w:val="TableText"/>
              <w:jc w:val="center"/>
              <w:rPr>
                <w:b/>
              </w:rPr>
            </w:pPr>
            <w:r w:rsidRPr="001C583B">
              <w:rPr>
                <w:b/>
              </w:rPr>
              <w:t xml:space="preserve">All </w:t>
            </w:r>
            <w:r w:rsidR="00026DE8" w:rsidRPr="001C583B">
              <w:rPr>
                <w:b/>
              </w:rPr>
              <w:t xml:space="preserve">schools </w:t>
            </w:r>
            <w:r w:rsidRPr="001C583B">
              <w:rPr>
                <w:b/>
              </w:rPr>
              <w:br/>
              <w:t>(%)</w:t>
            </w:r>
          </w:p>
        </w:tc>
        <w:tc>
          <w:tcPr>
            <w:tcW w:w="1575" w:type="dxa"/>
            <w:tcBorders>
              <w:bottom w:val="single" w:sz="4" w:space="0" w:color="FFFFFF" w:themeColor="background1"/>
            </w:tcBorders>
            <w:shd w:val="clear" w:color="auto" w:fill="DBE2D1"/>
            <w:noWrap/>
            <w:hideMark/>
          </w:tcPr>
          <w:p w:rsidR="00941C19" w:rsidRPr="001C583B" w:rsidRDefault="00941C19" w:rsidP="00941C19">
            <w:pPr>
              <w:pStyle w:val="TableText"/>
              <w:jc w:val="center"/>
              <w:rPr>
                <w:b/>
              </w:rPr>
            </w:pPr>
            <w:r w:rsidRPr="001C583B">
              <w:rPr>
                <w:b/>
              </w:rPr>
              <w:t xml:space="preserve">Primary </w:t>
            </w:r>
            <w:r w:rsidR="00026DE8" w:rsidRPr="001C583B">
              <w:rPr>
                <w:b/>
              </w:rPr>
              <w:t xml:space="preserve">schools </w:t>
            </w:r>
            <w:r w:rsidRPr="001C583B">
              <w:rPr>
                <w:b/>
              </w:rPr>
              <w:br/>
              <w:t>(%)</w:t>
            </w:r>
          </w:p>
        </w:tc>
        <w:tc>
          <w:tcPr>
            <w:tcW w:w="1574" w:type="dxa"/>
            <w:tcBorders>
              <w:bottom w:val="single" w:sz="4" w:space="0" w:color="FFFFFF" w:themeColor="background1"/>
            </w:tcBorders>
            <w:shd w:val="clear" w:color="auto" w:fill="DBE2D1"/>
            <w:noWrap/>
            <w:vAlign w:val="bottom"/>
            <w:hideMark/>
          </w:tcPr>
          <w:p w:rsidR="00941C19" w:rsidRPr="001C583B" w:rsidRDefault="00941C19" w:rsidP="00941C19">
            <w:pPr>
              <w:pStyle w:val="TableText"/>
              <w:jc w:val="center"/>
              <w:rPr>
                <w:b/>
              </w:rPr>
            </w:pPr>
            <w:r w:rsidRPr="001C583B">
              <w:rPr>
                <w:b/>
              </w:rPr>
              <w:t>Secondary schools (%)</w:t>
            </w:r>
          </w:p>
        </w:tc>
        <w:tc>
          <w:tcPr>
            <w:tcW w:w="1575" w:type="dxa"/>
            <w:tcBorders>
              <w:bottom w:val="single" w:sz="4" w:space="0" w:color="FFFFFF" w:themeColor="background1"/>
            </w:tcBorders>
            <w:shd w:val="clear" w:color="auto" w:fill="DBE2D1"/>
            <w:noWrap/>
            <w:hideMark/>
          </w:tcPr>
          <w:p w:rsidR="00941C19" w:rsidRPr="001C583B" w:rsidRDefault="00941C19" w:rsidP="00941C19">
            <w:pPr>
              <w:pStyle w:val="TableText"/>
              <w:jc w:val="center"/>
              <w:rPr>
                <w:b/>
              </w:rPr>
            </w:pPr>
            <w:r w:rsidRPr="001C583B">
              <w:rPr>
                <w:b/>
              </w:rPr>
              <w:t xml:space="preserve">Other </w:t>
            </w:r>
            <w:r w:rsidR="00026DE8" w:rsidRPr="001C583B">
              <w:rPr>
                <w:b/>
              </w:rPr>
              <w:t xml:space="preserve">schools </w:t>
            </w:r>
            <w:r w:rsidRPr="001C583B">
              <w:rPr>
                <w:b/>
              </w:rPr>
              <w:br/>
              <w:t>(%)</w:t>
            </w:r>
          </w:p>
        </w:tc>
      </w:tr>
      <w:tr w:rsidR="001C583B" w:rsidRPr="001C583B" w:rsidTr="00FC15F7">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1C583B" w:rsidRDefault="001C583B" w:rsidP="00C979C6">
            <w:pPr>
              <w:pStyle w:val="TableText"/>
            </w:pPr>
            <w:r w:rsidRPr="001C583B">
              <w:t>&lt; 1.0</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6.2</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4.9</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12.8</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0</w:t>
            </w:r>
          </w:p>
        </w:tc>
      </w:tr>
      <w:tr w:rsidR="001C583B" w:rsidRPr="001C583B" w:rsidTr="00FC15F7">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1C583B" w:rsidRDefault="001C583B" w:rsidP="00C979C6">
            <w:pPr>
              <w:pStyle w:val="TableText"/>
            </w:pPr>
            <w:r w:rsidRPr="001C583B">
              <w:t>&lt; 2.0</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41.7</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38.8</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56.7</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17.5</w:t>
            </w:r>
          </w:p>
        </w:tc>
      </w:tr>
      <w:tr w:rsidR="001C583B" w:rsidRPr="001C583B" w:rsidTr="00FC15F7">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1C583B" w:rsidRDefault="001C583B" w:rsidP="00C979C6">
            <w:pPr>
              <w:pStyle w:val="TableText"/>
            </w:pPr>
            <w:r w:rsidRPr="001C583B">
              <w:t>&lt; 3.0</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26.8</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28.7</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17.3</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37.5</w:t>
            </w:r>
          </w:p>
        </w:tc>
      </w:tr>
      <w:tr w:rsidR="001C583B" w:rsidRPr="0060013A" w:rsidTr="00FC15F7">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1C583B" w:rsidRDefault="001C583B" w:rsidP="00C979C6">
            <w:pPr>
              <w:pStyle w:val="TableText"/>
            </w:pPr>
            <w:r w:rsidRPr="001C583B">
              <w:t xml:space="preserve">3.0 + </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25.4</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27.7</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13.2</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7A3F0B" w:rsidRDefault="001C583B" w:rsidP="007A3F0B">
            <w:pPr>
              <w:pStyle w:val="TableText"/>
              <w:tabs>
                <w:tab w:val="left" w:pos="780"/>
              </w:tabs>
              <w:ind w:right="539"/>
              <w:jc w:val="right"/>
              <w:rPr>
                <w:bCs w:val="0"/>
                <w:lang w:val="en-NZ" w:eastAsia="en-NZ"/>
              </w:rPr>
            </w:pPr>
            <w:r w:rsidRPr="007A3F0B">
              <w:rPr>
                <w:bCs w:val="0"/>
                <w:lang w:val="en-NZ" w:eastAsia="en-NZ"/>
              </w:rPr>
              <w:t>45</w:t>
            </w:r>
          </w:p>
        </w:tc>
      </w:tr>
    </w:tbl>
    <w:p w:rsidR="001231C3" w:rsidRPr="0060013A" w:rsidRDefault="001231C3" w:rsidP="00256F20">
      <w:pPr>
        <w:pStyle w:val="TableFootnote"/>
        <w:spacing w:after="40"/>
        <w:rPr>
          <w:bCs w:val="0"/>
          <w:highlight w:val="yellow"/>
        </w:rPr>
      </w:pPr>
    </w:p>
    <w:p w:rsidR="001C583B" w:rsidRPr="00CF2F0E" w:rsidRDefault="001C583B" w:rsidP="007A3F0B">
      <w:pPr>
        <w:pStyle w:val="BodyText"/>
      </w:pPr>
      <w:r>
        <w:t>Table 4</w:t>
      </w:r>
      <w:r w:rsidRPr="00CF2F0E">
        <w:t xml:space="preserve"> shows that </w:t>
      </w:r>
      <w:r>
        <w:t xml:space="preserve">almost 94% of all </w:t>
      </w:r>
      <w:r w:rsidRPr="00CF2F0E">
        <w:t xml:space="preserve">state and state-integrated schools have at least enough current assets to cover their short-term debts. </w:t>
      </w:r>
    </w:p>
    <w:p w:rsidR="006C7D01" w:rsidRPr="001C583B" w:rsidRDefault="006C7D01" w:rsidP="00257BC8">
      <w:pPr>
        <w:pStyle w:val="Heading4"/>
      </w:pPr>
      <w:r w:rsidRPr="001C583B">
        <w:t>Public equity</w:t>
      </w:r>
    </w:p>
    <w:p w:rsidR="001C583B" w:rsidRPr="00CF2F0E" w:rsidRDefault="001C583B" w:rsidP="007A3F0B">
      <w:pPr>
        <w:pStyle w:val="BodyText"/>
      </w:pPr>
      <w:bookmarkStart w:id="84" w:name="_Toc302910637"/>
      <w:bookmarkStart w:id="85" w:name="RANGE!A3"/>
      <w:bookmarkStart w:id="86" w:name="_Toc304217623"/>
      <w:bookmarkStart w:id="87" w:name="_Toc304449802"/>
      <w:bookmarkEnd w:id="84"/>
      <w:r w:rsidRPr="00CF2F0E">
        <w:t xml:space="preserve">Public equity represents the net worth of schools and is calculated as the difference between total assets and total liabilities. Schools in a healthy financial position generally show increasing levels of public equity over time. </w:t>
      </w:r>
    </w:p>
    <w:p w:rsidR="001C583B" w:rsidRPr="00CF2F0E" w:rsidRDefault="001C583B" w:rsidP="007A3F0B">
      <w:pPr>
        <w:pStyle w:val="BodyText"/>
      </w:pPr>
      <w:r w:rsidRPr="00CF2F0E">
        <w:t xml:space="preserve">Across all state and state-integrated schools, public equity has increased each year for the past six years. Public equity </w:t>
      </w:r>
      <w:r>
        <w:t>is almost</w:t>
      </w:r>
      <w:r w:rsidRPr="00CF2F0E">
        <w:t xml:space="preserve"> $1,</w:t>
      </w:r>
      <w:r>
        <w:t>762</w:t>
      </w:r>
      <w:r w:rsidRPr="00CF2F0E">
        <w:t xml:space="preserve"> million in 201</w:t>
      </w:r>
      <w:r>
        <w:t>2</w:t>
      </w:r>
      <w:r w:rsidRPr="00CF2F0E">
        <w:t xml:space="preserve">, which is a </w:t>
      </w:r>
      <w:r>
        <w:t>2.2</w:t>
      </w:r>
      <w:r w:rsidRPr="00CF2F0E">
        <w:t>% increase</w:t>
      </w:r>
      <w:r>
        <w:t xml:space="preserve"> from the previous year. Table 5</w:t>
      </w:r>
      <w:r w:rsidRPr="00CF2F0E">
        <w:t xml:space="preserve"> shows the trends in total public equity of state and state-integrated schools over the last three years.</w:t>
      </w:r>
    </w:p>
    <w:p w:rsidR="006C7D01" w:rsidRPr="001C583B" w:rsidRDefault="006C7D01" w:rsidP="00F75B24">
      <w:pPr>
        <w:pStyle w:val="TableHeading"/>
      </w:pPr>
      <w:bookmarkStart w:id="88" w:name="_Toc367361573"/>
      <w:r w:rsidRPr="001C583B">
        <w:t>Public equity trends</w:t>
      </w:r>
      <w:r w:rsidR="001C583B" w:rsidRPr="001C583B">
        <w:t xml:space="preserve"> ($), 2010</w:t>
      </w:r>
      <w:r w:rsidRPr="001C583B">
        <w:t>–201</w:t>
      </w:r>
      <w:bookmarkEnd w:id="85"/>
      <w:bookmarkEnd w:id="86"/>
      <w:bookmarkEnd w:id="87"/>
      <w:r w:rsidR="001C583B" w:rsidRPr="001C583B">
        <w:t>2</w:t>
      </w:r>
      <w:bookmarkEnd w:id="88"/>
    </w:p>
    <w:tbl>
      <w:tblPr>
        <w:tblW w:w="8845"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ayout w:type="fixed"/>
        <w:tblLook w:val="04A0"/>
      </w:tblPr>
      <w:tblGrid>
        <w:gridCol w:w="2547"/>
        <w:gridCol w:w="1574"/>
        <w:gridCol w:w="1575"/>
        <w:gridCol w:w="1574"/>
        <w:gridCol w:w="1575"/>
      </w:tblGrid>
      <w:tr w:rsidR="00D939EA" w:rsidRPr="001C583B" w:rsidTr="007A3F0B">
        <w:tc>
          <w:tcPr>
            <w:tcW w:w="2547" w:type="dxa"/>
            <w:tcBorders>
              <w:bottom w:val="single" w:sz="4" w:space="0" w:color="FFFFFF" w:themeColor="background1"/>
            </w:tcBorders>
            <w:shd w:val="clear" w:color="auto" w:fill="DBE2D1"/>
            <w:noWrap/>
            <w:vAlign w:val="bottom"/>
            <w:hideMark/>
          </w:tcPr>
          <w:p w:rsidR="00D939EA" w:rsidRPr="001C583B" w:rsidRDefault="00CF439A" w:rsidP="00542BD0">
            <w:pPr>
              <w:pStyle w:val="TableText"/>
              <w:rPr>
                <w:b/>
              </w:rPr>
            </w:pPr>
            <w:r w:rsidRPr="001C583B">
              <w:rPr>
                <w:b/>
              </w:rPr>
              <w:t>Year</w:t>
            </w:r>
          </w:p>
        </w:tc>
        <w:tc>
          <w:tcPr>
            <w:tcW w:w="1574" w:type="dxa"/>
            <w:tcBorders>
              <w:bottom w:val="single" w:sz="4" w:space="0" w:color="FFFFFF" w:themeColor="background1"/>
            </w:tcBorders>
            <w:shd w:val="clear" w:color="auto" w:fill="DBE2D1"/>
            <w:noWrap/>
            <w:vAlign w:val="bottom"/>
            <w:hideMark/>
          </w:tcPr>
          <w:p w:rsidR="00D939EA" w:rsidRPr="001C583B" w:rsidRDefault="00D939EA" w:rsidP="00542BD0">
            <w:pPr>
              <w:pStyle w:val="TableText"/>
              <w:jc w:val="center"/>
              <w:rPr>
                <w:b/>
              </w:rPr>
            </w:pPr>
            <w:r w:rsidRPr="001C583B">
              <w:rPr>
                <w:b/>
              </w:rPr>
              <w:t>All schools</w:t>
            </w:r>
            <w:r w:rsidR="00941C19" w:rsidRPr="001C583B">
              <w:rPr>
                <w:b/>
              </w:rPr>
              <w:br/>
              <w:t xml:space="preserve"> ($)</w:t>
            </w:r>
          </w:p>
        </w:tc>
        <w:tc>
          <w:tcPr>
            <w:tcW w:w="1575" w:type="dxa"/>
            <w:tcBorders>
              <w:bottom w:val="single" w:sz="4" w:space="0" w:color="FFFFFF" w:themeColor="background1"/>
            </w:tcBorders>
            <w:shd w:val="clear" w:color="auto" w:fill="DBE2D1"/>
            <w:noWrap/>
            <w:vAlign w:val="bottom"/>
            <w:hideMark/>
          </w:tcPr>
          <w:p w:rsidR="00D939EA" w:rsidRPr="001C583B" w:rsidRDefault="00D939EA" w:rsidP="00542BD0">
            <w:pPr>
              <w:pStyle w:val="TableText"/>
              <w:jc w:val="center"/>
              <w:rPr>
                <w:b/>
              </w:rPr>
            </w:pPr>
            <w:r w:rsidRPr="001C583B">
              <w:rPr>
                <w:b/>
              </w:rPr>
              <w:t>Primary schools</w:t>
            </w:r>
            <w:r w:rsidR="00941C19" w:rsidRPr="001C583B">
              <w:rPr>
                <w:b/>
              </w:rPr>
              <w:br/>
              <w:t xml:space="preserve"> ($)</w:t>
            </w:r>
          </w:p>
        </w:tc>
        <w:tc>
          <w:tcPr>
            <w:tcW w:w="1574" w:type="dxa"/>
            <w:tcBorders>
              <w:bottom w:val="single" w:sz="4" w:space="0" w:color="FFFFFF" w:themeColor="background1"/>
            </w:tcBorders>
            <w:shd w:val="clear" w:color="auto" w:fill="DBE2D1"/>
            <w:noWrap/>
            <w:vAlign w:val="bottom"/>
            <w:hideMark/>
          </w:tcPr>
          <w:p w:rsidR="00D939EA" w:rsidRPr="001C583B" w:rsidRDefault="00D939EA" w:rsidP="00542BD0">
            <w:pPr>
              <w:pStyle w:val="TableText"/>
              <w:jc w:val="center"/>
              <w:rPr>
                <w:b/>
              </w:rPr>
            </w:pPr>
            <w:r w:rsidRPr="001C583B">
              <w:rPr>
                <w:b/>
              </w:rPr>
              <w:t>Secondary schools</w:t>
            </w:r>
            <w:r w:rsidR="00941C19" w:rsidRPr="001C583B">
              <w:rPr>
                <w:b/>
              </w:rPr>
              <w:t xml:space="preserve"> ($)</w:t>
            </w:r>
          </w:p>
        </w:tc>
        <w:tc>
          <w:tcPr>
            <w:tcW w:w="1575" w:type="dxa"/>
            <w:tcBorders>
              <w:bottom w:val="single" w:sz="4" w:space="0" w:color="FFFFFF" w:themeColor="background1"/>
            </w:tcBorders>
            <w:shd w:val="clear" w:color="auto" w:fill="DBE2D1"/>
            <w:noWrap/>
            <w:vAlign w:val="bottom"/>
            <w:hideMark/>
          </w:tcPr>
          <w:p w:rsidR="00D939EA" w:rsidRPr="001C583B" w:rsidRDefault="00D939EA" w:rsidP="004F4D15">
            <w:pPr>
              <w:pStyle w:val="TableText"/>
              <w:jc w:val="center"/>
              <w:rPr>
                <w:b/>
              </w:rPr>
            </w:pPr>
            <w:r w:rsidRPr="001C583B">
              <w:rPr>
                <w:b/>
              </w:rPr>
              <w:t>Other schools</w:t>
            </w:r>
            <w:r w:rsidR="004F4D15" w:rsidRPr="001C583B">
              <w:rPr>
                <w:b/>
              </w:rPr>
              <w:br/>
            </w:r>
            <w:r w:rsidR="00941C19" w:rsidRPr="001C583B">
              <w:rPr>
                <w:b/>
              </w:rPr>
              <w:t>($)</w:t>
            </w:r>
          </w:p>
        </w:tc>
      </w:tr>
      <w:tr w:rsidR="001C583B" w:rsidRPr="001C583B" w:rsidTr="007A3F0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1C583B" w:rsidRDefault="001C583B" w:rsidP="00C979C6">
            <w:pPr>
              <w:pStyle w:val="TableText"/>
            </w:pPr>
            <w:r w:rsidRPr="001C583B">
              <w:t>2010</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jc w:val="center"/>
              <w:rPr>
                <w:bCs w:val="0"/>
                <w:lang w:val="en-NZ" w:eastAsia="en-NZ"/>
              </w:rPr>
            </w:pPr>
            <w:r w:rsidRPr="007A3F0B">
              <w:rPr>
                <w:bCs w:val="0"/>
                <w:lang w:val="en-NZ" w:eastAsia="en-NZ"/>
              </w:rPr>
              <w:t>1,653,380,585</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jc w:val="center"/>
              <w:rPr>
                <w:bCs w:val="0"/>
                <w:lang w:val="en-NZ" w:eastAsia="en-NZ"/>
              </w:rPr>
            </w:pPr>
            <w:r w:rsidRPr="007A3F0B">
              <w:rPr>
                <w:bCs w:val="0"/>
                <w:lang w:val="en-NZ" w:eastAsia="en-NZ"/>
              </w:rPr>
              <w:t>894,708,602</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jc w:val="center"/>
              <w:rPr>
                <w:bCs w:val="0"/>
                <w:lang w:val="en-NZ" w:eastAsia="en-NZ"/>
              </w:rPr>
            </w:pPr>
            <w:r w:rsidRPr="007A3F0B">
              <w:rPr>
                <w:bCs w:val="0"/>
                <w:lang w:val="en-NZ" w:eastAsia="en-NZ"/>
              </w:rPr>
              <w:t>705,853,521</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jc w:val="center"/>
              <w:rPr>
                <w:bCs w:val="0"/>
                <w:lang w:val="en-NZ" w:eastAsia="en-NZ"/>
              </w:rPr>
            </w:pPr>
            <w:r w:rsidRPr="007A3F0B">
              <w:rPr>
                <w:bCs w:val="0"/>
                <w:lang w:val="en-NZ" w:eastAsia="en-NZ"/>
              </w:rPr>
              <w:t>52,818,462</w:t>
            </w:r>
          </w:p>
        </w:tc>
      </w:tr>
      <w:tr w:rsidR="001C583B" w:rsidRPr="001C583B" w:rsidTr="007A3F0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1C583B" w:rsidRDefault="001C583B" w:rsidP="00C979C6">
            <w:pPr>
              <w:pStyle w:val="TableText"/>
            </w:pPr>
            <w:r w:rsidRPr="001C583B">
              <w:t>2011</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ind w:right="198"/>
              <w:jc w:val="right"/>
              <w:rPr>
                <w:bCs w:val="0"/>
                <w:lang w:val="en-NZ" w:eastAsia="en-NZ"/>
              </w:rPr>
            </w:pPr>
            <w:r w:rsidRPr="007A3F0B">
              <w:rPr>
                <w:bCs w:val="0"/>
                <w:lang w:val="en-NZ" w:eastAsia="en-NZ"/>
              </w:rPr>
              <w:t>1,723,981,251</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ind w:right="284"/>
              <w:jc w:val="right"/>
              <w:rPr>
                <w:bCs w:val="0"/>
                <w:lang w:val="en-NZ" w:eastAsia="en-NZ"/>
              </w:rPr>
            </w:pPr>
            <w:r w:rsidRPr="007A3F0B">
              <w:rPr>
                <w:bCs w:val="0"/>
                <w:lang w:val="en-NZ" w:eastAsia="en-NZ"/>
              </w:rPr>
              <w:t>920,329,466</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ind w:right="284"/>
              <w:jc w:val="right"/>
              <w:rPr>
                <w:bCs w:val="0"/>
                <w:lang w:val="en-NZ" w:eastAsia="en-NZ"/>
              </w:rPr>
            </w:pPr>
            <w:r w:rsidRPr="007A3F0B">
              <w:rPr>
                <w:bCs w:val="0"/>
                <w:lang w:val="en-NZ" w:eastAsia="en-NZ"/>
              </w:rPr>
              <w:t>747,626,949</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ind w:right="312"/>
              <w:jc w:val="right"/>
              <w:rPr>
                <w:bCs w:val="0"/>
                <w:lang w:val="en-NZ" w:eastAsia="en-NZ"/>
              </w:rPr>
            </w:pPr>
            <w:r w:rsidRPr="007A3F0B">
              <w:rPr>
                <w:bCs w:val="0"/>
                <w:lang w:val="en-NZ" w:eastAsia="en-NZ"/>
              </w:rPr>
              <w:t>56,024,836</w:t>
            </w:r>
          </w:p>
        </w:tc>
      </w:tr>
      <w:tr w:rsidR="001C583B" w:rsidRPr="0060013A" w:rsidTr="007A3F0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bottom"/>
            <w:hideMark/>
          </w:tcPr>
          <w:p w:rsidR="001C583B" w:rsidRPr="001C583B" w:rsidRDefault="001C583B" w:rsidP="00C979C6">
            <w:pPr>
              <w:pStyle w:val="TableText"/>
            </w:pPr>
            <w:r w:rsidRPr="001C583B">
              <w:t>2012 (est)</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ind w:right="198"/>
              <w:jc w:val="right"/>
              <w:rPr>
                <w:bCs w:val="0"/>
                <w:lang w:val="en-NZ" w:eastAsia="en-NZ"/>
              </w:rPr>
            </w:pPr>
            <w:r w:rsidRPr="007A3F0B">
              <w:rPr>
                <w:bCs w:val="0"/>
                <w:lang w:val="en-NZ" w:eastAsia="en-NZ"/>
              </w:rPr>
              <w:t>1,761,578,931</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ind w:right="284"/>
              <w:jc w:val="right"/>
              <w:rPr>
                <w:bCs w:val="0"/>
                <w:lang w:val="en-NZ" w:eastAsia="en-NZ"/>
              </w:rPr>
            </w:pPr>
            <w:r w:rsidRPr="007A3F0B">
              <w:rPr>
                <w:bCs w:val="0"/>
                <w:lang w:val="en-NZ" w:eastAsia="en-NZ"/>
              </w:rPr>
              <w:t>939,813,890</w:t>
            </w:r>
          </w:p>
        </w:tc>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ind w:right="284"/>
              <w:jc w:val="right"/>
              <w:rPr>
                <w:bCs w:val="0"/>
                <w:lang w:val="en-NZ" w:eastAsia="en-NZ"/>
              </w:rPr>
            </w:pPr>
            <w:r w:rsidRPr="007A3F0B">
              <w:rPr>
                <w:bCs w:val="0"/>
                <w:lang w:val="en-NZ" w:eastAsia="en-NZ"/>
              </w:rPr>
              <w:t>763,789,481</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noWrap/>
            <w:vAlign w:val="center"/>
            <w:hideMark/>
          </w:tcPr>
          <w:p w:rsidR="001C583B" w:rsidRPr="007A3F0B" w:rsidRDefault="001C583B" w:rsidP="007A3F0B">
            <w:pPr>
              <w:pStyle w:val="TableText"/>
              <w:ind w:right="312"/>
              <w:jc w:val="right"/>
              <w:rPr>
                <w:bCs w:val="0"/>
                <w:lang w:val="en-NZ" w:eastAsia="en-NZ"/>
              </w:rPr>
            </w:pPr>
            <w:r w:rsidRPr="007A3F0B">
              <w:rPr>
                <w:bCs w:val="0"/>
                <w:lang w:val="en-NZ" w:eastAsia="en-NZ"/>
              </w:rPr>
              <w:t>57,975,560</w:t>
            </w:r>
          </w:p>
        </w:tc>
      </w:tr>
    </w:tbl>
    <w:p w:rsidR="006F74FA" w:rsidRPr="006F74FA" w:rsidRDefault="006F74FA" w:rsidP="006F74FA">
      <w:pPr>
        <w:pStyle w:val="TableFootnote"/>
        <w:spacing w:after="40"/>
        <w:rPr>
          <w:bCs w:val="0"/>
          <w:highlight w:val="yellow"/>
        </w:rPr>
      </w:pPr>
    </w:p>
    <w:p w:rsidR="006C7D01" w:rsidRPr="001C583B" w:rsidRDefault="00982A5C" w:rsidP="007A3F0B">
      <w:pPr>
        <w:pStyle w:val="BodyText"/>
      </w:pPr>
      <w:r w:rsidRPr="001C583B">
        <w:t>Table 6</w:t>
      </w:r>
      <w:r w:rsidR="006C7D01" w:rsidRPr="001C583B">
        <w:t xml:space="preserve"> shows the proportion of schools that </w:t>
      </w:r>
      <w:r w:rsidR="006C7D01" w:rsidRPr="007A3F0B">
        <w:t>have</w:t>
      </w:r>
      <w:r w:rsidR="006C7D01" w:rsidRPr="001C583B">
        <w:t xml:space="preserve"> contributed to this increase in public equity.</w:t>
      </w:r>
    </w:p>
    <w:p w:rsidR="006C7D01" w:rsidRPr="001C583B" w:rsidRDefault="006C7D01" w:rsidP="00F75B24">
      <w:pPr>
        <w:pStyle w:val="TableHeading"/>
      </w:pPr>
      <w:r w:rsidRPr="001C583B">
        <w:t xml:space="preserve"> </w:t>
      </w:r>
      <w:bookmarkStart w:id="89" w:name="_Toc304217624"/>
      <w:bookmarkStart w:id="90" w:name="_Toc304449803"/>
      <w:bookmarkStart w:id="91" w:name="_Toc367361574"/>
      <w:r w:rsidRPr="001C583B">
        <w:t>Percentage of schools with an increase in public equity, 201</w:t>
      </w:r>
      <w:bookmarkEnd w:id="89"/>
      <w:bookmarkEnd w:id="90"/>
      <w:r w:rsidR="001C583B" w:rsidRPr="001C583B">
        <w:t>2</w:t>
      </w:r>
      <w:bookmarkEnd w:id="91"/>
    </w:p>
    <w:tbl>
      <w:tblPr>
        <w:tblW w:w="8845"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4A0"/>
      </w:tblPr>
      <w:tblGrid>
        <w:gridCol w:w="2491"/>
        <w:gridCol w:w="1665"/>
        <w:gridCol w:w="1563"/>
        <w:gridCol w:w="1563"/>
        <w:gridCol w:w="1563"/>
      </w:tblGrid>
      <w:tr w:rsidR="00941C19" w:rsidRPr="001C583B" w:rsidTr="00FC15F7">
        <w:tc>
          <w:tcPr>
            <w:tcW w:w="2491" w:type="dxa"/>
            <w:tcBorders>
              <w:bottom w:val="single" w:sz="4" w:space="0" w:color="FFFFFF" w:themeColor="background1"/>
            </w:tcBorders>
            <w:shd w:val="clear" w:color="auto" w:fill="DBE2D1"/>
            <w:hideMark/>
          </w:tcPr>
          <w:p w:rsidR="00941C19" w:rsidRPr="001C583B" w:rsidRDefault="00941C19" w:rsidP="00542BD0">
            <w:pPr>
              <w:pStyle w:val="TableText"/>
            </w:pPr>
            <w:r w:rsidRPr="001C583B">
              <w:t> </w:t>
            </w:r>
          </w:p>
        </w:tc>
        <w:tc>
          <w:tcPr>
            <w:tcW w:w="1665" w:type="dxa"/>
            <w:tcBorders>
              <w:bottom w:val="single" w:sz="4" w:space="0" w:color="FFFFFF" w:themeColor="background1"/>
            </w:tcBorders>
            <w:shd w:val="clear" w:color="auto" w:fill="DBE2D1"/>
            <w:hideMark/>
          </w:tcPr>
          <w:p w:rsidR="00941C19" w:rsidRPr="001C583B" w:rsidRDefault="00941C19" w:rsidP="00941C19">
            <w:pPr>
              <w:pStyle w:val="TableText"/>
              <w:jc w:val="center"/>
              <w:rPr>
                <w:b/>
              </w:rPr>
            </w:pPr>
            <w:r w:rsidRPr="001C583B">
              <w:rPr>
                <w:b/>
              </w:rPr>
              <w:t xml:space="preserve">All </w:t>
            </w:r>
            <w:r w:rsidR="00026DE8" w:rsidRPr="001C583B">
              <w:rPr>
                <w:b/>
              </w:rPr>
              <w:t xml:space="preserve">schools </w:t>
            </w:r>
            <w:r w:rsidRPr="001C583B">
              <w:rPr>
                <w:b/>
              </w:rPr>
              <w:br/>
              <w:t>(%)</w:t>
            </w:r>
          </w:p>
        </w:tc>
        <w:tc>
          <w:tcPr>
            <w:tcW w:w="1563" w:type="dxa"/>
            <w:tcBorders>
              <w:bottom w:val="single" w:sz="4" w:space="0" w:color="FFFFFF" w:themeColor="background1"/>
            </w:tcBorders>
            <w:shd w:val="clear" w:color="auto" w:fill="DBE2D1"/>
            <w:hideMark/>
          </w:tcPr>
          <w:p w:rsidR="00941C19" w:rsidRPr="001C583B" w:rsidRDefault="00941C19" w:rsidP="00941C19">
            <w:pPr>
              <w:pStyle w:val="TableText"/>
              <w:jc w:val="center"/>
              <w:rPr>
                <w:b/>
              </w:rPr>
            </w:pPr>
            <w:r w:rsidRPr="001C583B">
              <w:rPr>
                <w:b/>
              </w:rPr>
              <w:t xml:space="preserve">Primary </w:t>
            </w:r>
            <w:r w:rsidR="00026DE8" w:rsidRPr="001C583B">
              <w:rPr>
                <w:b/>
              </w:rPr>
              <w:t xml:space="preserve">schools </w:t>
            </w:r>
            <w:r w:rsidRPr="001C583B">
              <w:rPr>
                <w:b/>
              </w:rPr>
              <w:br/>
              <w:t>(%)</w:t>
            </w:r>
          </w:p>
        </w:tc>
        <w:tc>
          <w:tcPr>
            <w:tcW w:w="1563" w:type="dxa"/>
            <w:tcBorders>
              <w:bottom w:val="single" w:sz="4" w:space="0" w:color="FFFFFF" w:themeColor="background1"/>
            </w:tcBorders>
            <w:shd w:val="clear" w:color="auto" w:fill="DBE2D1"/>
            <w:vAlign w:val="bottom"/>
            <w:hideMark/>
          </w:tcPr>
          <w:p w:rsidR="00941C19" w:rsidRPr="001C583B" w:rsidRDefault="00941C19" w:rsidP="00941C19">
            <w:pPr>
              <w:pStyle w:val="TableText"/>
              <w:jc w:val="center"/>
              <w:rPr>
                <w:b/>
              </w:rPr>
            </w:pPr>
            <w:r w:rsidRPr="001C583B">
              <w:rPr>
                <w:b/>
              </w:rPr>
              <w:t>Secondary schools (%)</w:t>
            </w:r>
          </w:p>
        </w:tc>
        <w:tc>
          <w:tcPr>
            <w:tcW w:w="1563" w:type="dxa"/>
            <w:tcBorders>
              <w:bottom w:val="single" w:sz="4" w:space="0" w:color="FFFFFF" w:themeColor="background1"/>
            </w:tcBorders>
            <w:shd w:val="clear" w:color="auto" w:fill="DBE2D1"/>
            <w:hideMark/>
          </w:tcPr>
          <w:p w:rsidR="00941C19" w:rsidRPr="001C583B" w:rsidRDefault="00941C19" w:rsidP="00941C19">
            <w:pPr>
              <w:pStyle w:val="TableText"/>
              <w:jc w:val="center"/>
              <w:rPr>
                <w:b/>
              </w:rPr>
            </w:pPr>
            <w:r w:rsidRPr="001C583B">
              <w:rPr>
                <w:b/>
              </w:rPr>
              <w:t xml:space="preserve">Other </w:t>
            </w:r>
            <w:r w:rsidR="00026DE8" w:rsidRPr="001C583B">
              <w:rPr>
                <w:b/>
              </w:rPr>
              <w:t xml:space="preserve">schools </w:t>
            </w:r>
            <w:r w:rsidRPr="001C583B">
              <w:rPr>
                <w:b/>
              </w:rPr>
              <w:br/>
              <w:t>(%)</w:t>
            </w:r>
          </w:p>
        </w:tc>
      </w:tr>
      <w:tr w:rsidR="001C583B" w:rsidRPr="0060013A" w:rsidTr="00B24FC4">
        <w:trPr>
          <w:trHeight w:val="64"/>
        </w:trPr>
        <w:tc>
          <w:tcPr>
            <w:tcW w:w="2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C583B" w:rsidRDefault="001C583B" w:rsidP="001C583B">
            <w:pPr>
              <w:pStyle w:val="TableText"/>
              <w:rPr>
                <w:lang w:val="en-NZ" w:eastAsia="en-NZ"/>
              </w:rPr>
            </w:pPr>
            <w:r w:rsidRPr="001C583B">
              <w:rPr>
                <w:lang w:val="en-NZ" w:eastAsia="en-NZ"/>
              </w:rPr>
              <w:t>Equity increase in 2011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C583B" w:rsidRDefault="001C583B" w:rsidP="001C583B">
            <w:pPr>
              <w:pStyle w:val="TableText"/>
              <w:jc w:val="center"/>
              <w:rPr>
                <w:lang w:val="en-NZ" w:eastAsia="en-NZ"/>
              </w:rPr>
            </w:pPr>
            <w:r w:rsidRPr="001C583B">
              <w:rPr>
                <w:lang w:val="en-NZ" w:eastAsia="en-NZ"/>
              </w:rPr>
              <w:t>60.8</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C583B" w:rsidRDefault="001C583B" w:rsidP="001C583B">
            <w:pPr>
              <w:pStyle w:val="TableText"/>
              <w:jc w:val="center"/>
              <w:rPr>
                <w:lang w:val="en-NZ" w:eastAsia="en-NZ"/>
              </w:rPr>
            </w:pPr>
            <w:r w:rsidRPr="001C583B">
              <w:rPr>
                <w:lang w:val="en-NZ" w:eastAsia="en-NZ"/>
              </w:rPr>
              <w:t>59.9</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C583B" w:rsidRDefault="001C583B" w:rsidP="001C583B">
            <w:pPr>
              <w:pStyle w:val="TableText"/>
              <w:jc w:val="center"/>
              <w:rPr>
                <w:lang w:val="en-NZ" w:eastAsia="en-NZ"/>
              </w:rPr>
            </w:pPr>
            <w:r w:rsidRPr="001C583B">
              <w:rPr>
                <w:lang w:val="en-NZ" w:eastAsia="en-NZ"/>
              </w:rPr>
              <w:t>64.2</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C583B">
              <w:rPr>
                <w:lang w:val="en-NZ" w:eastAsia="en-NZ"/>
              </w:rPr>
              <w:t>76.2</w:t>
            </w:r>
          </w:p>
        </w:tc>
      </w:tr>
      <w:tr w:rsidR="001C583B" w:rsidRPr="0060013A" w:rsidTr="00B24FC4">
        <w:tc>
          <w:tcPr>
            <w:tcW w:w="2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rPr>
                <w:lang w:val="en-NZ" w:eastAsia="en-NZ"/>
              </w:rPr>
            </w:pPr>
            <w:r w:rsidRPr="00133272">
              <w:rPr>
                <w:lang w:val="en-NZ" w:eastAsia="en-NZ"/>
              </w:rPr>
              <w:t>Equity increase in 2012</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58.8</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58.3</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60.8</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66.7</w:t>
            </w:r>
          </w:p>
        </w:tc>
      </w:tr>
      <w:tr w:rsidR="001C583B" w:rsidRPr="0060013A" w:rsidTr="00B24FC4">
        <w:tc>
          <w:tcPr>
            <w:tcW w:w="2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rPr>
                <w:lang w:val="en-NZ" w:eastAsia="en-NZ"/>
              </w:rPr>
            </w:pPr>
            <w:r w:rsidRPr="00133272">
              <w:rPr>
                <w:lang w:val="en-NZ" w:eastAsia="en-NZ"/>
              </w:rPr>
              <w:t>Equity increase in 2011 and 2012</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40.3</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39.4</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44.8</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47.6</w:t>
            </w:r>
          </w:p>
        </w:tc>
      </w:tr>
      <w:tr w:rsidR="001C583B" w:rsidRPr="0060013A" w:rsidTr="00B24FC4">
        <w:tc>
          <w:tcPr>
            <w:tcW w:w="2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rPr>
                <w:lang w:val="en-NZ" w:eastAsia="en-NZ"/>
              </w:rPr>
            </w:pPr>
            <w:r w:rsidRPr="00133272">
              <w:rPr>
                <w:lang w:val="en-NZ" w:eastAsia="en-NZ"/>
              </w:rPr>
              <w:t>No increase in equity for 2011/12</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41.2</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41.7</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39.2</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0E7"/>
            <w:vAlign w:val="center"/>
            <w:hideMark/>
          </w:tcPr>
          <w:p w:rsidR="001C583B" w:rsidRPr="00133272" w:rsidRDefault="001C583B" w:rsidP="001C583B">
            <w:pPr>
              <w:pStyle w:val="TableText"/>
              <w:jc w:val="center"/>
              <w:rPr>
                <w:lang w:val="en-NZ" w:eastAsia="en-NZ"/>
              </w:rPr>
            </w:pPr>
            <w:r w:rsidRPr="00133272">
              <w:rPr>
                <w:lang w:val="en-NZ" w:eastAsia="en-NZ"/>
              </w:rPr>
              <w:t>33.3</w:t>
            </w:r>
          </w:p>
        </w:tc>
      </w:tr>
    </w:tbl>
    <w:p w:rsidR="007203F9" w:rsidRPr="0060013A" w:rsidRDefault="007203F9" w:rsidP="0027731F">
      <w:pPr>
        <w:pStyle w:val="BodyText"/>
        <w:rPr>
          <w:highlight w:val="yellow"/>
        </w:rPr>
        <w:sectPr w:rsidR="007203F9" w:rsidRPr="0060013A" w:rsidSect="008822B7">
          <w:headerReference w:type="even" r:id="rId21"/>
          <w:headerReference w:type="default" r:id="rId22"/>
          <w:pgSz w:w="11906" w:h="16838" w:code="9"/>
          <w:pgMar w:top="1701" w:right="1361" w:bottom="1134" w:left="1701" w:header="709" w:footer="709" w:gutter="0"/>
          <w:cols w:space="567"/>
          <w:docGrid w:linePitch="360"/>
        </w:sectPr>
      </w:pPr>
      <w:bookmarkStart w:id="92" w:name="_Toc303511356"/>
    </w:p>
    <w:p w:rsidR="00DB56D0" w:rsidRPr="0060013A" w:rsidRDefault="00DB56D0" w:rsidP="00DB56D0">
      <w:pPr>
        <w:rPr>
          <w:highlight w:val="yellow"/>
        </w:rPr>
        <w:sectPr w:rsidR="00DB56D0" w:rsidRPr="0060013A" w:rsidSect="00E85C6B">
          <w:headerReference w:type="even" r:id="rId23"/>
          <w:headerReference w:type="default" r:id="rId24"/>
          <w:type w:val="continuous"/>
          <w:pgSz w:w="11906" w:h="16838"/>
          <w:pgMar w:top="1701" w:right="1361" w:bottom="1134" w:left="1701" w:header="709" w:footer="709" w:gutter="0"/>
          <w:cols w:space="567"/>
          <w:docGrid w:linePitch="360"/>
        </w:sectPr>
      </w:pPr>
    </w:p>
    <w:p w:rsidR="00DD655C" w:rsidRPr="00591FCE" w:rsidRDefault="00DD655C" w:rsidP="008662DE">
      <w:pPr>
        <w:pStyle w:val="Heading1"/>
        <w:rPr>
          <w:lang w:val="en-NZ"/>
        </w:rPr>
      </w:pPr>
      <w:bookmarkStart w:id="93" w:name="_Toc367361632"/>
      <w:bookmarkStart w:id="94" w:name="_Toc300319672"/>
      <w:bookmarkStart w:id="95" w:name="_Toc303511365"/>
      <w:bookmarkEnd w:id="92"/>
      <w:r w:rsidRPr="00591FCE">
        <w:t>Chapter</w:t>
      </w:r>
      <w:r w:rsidRPr="00591FCE">
        <w:rPr>
          <w:lang w:val="en-NZ"/>
        </w:rPr>
        <w:t xml:space="preserve"> 3: Foundation skills</w:t>
      </w:r>
      <w:bookmarkEnd w:id="93"/>
    </w:p>
    <w:p w:rsidR="00DD655C" w:rsidRPr="00591FCE" w:rsidRDefault="00DD655C" w:rsidP="00FC15F7">
      <w:pPr>
        <w:pStyle w:val="BodyText"/>
      </w:pPr>
      <w:r w:rsidRPr="00591FCE">
        <w:t>Literacy and numeracy knowledge and sk</w:t>
      </w:r>
      <w:r w:rsidR="00D53436">
        <w:t>ills are vital to ensure student</w:t>
      </w:r>
      <w:r w:rsidRPr="00591FCE">
        <w:t>s are well equipped to access curriculum content and</w:t>
      </w:r>
      <w:r w:rsidR="009133D7">
        <w:t xml:space="preserve"> achieve in all learning areas.</w:t>
      </w:r>
    </w:p>
    <w:p w:rsidR="00DD655C" w:rsidRPr="00591FCE" w:rsidRDefault="00DD655C" w:rsidP="008662DE">
      <w:pPr>
        <w:pStyle w:val="Heading2"/>
      </w:pPr>
      <w:bookmarkStart w:id="96" w:name="_Toc300319665"/>
      <w:bookmarkStart w:id="97" w:name="_Toc303511357"/>
      <w:bookmarkStart w:id="98" w:name="_Toc304799240"/>
      <w:bookmarkStart w:id="99" w:name="_Toc367361633"/>
      <w:r w:rsidRPr="00591FCE">
        <w:t>Reading and writing literacy</w:t>
      </w:r>
      <w:bookmarkEnd w:id="96"/>
      <w:bookmarkEnd w:id="97"/>
      <w:bookmarkEnd w:id="98"/>
      <w:bookmarkEnd w:id="99"/>
    </w:p>
    <w:p w:rsidR="00DD655C" w:rsidRPr="00591FCE" w:rsidRDefault="00DD655C" w:rsidP="00FC15F7">
      <w:pPr>
        <w:pStyle w:val="BodyText"/>
      </w:pPr>
      <w:r w:rsidRPr="00591FCE">
        <w:t xml:space="preserve">By </w:t>
      </w:r>
      <w:r w:rsidR="00D53436">
        <w:t>international standards, student</w:t>
      </w:r>
      <w:r w:rsidRPr="00591FCE">
        <w:t>s in New Zealand schools are, on average, performing well in reading literacy at primary</w:t>
      </w:r>
      <w:r w:rsidRPr="00591FCE">
        <w:rPr>
          <w:vertAlign w:val="superscript"/>
        </w:rPr>
        <w:footnoteReference w:id="5"/>
      </w:r>
      <w:r w:rsidRPr="00591FCE">
        <w:t xml:space="preserve"> and secondary level</w:t>
      </w:r>
      <w:r w:rsidR="00FE760D">
        <w:t>s</w:t>
      </w:r>
      <w:r w:rsidRPr="00591FCE">
        <w:rPr>
          <w:vertAlign w:val="superscript"/>
        </w:rPr>
        <w:footnoteReference w:id="6"/>
      </w:r>
      <w:r w:rsidRPr="00591FCE">
        <w:t>. However, there are differences in reading and writing abilities across the different ethnic and socio-economic groups in New Zealand schools, as well as a relatively large gap in performance between the highest and lowest achievers.</w:t>
      </w:r>
    </w:p>
    <w:p w:rsidR="00DD655C" w:rsidRPr="00591FCE" w:rsidRDefault="00DD655C" w:rsidP="00FC15F7">
      <w:pPr>
        <w:pStyle w:val="BodyText"/>
        <w:rPr>
          <w:lang w:val="en-NZ"/>
        </w:rPr>
      </w:pPr>
      <w:r w:rsidRPr="00591FCE">
        <w:rPr>
          <w:lang w:val="en-NZ"/>
        </w:rPr>
        <w:t>One Ministry flagship programme, which has been shown to have a signif</w:t>
      </w:r>
      <w:r w:rsidR="00D53436">
        <w:rPr>
          <w:lang w:val="en-NZ"/>
        </w:rPr>
        <w:t>icant positive impact on student</w:t>
      </w:r>
      <w:r w:rsidRPr="00591FCE">
        <w:rPr>
          <w:lang w:val="en-NZ"/>
        </w:rPr>
        <w:t>s’ reading level</w:t>
      </w:r>
      <w:r w:rsidRPr="00591FCE">
        <w:rPr>
          <w:vertAlign w:val="superscript"/>
          <w:lang w:val="en-NZ"/>
        </w:rPr>
        <w:footnoteReference w:id="7"/>
      </w:r>
      <w:r w:rsidRPr="00591FCE">
        <w:rPr>
          <w:lang w:val="en-NZ"/>
        </w:rPr>
        <w:t xml:space="preserve"> is ‘Reading Together’. Achievement in reading literacy is strongly linked to achievement across other curriculum areas. Improvements in reading literacy contribu</w:t>
      </w:r>
      <w:r w:rsidR="00D53436">
        <w:rPr>
          <w:lang w:val="en-NZ"/>
        </w:rPr>
        <w:t>te to current and future student</w:t>
      </w:r>
      <w:r w:rsidRPr="00591FCE">
        <w:rPr>
          <w:lang w:val="en-NZ"/>
        </w:rPr>
        <w:t xml:space="preserve"> achievement across the curriculum. The ‘Reading Together’ programme provides parents with strategies to support their children’s reading at home using the same literacy strategies that are used within their school. The programme is being rolled out in all decile 1–3 schools over 2012–2014. </w:t>
      </w:r>
    </w:p>
    <w:p w:rsidR="00DD655C" w:rsidRPr="00591FCE" w:rsidRDefault="00DD655C" w:rsidP="008662DE">
      <w:pPr>
        <w:pStyle w:val="Heading2"/>
      </w:pPr>
      <w:bookmarkStart w:id="100" w:name="_Toc289074842"/>
      <w:bookmarkStart w:id="101" w:name="_Toc300319666"/>
      <w:bookmarkStart w:id="102" w:name="_Toc303511358"/>
      <w:bookmarkStart w:id="103" w:name="_Toc304799241"/>
      <w:bookmarkStart w:id="104" w:name="_Toc367361634"/>
      <w:r w:rsidRPr="00591FCE">
        <w:t>Reading literacy in primary schooling</w:t>
      </w:r>
      <w:bookmarkEnd w:id="100"/>
      <w:bookmarkEnd w:id="101"/>
      <w:bookmarkEnd w:id="102"/>
      <w:bookmarkEnd w:id="103"/>
      <w:bookmarkEnd w:id="104"/>
    </w:p>
    <w:p w:rsidR="00DD655C" w:rsidRPr="00591FCE" w:rsidRDefault="00DD655C" w:rsidP="00FC15F7">
      <w:pPr>
        <w:pStyle w:val="Heading3"/>
      </w:pPr>
      <w:r w:rsidRPr="00591FCE">
        <w:t>Key policies</w:t>
      </w:r>
    </w:p>
    <w:p w:rsidR="00DD655C" w:rsidRPr="00591FCE" w:rsidRDefault="00DD655C" w:rsidP="00FC15F7">
      <w:pPr>
        <w:pStyle w:val="BodyText"/>
      </w:pPr>
      <w:r w:rsidRPr="00591FCE">
        <w:t>Several key policies at various stages of development and implementation provide direction to ensure high levels of reading and writing achievement at primary schools:</w:t>
      </w:r>
    </w:p>
    <w:p w:rsidR="00DD655C" w:rsidRPr="00591FCE" w:rsidRDefault="00DD655C" w:rsidP="00FC15F7">
      <w:pPr>
        <w:pStyle w:val="BodyTextBullets"/>
      </w:pPr>
      <w:r w:rsidRPr="00591FCE">
        <w:rPr>
          <w:i/>
        </w:rPr>
        <w:t>The New Zealand Curriculum</w:t>
      </w:r>
      <w:r w:rsidRPr="00591FCE">
        <w:t xml:space="preserve"> outlines the use of English to develop reading and communication skills in this language, as well as learning other languages (such as te reo Māori) to extend linguistic understanding.</w:t>
      </w:r>
    </w:p>
    <w:p w:rsidR="00DD655C" w:rsidRPr="00591FCE" w:rsidRDefault="00DD655C" w:rsidP="00FC15F7">
      <w:pPr>
        <w:pStyle w:val="BodyTextBullets"/>
        <w:rPr>
          <w:i/>
        </w:rPr>
      </w:pPr>
      <w:r w:rsidRPr="00591FCE">
        <w:rPr>
          <w:i/>
        </w:rPr>
        <w:t>Te Marautanga o Aotearoa</w:t>
      </w:r>
      <w:r w:rsidRPr="00591FCE">
        <w:t xml:space="preserve"> (the national curriculum for Māori medium) outlines the use of te reo Māori to strengthen kōrero (oral language), pānui (reading) and tuhituhi (writing). </w:t>
      </w:r>
    </w:p>
    <w:p w:rsidR="00DD655C" w:rsidRPr="00591FCE" w:rsidRDefault="00DD655C" w:rsidP="00FC15F7">
      <w:pPr>
        <w:pStyle w:val="BodyTextBullets"/>
      </w:pPr>
      <w:r w:rsidRPr="00591FCE">
        <w:t>The National Standards focus on creating a clear picture of what students should be achieving in reading and writing, and at what stage, to support learning across the curriculum.</w:t>
      </w:r>
    </w:p>
    <w:p w:rsidR="00DD655C" w:rsidRPr="00591FCE" w:rsidRDefault="00DD655C" w:rsidP="00030453">
      <w:pPr>
        <w:pStyle w:val="BodyTextBulletslast"/>
      </w:pPr>
      <w:r w:rsidRPr="00591FCE">
        <w:t xml:space="preserve">Ngā Whanaketanga Rumaki Māori describe the kōrero, pānui, tuhituhi and pāngarau skills and knowledge students need in all learning areas across </w:t>
      </w:r>
      <w:r w:rsidRPr="00591FCE">
        <w:rPr>
          <w:i/>
        </w:rPr>
        <w:t>Te Marautanga o Aotearoa</w:t>
      </w:r>
      <w:r w:rsidRPr="00591FCE">
        <w:t xml:space="preserve">, at different points of their </w:t>
      </w:r>
      <w:r w:rsidR="006F74FA">
        <w:t>y</w:t>
      </w:r>
      <w:r w:rsidRPr="00591FCE">
        <w:t>ear 1 to 8 schooling.</w:t>
      </w:r>
    </w:p>
    <w:p w:rsidR="00DD655C" w:rsidRPr="00CB1E89" w:rsidRDefault="00DD655C" w:rsidP="00FC15F7">
      <w:pPr>
        <w:pStyle w:val="Heading3"/>
        <w:rPr>
          <w:highlight w:val="yellow"/>
        </w:rPr>
      </w:pPr>
      <w:r w:rsidRPr="00CB1E89">
        <w:t>Reading Recovery</w:t>
      </w:r>
    </w:p>
    <w:p w:rsidR="00DD655C" w:rsidRPr="00CB1E89" w:rsidRDefault="00DD655C" w:rsidP="00FC15F7">
      <w:pPr>
        <w:pStyle w:val="BodyText"/>
      </w:pPr>
      <w:r w:rsidRPr="00CB1E89">
        <w:t>Reading Recovery is an early literacy intervention for that aims to reduce reading and writing delay by providing intensive</w:t>
      </w:r>
      <w:r w:rsidR="006D731C">
        <w:t>, daily</w:t>
      </w:r>
      <w:r w:rsidRPr="00CB1E89">
        <w:t xml:space="preserve"> </w:t>
      </w:r>
      <w:r w:rsidR="006D731C">
        <w:t xml:space="preserve">one-to-one literacy instruction </w:t>
      </w:r>
      <w:r w:rsidRPr="00CB1E89">
        <w:t>to children who are falling behind in reading and writing after one year at school. Reading Recovery also identifies the children who need longer-term literacy support.</w:t>
      </w:r>
    </w:p>
    <w:p w:rsidR="00DD655C" w:rsidRPr="00CB1E89" w:rsidRDefault="00DD655C" w:rsidP="00FC15F7">
      <w:pPr>
        <w:pStyle w:val="BodyText"/>
      </w:pPr>
      <w:r w:rsidRPr="00CB1E89">
        <w:t>In 2012, Reading Recovery supported 11,202 students. Reading Recovery was offered in just under two-thirds (64%) of state and state-integrated s</w:t>
      </w:r>
      <w:r w:rsidR="00FE760D">
        <w:t>chools with six-year-old student</w:t>
      </w:r>
      <w:r w:rsidRPr="00CB1E89">
        <w:t>s. Fourteen per</w:t>
      </w:r>
      <w:r w:rsidR="00FE760D">
        <w:t xml:space="preserve"> </w:t>
      </w:r>
      <w:r w:rsidRPr="00CB1E89">
        <w:t>c</w:t>
      </w:r>
      <w:r w:rsidR="00FE760D">
        <w:t>ent (</w:t>
      </w:r>
      <w:r w:rsidR="00FE760D" w:rsidRPr="00CB1E89">
        <w:t xml:space="preserve">8,166) </w:t>
      </w:r>
      <w:r w:rsidR="00FE760D">
        <w:t xml:space="preserve">of six-year-old students </w:t>
      </w:r>
      <w:r w:rsidR="006D731C">
        <w:t>enrolled in</w:t>
      </w:r>
      <w:r w:rsidRPr="00CB1E89">
        <w:t xml:space="preserve"> state and state-integrated schools entered Reading Recovery for the first time in 2012.</w:t>
      </w:r>
    </w:p>
    <w:p w:rsidR="00DD655C" w:rsidRPr="00CB1E89" w:rsidRDefault="00FE760D" w:rsidP="00FC15F7">
      <w:pPr>
        <w:pStyle w:val="BodyText"/>
      </w:pPr>
      <w:r>
        <w:t>Most student</w:t>
      </w:r>
      <w:r w:rsidR="00DD655C" w:rsidRPr="00CB1E89">
        <w:t xml:space="preserve">s (81%) who exited the intervention in 2012 </w:t>
      </w:r>
      <w:r w:rsidR="00926D94">
        <w:t>were able to work effectively with their</w:t>
      </w:r>
      <w:r w:rsidR="00DD655C" w:rsidRPr="00CB1E89">
        <w:t xml:space="preserve"> cohort </w:t>
      </w:r>
      <w:r w:rsidR="00926D94">
        <w:t xml:space="preserve">without additional support </w:t>
      </w:r>
      <w:r w:rsidR="00DD655C" w:rsidRPr="00CB1E89">
        <w:t xml:space="preserve">and were “successfully discontinued”. </w:t>
      </w:r>
      <w:r w:rsidR="00926D94">
        <w:t>Twelve per cent</w:t>
      </w:r>
      <w:r w:rsidR="00DD655C" w:rsidRPr="00CB1E89">
        <w:t xml:space="preserve"> of students were referred on for further specialist</w:t>
      </w:r>
      <w:r w:rsidR="00926D94">
        <w:t xml:space="preserve"> or long-term</w:t>
      </w:r>
      <w:r w:rsidR="00DD655C" w:rsidRPr="00CB1E89">
        <w:t xml:space="preserve"> literacy support</w:t>
      </w:r>
      <w:r>
        <w:t xml:space="preserve">. Girls, </w:t>
      </w:r>
      <w:r w:rsidR="00926D94">
        <w:t xml:space="preserve">New Zealand </w:t>
      </w:r>
      <w:r>
        <w:t>Pākehā/European students, and student</w:t>
      </w:r>
      <w:r w:rsidR="00DD655C" w:rsidRPr="00CB1E89">
        <w:t xml:space="preserve">s from higher decile schools (8 to 10) were more likely to successfully discontinue than boys, Māori </w:t>
      </w:r>
      <w:r>
        <w:t xml:space="preserve">or </w:t>
      </w:r>
      <w:r w:rsidR="00DD655C" w:rsidRPr="00CB1E89">
        <w:t xml:space="preserve">Pasifika </w:t>
      </w:r>
      <w:r>
        <w:t>students, or</w:t>
      </w:r>
      <w:r w:rsidR="00DD655C" w:rsidRPr="00CB1E89">
        <w:t xml:space="preserve"> </w:t>
      </w:r>
      <w:r>
        <w:t>students from decile 1</w:t>
      </w:r>
      <w:r w:rsidR="006F74FA">
        <w:rPr>
          <w:rFonts w:cs="Arial"/>
        </w:rPr>
        <w:t>–</w:t>
      </w:r>
      <w:r>
        <w:t>3 schools</w:t>
      </w:r>
      <w:r w:rsidR="00DD655C" w:rsidRPr="00CB1E89">
        <w:t xml:space="preserve"> (Cowles, 2013). </w:t>
      </w:r>
    </w:p>
    <w:p w:rsidR="00DD655C" w:rsidRPr="00CB1E89" w:rsidRDefault="00DD655C" w:rsidP="00FC15F7">
      <w:pPr>
        <w:pStyle w:val="Heading3"/>
        <w:rPr>
          <w:lang w:eastAsia="en-NZ"/>
        </w:rPr>
      </w:pPr>
      <w:r w:rsidRPr="00CB1E89">
        <w:rPr>
          <w:lang w:eastAsia="en-NZ"/>
        </w:rPr>
        <w:t xml:space="preserve">Resource Teachers of Literacy </w:t>
      </w:r>
    </w:p>
    <w:p w:rsidR="00DD655C" w:rsidRPr="00CB1E89" w:rsidRDefault="00DD655C" w:rsidP="00FC15F7">
      <w:pPr>
        <w:pStyle w:val="BodyText"/>
        <w:rPr>
          <w:lang w:val="en-NZ"/>
        </w:rPr>
      </w:pPr>
      <w:r w:rsidRPr="00CB1E89">
        <w:rPr>
          <w:lang w:val="en-NZ"/>
        </w:rPr>
        <w:t>Resource Teachers of Literacy (RTLit) are specialist teachers who support staff in schools to</w:t>
      </w:r>
      <w:r w:rsidR="00926D94">
        <w:rPr>
          <w:lang w:val="en-NZ"/>
        </w:rPr>
        <w:t xml:space="preserve"> meet the needs of students in y</w:t>
      </w:r>
      <w:r w:rsidRPr="00CB1E89">
        <w:rPr>
          <w:lang w:val="en-NZ"/>
        </w:rPr>
        <w:t>ears 1 to 8 experiencing difficulties with literacy learning</w:t>
      </w:r>
      <w:r w:rsidR="00766927">
        <w:rPr>
          <w:lang w:val="en-NZ"/>
        </w:rPr>
        <w:t xml:space="preserve">. </w:t>
      </w:r>
      <w:r w:rsidRPr="00CB1E89">
        <w:rPr>
          <w:lang w:val="en-NZ"/>
        </w:rPr>
        <w:t xml:space="preserve">A total of 4,530 students were on the RTLit roll in 2012. </w:t>
      </w:r>
      <w:r w:rsidR="00766927">
        <w:rPr>
          <w:lang w:val="en-NZ"/>
        </w:rPr>
        <w:t>RTLit supported students either by</w:t>
      </w:r>
      <w:r w:rsidRPr="00CB1E89">
        <w:rPr>
          <w:lang w:val="en-NZ"/>
        </w:rPr>
        <w:t xml:space="preserve"> indirect support only</w:t>
      </w:r>
      <w:r w:rsidR="00766927">
        <w:rPr>
          <w:lang w:val="en-NZ"/>
        </w:rPr>
        <w:t xml:space="preserve"> (44%)</w:t>
      </w:r>
      <w:r w:rsidRPr="00CB1E89">
        <w:rPr>
          <w:lang w:val="en-NZ"/>
        </w:rPr>
        <w:t>, where RTLit provide modelling, advice and guid</w:t>
      </w:r>
      <w:r w:rsidR="00766927">
        <w:rPr>
          <w:lang w:val="en-NZ"/>
        </w:rPr>
        <w:t>ance to classroom teachers</w:t>
      </w:r>
      <w:r w:rsidRPr="00CB1E89">
        <w:rPr>
          <w:lang w:val="en-NZ"/>
        </w:rPr>
        <w:t xml:space="preserve">; </w:t>
      </w:r>
      <w:r w:rsidR="00766927">
        <w:rPr>
          <w:lang w:val="en-NZ"/>
        </w:rPr>
        <w:t xml:space="preserve">direct support only (17%), composed of </w:t>
      </w:r>
      <w:r w:rsidR="00766927" w:rsidRPr="00CB1E89">
        <w:rPr>
          <w:lang w:val="en-NZ"/>
        </w:rPr>
        <w:t>individual or small-group tutoring</w:t>
      </w:r>
      <w:r w:rsidR="00766927">
        <w:rPr>
          <w:lang w:val="en-NZ"/>
        </w:rPr>
        <w:t xml:space="preserve">; or a combination of both </w:t>
      </w:r>
      <w:r w:rsidRPr="00CB1E89">
        <w:rPr>
          <w:lang w:val="en-NZ"/>
        </w:rPr>
        <w:t>indirect and direct support (39%)</w:t>
      </w:r>
      <w:r w:rsidR="00766927">
        <w:rPr>
          <w:lang w:val="en-NZ"/>
        </w:rPr>
        <w:t>.</w:t>
      </w:r>
    </w:p>
    <w:p w:rsidR="00DD655C" w:rsidRPr="00CB1E89" w:rsidRDefault="00DD655C" w:rsidP="00FC15F7">
      <w:pPr>
        <w:pStyle w:val="BodyText"/>
        <w:rPr>
          <w:lang w:val="en-NZ"/>
        </w:rPr>
      </w:pPr>
      <w:r w:rsidRPr="00CB1E89">
        <w:rPr>
          <w:lang w:val="en-NZ"/>
        </w:rPr>
        <w:t xml:space="preserve">Consistent with previous years’ trends, more boys (68%) than girls (32%) received RTLit support in 2012. Half of RTLit students were New Zealand </w:t>
      </w:r>
      <w:r w:rsidR="00766927">
        <w:rPr>
          <w:lang w:val="en-NZ"/>
        </w:rPr>
        <w:t>Pākehā/</w:t>
      </w:r>
      <w:r w:rsidRPr="00CB1E89">
        <w:rPr>
          <w:lang w:val="en-NZ"/>
        </w:rPr>
        <w:t>European, just over one-third (36%) were M</w:t>
      </w:r>
      <w:r w:rsidR="00D13194">
        <w:rPr>
          <w:lang w:val="en-NZ"/>
        </w:rPr>
        <w:t>ā</w:t>
      </w:r>
      <w:r w:rsidRPr="00CB1E89">
        <w:rPr>
          <w:lang w:val="en-NZ"/>
        </w:rPr>
        <w:t xml:space="preserve">ori, </w:t>
      </w:r>
      <w:r w:rsidR="006F74FA">
        <w:rPr>
          <w:lang w:val="en-NZ"/>
        </w:rPr>
        <w:t>nine per cent</w:t>
      </w:r>
      <w:r w:rsidRPr="00CB1E89">
        <w:rPr>
          <w:lang w:val="en-NZ"/>
        </w:rPr>
        <w:t xml:space="preserve"> were Pasifika and </w:t>
      </w:r>
      <w:r w:rsidR="009F5227">
        <w:rPr>
          <w:lang w:val="en-NZ"/>
        </w:rPr>
        <w:t>three per cent</w:t>
      </w:r>
      <w:r w:rsidRPr="00CB1E89">
        <w:rPr>
          <w:lang w:val="en-NZ"/>
        </w:rPr>
        <w:t xml:space="preserve"> were Asian. Nearly half (45%) of students were successfully discontinued from the RTLit roll at the end of 2012, 17% were referred on for alternative specialist assistance, 13% were withdrawn and 25% were rolled over to continue their support in 2013</w:t>
      </w:r>
      <w:r w:rsidR="00766927">
        <w:rPr>
          <w:lang w:val="en-NZ"/>
        </w:rPr>
        <w:t xml:space="preserve"> (Cowles, 2013)</w:t>
      </w:r>
      <w:r w:rsidRPr="00CB1E89">
        <w:rPr>
          <w:lang w:val="en-NZ"/>
        </w:rPr>
        <w:t xml:space="preserve">. </w:t>
      </w:r>
    </w:p>
    <w:p w:rsidR="00DD655C" w:rsidRPr="00591FCE" w:rsidRDefault="00DD655C" w:rsidP="00FC15F7">
      <w:pPr>
        <w:pStyle w:val="Heading3"/>
        <w:rPr>
          <w:lang w:eastAsia="en-NZ"/>
        </w:rPr>
      </w:pPr>
      <w:r w:rsidRPr="00591FCE">
        <w:rPr>
          <w:lang w:eastAsia="en-NZ"/>
        </w:rPr>
        <w:t>Accelerated Literacy Learning</w:t>
      </w:r>
    </w:p>
    <w:p w:rsidR="00766927" w:rsidRDefault="00FE760D" w:rsidP="007C70A4">
      <w:pPr>
        <w:pStyle w:val="BodyText"/>
      </w:pPr>
      <w:r>
        <w:t>In 2011</w:t>
      </w:r>
      <w:r w:rsidR="00DD655C" w:rsidRPr="00591FCE">
        <w:t xml:space="preserve"> the Ministry implemented a range of initiatives under the framework of ‘Programmes for Students’ in order to support schools in improving educational outcomes for students failing to meet the National Standards.</w:t>
      </w:r>
      <w:r w:rsidR="00766927" w:rsidRPr="00766927">
        <w:t xml:space="preserve"> </w:t>
      </w:r>
      <w:r w:rsidR="00766927">
        <w:t xml:space="preserve">These programmes </w:t>
      </w:r>
      <w:r w:rsidR="00766927" w:rsidRPr="00591FCE">
        <w:t>support</w:t>
      </w:r>
      <w:r w:rsidR="00766927">
        <w:t xml:space="preserve">ed </w:t>
      </w:r>
      <w:r w:rsidR="00766927" w:rsidRPr="00591FCE">
        <w:t xml:space="preserve">principals and programme teachers from selected primary and intermediate schools to design </w:t>
      </w:r>
      <w:r w:rsidR="00766927">
        <w:t xml:space="preserve">intensive programmes in reading, </w:t>
      </w:r>
      <w:r w:rsidR="00766927" w:rsidRPr="00591FCE">
        <w:t xml:space="preserve">writing </w:t>
      </w:r>
      <w:r w:rsidR="00766927">
        <w:t xml:space="preserve">and mathematics </w:t>
      </w:r>
      <w:r w:rsidR="00766927" w:rsidRPr="00591FCE">
        <w:t>for small group</w:t>
      </w:r>
      <w:r w:rsidR="00766927">
        <w:t>s</w:t>
      </w:r>
      <w:r w:rsidR="00766927" w:rsidRPr="00591FCE">
        <w:t xml:space="preserve"> of students </w:t>
      </w:r>
      <w:r w:rsidR="00766927">
        <w:t>over 1</w:t>
      </w:r>
      <w:r w:rsidR="00766927" w:rsidRPr="00591FCE">
        <w:t>0</w:t>
      </w:r>
      <w:r w:rsidR="006F74FA">
        <w:rPr>
          <w:rFonts w:cs="Arial"/>
        </w:rPr>
        <w:t>–</w:t>
      </w:r>
      <w:r w:rsidR="00766927">
        <w:t>15</w:t>
      </w:r>
      <w:r w:rsidR="00766927" w:rsidRPr="00591FCE">
        <w:t xml:space="preserve"> weeks</w:t>
      </w:r>
      <w:r w:rsidR="00766927">
        <w:t>.</w:t>
      </w:r>
    </w:p>
    <w:p w:rsidR="00766927" w:rsidRDefault="00DD655C" w:rsidP="007C70A4">
      <w:pPr>
        <w:pStyle w:val="BodyText"/>
      </w:pPr>
      <w:r w:rsidRPr="00591FCE">
        <w:t xml:space="preserve"> One of these initiatives was Accelerated Literacy Learning (ALL), a project focussed on accelerating the learning progress of students assessed as ‘well below’ or ‘below’ in National Standards for reading or writing. </w:t>
      </w:r>
    </w:p>
    <w:p w:rsidR="00766927" w:rsidRDefault="00766927" w:rsidP="00766927">
      <w:pPr>
        <w:rPr>
          <w:rFonts w:cs="Arial"/>
          <w:szCs w:val="22"/>
        </w:rPr>
      </w:pPr>
      <w:r>
        <w:t>T</w:t>
      </w:r>
      <w:r w:rsidRPr="00FB713E">
        <w:t xml:space="preserve">he University of Waikato undertook </w:t>
      </w:r>
      <w:r>
        <w:t>an</w:t>
      </w:r>
      <w:r w:rsidRPr="00FB713E">
        <w:t xml:space="preserve"> evaluation</w:t>
      </w:r>
      <w:r>
        <w:t xml:space="preserve"> of the ‘Programmes for Students’ with schools who took part in the programmes during Term 3, 2011 </w:t>
      </w:r>
      <w:r w:rsidRPr="00591FCE">
        <w:t>(Cowie, McGee, Peter, Taylor and Chen, 2012).</w:t>
      </w:r>
      <w:r>
        <w:t xml:space="preserve"> </w:t>
      </w:r>
      <w:r w:rsidRPr="00381604">
        <w:rPr>
          <w:rFonts w:cs="Arial"/>
          <w:szCs w:val="22"/>
        </w:rPr>
        <w:t xml:space="preserve">The </w:t>
      </w:r>
      <w:r>
        <w:rPr>
          <w:rFonts w:cs="Arial"/>
          <w:szCs w:val="22"/>
        </w:rPr>
        <w:t xml:space="preserve">evaluation found the </w:t>
      </w:r>
      <w:r w:rsidRPr="00381604">
        <w:rPr>
          <w:rFonts w:cs="Arial"/>
          <w:szCs w:val="22"/>
        </w:rPr>
        <w:t xml:space="preserve">majority of students accelerated their learning </w:t>
      </w:r>
      <w:r>
        <w:rPr>
          <w:rFonts w:cs="Arial"/>
          <w:szCs w:val="22"/>
        </w:rPr>
        <w:t xml:space="preserve">in reading, writing, and mathematics </w:t>
      </w:r>
      <w:r w:rsidRPr="00381604">
        <w:rPr>
          <w:rFonts w:cs="Arial"/>
          <w:szCs w:val="22"/>
        </w:rPr>
        <w:t>during the programmes</w:t>
      </w:r>
      <w:r>
        <w:rPr>
          <w:rFonts w:cs="Arial"/>
          <w:szCs w:val="22"/>
        </w:rPr>
        <w:t>;</w:t>
      </w:r>
      <w:r w:rsidRPr="00381604">
        <w:rPr>
          <w:rFonts w:cs="Arial"/>
          <w:szCs w:val="22"/>
        </w:rPr>
        <w:t xml:space="preserve"> that is, their achievement increased mor</w:t>
      </w:r>
      <w:r>
        <w:rPr>
          <w:rFonts w:cs="Arial"/>
          <w:szCs w:val="22"/>
        </w:rPr>
        <w:t>e in the programmes than would have otherwise occurred</w:t>
      </w:r>
      <w:r w:rsidRPr="00381604">
        <w:rPr>
          <w:rFonts w:cs="Arial"/>
          <w:szCs w:val="22"/>
        </w:rPr>
        <w:t xml:space="preserve"> in the equivalent classroom time.</w:t>
      </w:r>
      <w:r w:rsidRPr="00C31FF7">
        <w:rPr>
          <w:rFonts w:cs="Arial"/>
          <w:szCs w:val="22"/>
        </w:rPr>
        <w:t xml:space="preserve"> </w:t>
      </w:r>
    </w:p>
    <w:p w:rsidR="00766927" w:rsidRPr="00766927" w:rsidRDefault="00766927" w:rsidP="00766927">
      <w:pPr>
        <w:rPr>
          <w:rFonts w:cs="Arial"/>
          <w:szCs w:val="22"/>
        </w:rPr>
      </w:pPr>
      <w:r>
        <w:t xml:space="preserve">The ‘Programmes for Students’ initiatives were implemented again in 2012. </w:t>
      </w:r>
      <w:r w:rsidRPr="00591FCE">
        <w:t xml:space="preserve">In 2012, </w:t>
      </w:r>
      <w:r>
        <w:t>around 350</w:t>
      </w:r>
      <w:r w:rsidRPr="00591FCE">
        <w:t xml:space="preserve"> schools participated in ALL</w:t>
      </w:r>
      <w:r>
        <w:t xml:space="preserve"> providing junior literacy, reading and writing programmes for students in years 1 to 8.</w:t>
      </w:r>
    </w:p>
    <w:p w:rsidR="00DD655C" w:rsidRDefault="00DD655C" w:rsidP="00FC15F7">
      <w:pPr>
        <w:pStyle w:val="Heading3"/>
        <w:rPr>
          <w:lang w:eastAsia="en-NZ"/>
        </w:rPr>
      </w:pPr>
      <w:r w:rsidRPr="00B91AE1">
        <w:rPr>
          <w:lang w:eastAsia="en-NZ"/>
        </w:rPr>
        <w:t>National Standards – reading</w:t>
      </w:r>
    </w:p>
    <w:p w:rsidR="00DD655C" w:rsidRDefault="00DD655C" w:rsidP="007C70A4">
      <w:pPr>
        <w:pStyle w:val="BodyText"/>
      </w:pPr>
      <w:r>
        <w:t>In 2012</w:t>
      </w:r>
      <w:r w:rsidR="00FC15F7">
        <w:t xml:space="preserve">, </w:t>
      </w:r>
      <w:r>
        <w:t xml:space="preserve">77.4% of </w:t>
      </w:r>
      <w:r w:rsidR="009F5227">
        <w:t>y</w:t>
      </w:r>
      <w:r>
        <w:t>ear 1</w:t>
      </w:r>
      <w:r w:rsidR="009F5227">
        <w:rPr>
          <w:rFonts w:cs="Arial"/>
        </w:rPr>
        <w:t>–</w:t>
      </w:r>
      <w:r>
        <w:t xml:space="preserve">8 students were at or above the National Standard for reading for their year level. This was an increase of 1.2 percentage points on the proportional of </w:t>
      </w:r>
      <w:r w:rsidR="009F5227">
        <w:t>y</w:t>
      </w:r>
      <w:r>
        <w:t>ear 1</w:t>
      </w:r>
      <w:r w:rsidR="009F5227">
        <w:rPr>
          <w:rFonts w:cs="Arial"/>
        </w:rPr>
        <w:t>–</w:t>
      </w:r>
      <w:r>
        <w:t xml:space="preserve">8 students meeting the National Standard for reading in 2011 (76.2%). </w:t>
      </w:r>
    </w:p>
    <w:p w:rsidR="00DD655C" w:rsidRPr="002F5A5C" w:rsidRDefault="00DD655C" w:rsidP="00A7236E">
      <w:pPr>
        <w:pStyle w:val="FigureHeading"/>
      </w:pPr>
      <w:bookmarkStart w:id="105" w:name="_Toc367361582"/>
      <w:r>
        <w:t>Proportion of students meeting the National Standard for Reading, 2011 to 2012</w:t>
      </w:r>
      <w:bookmarkEnd w:id="105"/>
    </w:p>
    <w:p w:rsidR="00DD655C" w:rsidRDefault="00F32AF8" w:rsidP="00FE1B3D">
      <w:pPr>
        <w:pStyle w:val="Figure"/>
      </w:pPr>
      <w:r>
        <w:rPr>
          <w:noProof/>
          <w:lang w:val="en-NZ"/>
        </w:rPr>
        <w:drawing>
          <wp:inline distT="0" distB="0" distL="0" distR="0">
            <wp:extent cx="5615940" cy="1915795"/>
            <wp:effectExtent l="19050" t="0" r="3810" b="0"/>
            <wp:docPr id="52" name="Picture 51" descr="Stacked column graph showing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5_HR.png"/>
                    <pic:cNvPicPr/>
                  </pic:nvPicPr>
                  <pic:blipFill>
                    <a:blip r:embed="rId25" cstate="print"/>
                    <a:stretch>
                      <a:fillRect/>
                    </a:stretch>
                  </pic:blipFill>
                  <pic:spPr>
                    <a:xfrm>
                      <a:off x="0" y="0"/>
                      <a:ext cx="5615940" cy="1915795"/>
                    </a:xfrm>
                    <a:prstGeom prst="rect">
                      <a:avLst/>
                    </a:prstGeom>
                  </pic:spPr>
                </pic:pic>
              </a:graphicData>
            </a:graphic>
          </wp:inline>
        </w:drawing>
      </w:r>
    </w:p>
    <w:p w:rsidR="00FC15F7" w:rsidRPr="00FC15F7" w:rsidRDefault="00FC15F7" w:rsidP="00FC15F7">
      <w:pPr>
        <w:pStyle w:val="TableFootnote"/>
        <w:spacing w:after="40"/>
        <w:rPr>
          <w:bCs w:val="0"/>
          <w:szCs w:val="18"/>
          <w:lang w:eastAsia="en-NZ"/>
        </w:rPr>
      </w:pPr>
    </w:p>
    <w:p w:rsidR="00805633" w:rsidRDefault="00805633" w:rsidP="00FC15F7">
      <w:pPr>
        <w:pStyle w:val="Heading3"/>
      </w:pPr>
      <w:r>
        <w:t xml:space="preserve">Ngā Whanaketanga Rumaki Māori </w:t>
      </w:r>
      <w:r w:rsidR="009F5227">
        <w:rPr>
          <w:rFonts w:cs="Times New Roman"/>
        </w:rPr>
        <w:t>―</w:t>
      </w:r>
      <w:r>
        <w:t xml:space="preserve"> Ngā Whanaketanga Reo</w:t>
      </w:r>
    </w:p>
    <w:p w:rsidR="000448D7" w:rsidRDefault="00805633" w:rsidP="00805633">
      <w:pPr>
        <w:rPr>
          <w:lang w:val="en-NZ"/>
        </w:rPr>
      </w:pPr>
      <w:r>
        <w:rPr>
          <w:lang w:val="en-NZ"/>
        </w:rPr>
        <w:t>In 2012</w:t>
      </w:r>
      <w:r w:rsidR="00940695">
        <w:rPr>
          <w:lang w:val="en-NZ"/>
        </w:rPr>
        <w:t>,</w:t>
      </w:r>
      <w:r>
        <w:rPr>
          <w:lang w:val="en-NZ"/>
        </w:rPr>
        <w:t xml:space="preserve"> students in kura and schools using Ngā Whanaketanga Rumaki Māori were generally achieving at the expected level for kōrero (speaking), pānui (reading) and tuhituhi (writing). Overall achievement was the strongest against the expecte</w:t>
      </w:r>
      <w:r w:rsidR="00940695">
        <w:rPr>
          <w:lang w:val="en-NZ"/>
        </w:rPr>
        <w:t xml:space="preserve">d outcomes set for pānui, with 75.8% of students Manawa Ora (At) or Manawa Toa (Above). Seventy per cent of students were Manawa Ora or Manawa Toa for tuhituhi, while 65.3% of students achieved at these levels for kōrero. </w:t>
      </w:r>
    </w:p>
    <w:p w:rsidR="000448D7" w:rsidRPr="000448D7" w:rsidRDefault="000448D7" w:rsidP="00805633">
      <w:pPr>
        <w:pStyle w:val="FigureHeading"/>
      </w:pPr>
      <w:bookmarkStart w:id="106" w:name="_Toc367361583"/>
      <w:r w:rsidRPr="00103A93">
        <w:t>Proportion of students meeting Ngā Whanaketanga Reo, by gender, 2012</w:t>
      </w:r>
      <w:bookmarkEnd w:id="106"/>
    </w:p>
    <w:p w:rsidR="00805633" w:rsidRDefault="000448D7" w:rsidP="00805633">
      <w:pPr>
        <w:rPr>
          <w:lang w:val="en-NZ"/>
        </w:rPr>
      </w:pPr>
      <w:r>
        <w:rPr>
          <w:noProof/>
          <w:lang w:val="en-NZ" w:eastAsia="en-NZ"/>
        </w:rPr>
        <w:drawing>
          <wp:inline distT="0" distB="0" distL="0" distR="0">
            <wp:extent cx="5615940" cy="1915795"/>
            <wp:effectExtent l="19050" t="0" r="3810" b="0"/>
            <wp:docPr id="3" name="Picture 52" descr="Stacked column graph showing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6_HR.png"/>
                    <pic:cNvPicPr/>
                  </pic:nvPicPr>
                  <pic:blipFill>
                    <a:blip r:embed="rId26" cstate="print"/>
                    <a:stretch>
                      <a:fillRect/>
                    </a:stretch>
                  </pic:blipFill>
                  <pic:spPr>
                    <a:xfrm>
                      <a:off x="0" y="0"/>
                      <a:ext cx="5615940" cy="1915795"/>
                    </a:xfrm>
                    <a:prstGeom prst="rect">
                      <a:avLst/>
                    </a:prstGeom>
                  </pic:spPr>
                </pic:pic>
              </a:graphicData>
            </a:graphic>
          </wp:inline>
        </w:drawing>
      </w:r>
    </w:p>
    <w:p w:rsidR="00DD655C" w:rsidRPr="00591FCE" w:rsidRDefault="00DD655C" w:rsidP="00FC15F7">
      <w:pPr>
        <w:pStyle w:val="Heading3"/>
      </w:pPr>
      <w:r w:rsidRPr="00591FCE">
        <w:t>International differences</w:t>
      </w:r>
    </w:p>
    <w:p w:rsidR="00DD655C" w:rsidRPr="00591FCE" w:rsidRDefault="00DD655C" w:rsidP="00DD655C">
      <w:pPr>
        <w:rPr>
          <w:lang w:val="en-NZ"/>
        </w:rPr>
      </w:pPr>
      <w:r w:rsidRPr="00591FCE">
        <w:rPr>
          <w:lang w:val="en-NZ"/>
        </w:rPr>
        <w:t>The Progress in International Reading Literacy Study (PIRLS) has assessed the reading literac</w:t>
      </w:r>
      <w:r>
        <w:rPr>
          <w:lang w:val="en-NZ"/>
        </w:rPr>
        <w:t>y achievement of New Zealand’s y</w:t>
      </w:r>
      <w:r w:rsidRPr="00591FCE">
        <w:rPr>
          <w:lang w:val="en-NZ"/>
        </w:rPr>
        <w:t xml:space="preserve">ear 5 </w:t>
      </w:r>
      <w:r>
        <w:rPr>
          <w:lang w:val="en-NZ"/>
        </w:rPr>
        <w:t>student</w:t>
      </w:r>
      <w:r w:rsidRPr="00591FCE">
        <w:rPr>
          <w:lang w:val="en-NZ"/>
        </w:rPr>
        <w:t xml:space="preserve">s every five years since 2001. </w:t>
      </w:r>
      <w:r>
        <w:rPr>
          <w:lang w:val="en-NZ"/>
        </w:rPr>
        <w:t>PIRLS assesses reading comprehension processes and skills in two</w:t>
      </w:r>
      <w:r w:rsidRPr="00591FCE">
        <w:rPr>
          <w:lang w:val="en-NZ"/>
        </w:rPr>
        <w:t xml:space="preserve"> </w:t>
      </w:r>
      <w:r>
        <w:rPr>
          <w:lang w:val="en-NZ"/>
        </w:rPr>
        <w:t>purposes for reading at middle primary level:</w:t>
      </w:r>
      <w:r w:rsidRPr="00591FCE">
        <w:rPr>
          <w:lang w:val="en-NZ"/>
        </w:rPr>
        <w:t xml:space="preserve"> reading for literary purposes, and reading for informational purposes. The third cycle was completed in 2010/11, with achievement </w:t>
      </w:r>
      <w:r>
        <w:rPr>
          <w:lang w:val="en-NZ"/>
        </w:rPr>
        <w:t xml:space="preserve">and contextual </w:t>
      </w:r>
      <w:r w:rsidRPr="00591FCE">
        <w:rPr>
          <w:lang w:val="en-NZ"/>
        </w:rPr>
        <w:t xml:space="preserve">information collected </w:t>
      </w:r>
      <w:r>
        <w:rPr>
          <w:lang w:val="en-NZ"/>
        </w:rPr>
        <w:t>in 48</w:t>
      </w:r>
      <w:r w:rsidRPr="00591FCE">
        <w:rPr>
          <w:lang w:val="en-NZ"/>
        </w:rPr>
        <w:t xml:space="preserve"> countries. </w:t>
      </w:r>
    </w:p>
    <w:p w:rsidR="00DD655C" w:rsidRPr="00CF1F50" w:rsidRDefault="00DD655C" w:rsidP="00DD655C">
      <w:pPr>
        <w:rPr>
          <w:rStyle w:val="Heading4Char"/>
        </w:rPr>
      </w:pPr>
      <w:r w:rsidRPr="00591FCE">
        <w:rPr>
          <w:lang w:val="en-NZ"/>
        </w:rPr>
        <w:t xml:space="preserve">In </w:t>
      </w:r>
      <w:r>
        <w:rPr>
          <w:lang w:val="en-NZ"/>
        </w:rPr>
        <w:t xml:space="preserve">keeping with the two earlier cycles in 2001 and 2005/06, </w:t>
      </w:r>
      <w:r w:rsidRPr="00591FCE">
        <w:rPr>
          <w:lang w:val="en-NZ"/>
        </w:rPr>
        <w:t>New Zealand</w:t>
      </w:r>
      <w:r>
        <w:rPr>
          <w:lang w:val="en-NZ"/>
        </w:rPr>
        <w:t>’s mean score for y</w:t>
      </w:r>
      <w:r w:rsidRPr="00591FCE">
        <w:rPr>
          <w:lang w:val="en-NZ"/>
        </w:rPr>
        <w:t xml:space="preserve">ear 5 </w:t>
      </w:r>
      <w:r>
        <w:rPr>
          <w:lang w:val="en-NZ"/>
        </w:rPr>
        <w:t>students</w:t>
      </w:r>
      <w:r w:rsidRPr="00591FCE">
        <w:rPr>
          <w:lang w:val="en-NZ"/>
        </w:rPr>
        <w:t xml:space="preserve"> was significantly higher than the </w:t>
      </w:r>
      <w:r>
        <w:rPr>
          <w:lang w:val="en-NZ"/>
        </w:rPr>
        <w:t>PIRLS Scale C</w:t>
      </w:r>
      <w:r w:rsidRPr="00591FCE">
        <w:rPr>
          <w:lang w:val="en-NZ"/>
        </w:rPr>
        <w:t>entrepoint, with the means for 17 countries, including four OECD countries (Belgium (French), France, Norway and Spain), being significantly lower than New Zealand</w:t>
      </w:r>
      <w:r>
        <w:rPr>
          <w:lang w:val="en-NZ"/>
        </w:rPr>
        <w:t xml:space="preserve"> (Chamberl</w:t>
      </w:r>
      <w:r w:rsidR="00C70563">
        <w:rPr>
          <w:lang w:val="en-NZ"/>
        </w:rPr>
        <w:t>a</w:t>
      </w:r>
      <w:r>
        <w:rPr>
          <w:lang w:val="en-NZ"/>
        </w:rPr>
        <w:t>in, 2013)</w:t>
      </w:r>
      <w:r w:rsidRPr="00591FCE">
        <w:rPr>
          <w:lang w:val="en-NZ"/>
        </w:rPr>
        <w:t>. However, 20 countries had significantly higher means than New Zealand including 14 OECD countries, such as United States and England. There was no significant change in mean r</w:t>
      </w:r>
      <w:r>
        <w:rPr>
          <w:lang w:val="en-NZ"/>
        </w:rPr>
        <w:t>eading literacy achievement at y</w:t>
      </w:r>
      <w:r w:rsidRPr="00591FCE">
        <w:rPr>
          <w:lang w:val="en-NZ"/>
        </w:rPr>
        <w:t>ear 5 over the period 2001</w:t>
      </w:r>
      <w:r w:rsidR="009F5227">
        <w:rPr>
          <w:rFonts w:cs="Arial"/>
          <w:lang w:val="en-NZ"/>
        </w:rPr>
        <w:t>–</w:t>
      </w:r>
      <w:r w:rsidRPr="00591FCE">
        <w:rPr>
          <w:lang w:val="en-NZ"/>
        </w:rPr>
        <w:t>2010/11.</w:t>
      </w:r>
    </w:p>
    <w:p w:rsidR="00DD655C" w:rsidRPr="00591FCE" w:rsidRDefault="00DD655C" w:rsidP="00DD655C">
      <w:pPr>
        <w:rPr>
          <w:lang w:val="en-NZ"/>
        </w:rPr>
      </w:pPr>
      <w:r w:rsidRPr="00591FCE">
        <w:rPr>
          <w:lang w:val="en-NZ"/>
        </w:rPr>
        <w:t>New Zealand was well represented among</w:t>
      </w:r>
      <w:r>
        <w:rPr>
          <w:lang w:val="en-NZ"/>
        </w:rPr>
        <w:t xml:space="preserve"> the best readers internationally, with 14% of y</w:t>
      </w:r>
      <w:r w:rsidRPr="00591FCE">
        <w:rPr>
          <w:lang w:val="en-NZ"/>
        </w:rPr>
        <w:t xml:space="preserve">ear 5 </w:t>
      </w:r>
      <w:r>
        <w:rPr>
          <w:lang w:val="en-NZ"/>
        </w:rPr>
        <w:t>student</w:t>
      </w:r>
      <w:r w:rsidRPr="00591FCE">
        <w:rPr>
          <w:lang w:val="en-NZ"/>
        </w:rPr>
        <w:t xml:space="preserve">s reaching the </w:t>
      </w:r>
      <w:r>
        <w:rPr>
          <w:lang w:val="en-NZ"/>
        </w:rPr>
        <w:t>PIRLS A</w:t>
      </w:r>
      <w:r w:rsidRPr="00591FCE">
        <w:rPr>
          <w:lang w:val="en-NZ"/>
        </w:rPr>
        <w:t xml:space="preserve">dvanced </w:t>
      </w:r>
      <w:r>
        <w:rPr>
          <w:lang w:val="en-NZ"/>
        </w:rPr>
        <w:t>I</w:t>
      </w:r>
      <w:r w:rsidRPr="00591FCE">
        <w:rPr>
          <w:lang w:val="en-NZ"/>
        </w:rPr>
        <w:t xml:space="preserve">nternational </w:t>
      </w:r>
      <w:r>
        <w:rPr>
          <w:lang w:val="en-NZ"/>
        </w:rPr>
        <w:t>B</w:t>
      </w:r>
      <w:r w:rsidRPr="00591FCE">
        <w:rPr>
          <w:lang w:val="en-NZ"/>
        </w:rPr>
        <w:t xml:space="preserve">enchmark; this was close to double the international median of </w:t>
      </w:r>
      <w:r w:rsidR="009F5227">
        <w:rPr>
          <w:lang w:val="en-NZ"/>
        </w:rPr>
        <w:t>eight per cent.</w:t>
      </w:r>
      <w:r w:rsidRPr="00591FCE">
        <w:rPr>
          <w:lang w:val="en-NZ"/>
        </w:rPr>
        <w:t xml:space="preserve"> New Zealand was also </w:t>
      </w:r>
      <w:r>
        <w:rPr>
          <w:lang w:val="en-NZ"/>
        </w:rPr>
        <w:t xml:space="preserve">however </w:t>
      </w:r>
      <w:r w:rsidRPr="00591FCE">
        <w:rPr>
          <w:lang w:val="en-NZ"/>
        </w:rPr>
        <w:t>slightly over-represented among the weake</w:t>
      </w:r>
      <w:r>
        <w:rPr>
          <w:lang w:val="en-NZ"/>
        </w:rPr>
        <w:t xml:space="preserve">r readers internationally, with </w:t>
      </w:r>
      <w:r w:rsidR="009F5227">
        <w:rPr>
          <w:lang w:val="en-NZ"/>
        </w:rPr>
        <w:t>eight per cent</w:t>
      </w:r>
      <w:r>
        <w:rPr>
          <w:lang w:val="en-NZ"/>
        </w:rPr>
        <w:t xml:space="preserve"> of y</w:t>
      </w:r>
      <w:r w:rsidR="00D53436">
        <w:rPr>
          <w:lang w:val="en-NZ"/>
        </w:rPr>
        <w:t>ear 5 student</w:t>
      </w:r>
      <w:r w:rsidRPr="00591FCE">
        <w:rPr>
          <w:lang w:val="en-NZ"/>
        </w:rPr>
        <w:t xml:space="preserve">s </w:t>
      </w:r>
      <w:r>
        <w:rPr>
          <w:lang w:val="en-NZ"/>
        </w:rPr>
        <w:t xml:space="preserve">not </w:t>
      </w:r>
      <w:r w:rsidRPr="00591FCE">
        <w:rPr>
          <w:lang w:val="en-NZ"/>
        </w:rPr>
        <w:t>reach</w:t>
      </w:r>
      <w:r>
        <w:rPr>
          <w:lang w:val="en-NZ"/>
        </w:rPr>
        <w:t>ing</w:t>
      </w:r>
      <w:r w:rsidRPr="00591FCE">
        <w:rPr>
          <w:lang w:val="en-NZ"/>
        </w:rPr>
        <w:t xml:space="preserve"> the </w:t>
      </w:r>
      <w:r>
        <w:rPr>
          <w:lang w:val="en-NZ"/>
        </w:rPr>
        <w:t>L</w:t>
      </w:r>
      <w:r w:rsidRPr="00591FCE">
        <w:rPr>
          <w:lang w:val="en-NZ"/>
        </w:rPr>
        <w:t xml:space="preserve">ow </w:t>
      </w:r>
      <w:r>
        <w:rPr>
          <w:lang w:val="en-NZ"/>
        </w:rPr>
        <w:t>I</w:t>
      </w:r>
      <w:r w:rsidRPr="00591FCE">
        <w:rPr>
          <w:lang w:val="en-NZ"/>
        </w:rPr>
        <w:t xml:space="preserve">nternational </w:t>
      </w:r>
      <w:r>
        <w:rPr>
          <w:lang w:val="en-NZ"/>
        </w:rPr>
        <w:t>B</w:t>
      </w:r>
      <w:r w:rsidRPr="00591FCE">
        <w:rPr>
          <w:lang w:val="en-NZ"/>
        </w:rPr>
        <w:t xml:space="preserve">enchmark, compared to an international median of </w:t>
      </w:r>
      <w:r w:rsidR="009F5227">
        <w:rPr>
          <w:lang w:val="en-NZ"/>
        </w:rPr>
        <w:t>five per cent</w:t>
      </w:r>
      <w:r w:rsidRPr="00591FCE">
        <w:rPr>
          <w:lang w:val="en-NZ"/>
        </w:rPr>
        <w:t xml:space="preserve">. Failure to reach this benchmark is indicative of </w:t>
      </w:r>
      <w:r>
        <w:rPr>
          <w:lang w:val="en-NZ"/>
        </w:rPr>
        <w:t>student</w:t>
      </w:r>
      <w:r w:rsidRPr="00591FCE">
        <w:rPr>
          <w:lang w:val="en-NZ"/>
        </w:rPr>
        <w:t xml:space="preserve"> difficulties with locating and reproducing even explicitly-stated information.</w:t>
      </w:r>
    </w:p>
    <w:p w:rsidR="00DD655C" w:rsidRPr="00591FCE" w:rsidRDefault="00DD655C" w:rsidP="000813F7">
      <w:pPr>
        <w:pStyle w:val="Heading3"/>
      </w:pPr>
      <w:r w:rsidRPr="00591FCE">
        <w:t>Ethnic group differences</w:t>
      </w:r>
    </w:p>
    <w:p w:rsidR="00DD655C" w:rsidRDefault="00DD655C" w:rsidP="000813F7">
      <w:pPr>
        <w:pStyle w:val="Heading4"/>
        <w:rPr>
          <w:lang w:val="en-NZ"/>
        </w:rPr>
      </w:pPr>
      <w:r>
        <w:rPr>
          <w:lang w:val="en-NZ"/>
        </w:rPr>
        <w:t>National Standards</w:t>
      </w:r>
    </w:p>
    <w:p w:rsidR="00344054" w:rsidRPr="00D348EE" w:rsidRDefault="00DD655C" w:rsidP="00DD655C">
      <w:pPr>
        <w:rPr>
          <w:lang w:val="en-NZ"/>
        </w:rPr>
      </w:pPr>
      <w:r>
        <w:rPr>
          <w:lang w:val="en-NZ"/>
        </w:rPr>
        <w:t>The proportions of Māori (68.2%) and Pasifika (62.6%) students at or above the reading standard for their year level were both significantly lower than the overall proportion of students at or above the reading standard. The proportion of Pasifika students meeting the reading standard increased by 3.6 percentage points between 2011 and 2012, while the proportion of Māori students increased by 1.7 percentage points over the same time period.</w:t>
      </w:r>
    </w:p>
    <w:p w:rsidR="00DD655C" w:rsidRPr="00591FCE" w:rsidRDefault="00DD655C" w:rsidP="000813F7">
      <w:pPr>
        <w:pStyle w:val="Heading4"/>
        <w:rPr>
          <w:lang w:val="en-NZ"/>
        </w:rPr>
      </w:pPr>
      <w:r w:rsidRPr="00591FCE">
        <w:rPr>
          <w:lang w:val="en-NZ"/>
        </w:rPr>
        <w:t>PIRLS 2010/11</w:t>
      </w:r>
    </w:p>
    <w:p w:rsidR="00DD655C" w:rsidRDefault="00DD655C" w:rsidP="00DD655C">
      <w:pPr>
        <w:rPr>
          <w:lang w:val="en-NZ"/>
        </w:rPr>
      </w:pPr>
      <w:r>
        <w:rPr>
          <w:lang w:val="en-NZ"/>
        </w:rPr>
        <w:t>Across all ethnic groupings</w:t>
      </w:r>
      <w:r w:rsidRPr="00591FCE">
        <w:rPr>
          <w:lang w:val="en-NZ"/>
        </w:rPr>
        <w:t xml:space="preserve"> there were students represented at the highest and lowest levels of performance in read</w:t>
      </w:r>
      <w:r>
        <w:rPr>
          <w:lang w:val="en-NZ"/>
        </w:rPr>
        <w:t xml:space="preserve">ing. However, proportionally fewer Māori and Pasifika students achieved at </w:t>
      </w:r>
      <w:r w:rsidRPr="00591FCE">
        <w:rPr>
          <w:lang w:val="en-NZ"/>
        </w:rPr>
        <w:t>the high</w:t>
      </w:r>
      <w:r>
        <w:rPr>
          <w:lang w:val="en-NZ"/>
        </w:rPr>
        <w:t>er achievement benchmarks.</w:t>
      </w:r>
      <w:r w:rsidRPr="00591FCE">
        <w:rPr>
          <w:lang w:val="en-NZ"/>
        </w:rPr>
        <w:t xml:space="preserve"> </w:t>
      </w:r>
      <w:r>
        <w:rPr>
          <w:lang w:val="en-NZ"/>
        </w:rPr>
        <w:t xml:space="preserve">Māori and Pasifika students </w:t>
      </w:r>
      <w:r w:rsidRPr="00591FCE">
        <w:rPr>
          <w:lang w:val="en-NZ"/>
        </w:rPr>
        <w:t xml:space="preserve">were </w:t>
      </w:r>
      <w:r>
        <w:rPr>
          <w:lang w:val="en-NZ"/>
        </w:rPr>
        <w:t xml:space="preserve">also </w:t>
      </w:r>
      <w:r w:rsidRPr="00591FCE">
        <w:rPr>
          <w:lang w:val="en-NZ"/>
        </w:rPr>
        <w:t>over-represented at t</w:t>
      </w:r>
      <w:r>
        <w:rPr>
          <w:lang w:val="en-NZ"/>
        </w:rPr>
        <w:t xml:space="preserve">he lower benchmarks; </w:t>
      </w:r>
      <w:r w:rsidRPr="00591FCE">
        <w:rPr>
          <w:lang w:val="en-NZ"/>
        </w:rPr>
        <w:t>17% of Māori students and</w:t>
      </w:r>
      <w:r>
        <w:rPr>
          <w:lang w:val="en-NZ"/>
        </w:rPr>
        <w:t xml:space="preserve"> 18% of Pasifika students did not</w:t>
      </w:r>
      <w:r w:rsidRPr="00591FCE">
        <w:rPr>
          <w:lang w:val="en-NZ"/>
        </w:rPr>
        <w:t xml:space="preserve"> reach </w:t>
      </w:r>
      <w:r>
        <w:rPr>
          <w:lang w:val="en-NZ"/>
        </w:rPr>
        <w:t>the Low International Benchmark</w:t>
      </w:r>
      <w:r w:rsidRPr="00591FCE">
        <w:rPr>
          <w:lang w:val="en-NZ"/>
        </w:rPr>
        <w:t>.</w:t>
      </w:r>
    </w:p>
    <w:p w:rsidR="00DD655C" w:rsidRDefault="00DD655C" w:rsidP="00DD655C">
      <w:pPr>
        <w:rPr>
          <w:lang w:val="en-NZ"/>
        </w:rPr>
      </w:pPr>
      <w:r w:rsidRPr="00591FCE">
        <w:rPr>
          <w:lang w:val="en-NZ"/>
        </w:rPr>
        <w:t>No significant</w:t>
      </w:r>
      <w:r>
        <w:rPr>
          <w:rStyle w:val="FootnoteReference"/>
          <w:lang w:val="en-NZ"/>
        </w:rPr>
        <w:footnoteReference w:id="8"/>
      </w:r>
      <w:r w:rsidRPr="00591FCE">
        <w:rPr>
          <w:lang w:val="en-NZ"/>
        </w:rPr>
        <w:t xml:space="preserve"> change </w:t>
      </w:r>
      <w:r>
        <w:rPr>
          <w:lang w:val="en-NZ"/>
        </w:rPr>
        <w:t xml:space="preserve">from 2001 to 2010/11 </w:t>
      </w:r>
      <w:r w:rsidRPr="00591FCE">
        <w:rPr>
          <w:lang w:val="en-NZ"/>
        </w:rPr>
        <w:t xml:space="preserve">in </w:t>
      </w:r>
      <w:r>
        <w:rPr>
          <w:lang w:val="en-NZ"/>
        </w:rPr>
        <w:t xml:space="preserve">the </w:t>
      </w:r>
      <w:r w:rsidRPr="00591FCE">
        <w:rPr>
          <w:lang w:val="en-NZ"/>
        </w:rPr>
        <w:t xml:space="preserve">reading achievement was </w:t>
      </w:r>
      <w:r>
        <w:rPr>
          <w:lang w:val="en-NZ"/>
        </w:rPr>
        <w:t>observed</w:t>
      </w:r>
      <w:r w:rsidRPr="00591FCE">
        <w:rPr>
          <w:lang w:val="en-NZ"/>
        </w:rPr>
        <w:t xml:space="preserve"> </w:t>
      </w:r>
      <w:r>
        <w:rPr>
          <w:lang w:val="en-NZ"/>
        </w:rPr>
        <w:t>for</w:t>
      </w:r>
      <w:r w:rsidRPr="00591FCE">
        <w:rPr>
          <w:lang w:val="en-NZ"/>
        </w:rPr>
        <w:t xml:space="preserve"> any ethnic group</w:t>
      </w:r>
      <w:r>
        <w:rPr>
          <w:lang w:val="en-NZ"/>
        </w:rPr>
        <w:t>ing.</w:t>
      </w:r>
      <w:r w:rsidRPr="00591FCE">
        <w:rPr>
          <w:lang w:val="en-NZ"/>
        </w:rPr>
        <w:t xml:space="preserve"> </w:t>
      </w:r>
      <w:r>
        <w:rPr>
          <w:lang w:val="en-NZ"/>
        </w:rPr>
        <w:t>Furthermore, significant differences in reading achievement continued to be found between ethnic groupings, as illustrated by the percentages scoring above the PIRLS Scale Centrepoint. More than 70% of Pākehā</w:t>
      </w:r>
      <w:r w:rsidRPr="00591FCE">
        <w:rPr>
          <w:lang w:val="en-NZ"/>
        </w:rPr>
        <w:t xml:space="preserve">/European and Asian </w:t>
      </w:r>
      <w:r>
        <w:rPr>
          <w:lang w:val="en-NZ"/>
        </w:rPr>
        <w:t>students achieved above the PIRLS</w:t>
      </w:r>
      <w:r w:rsidRPr="00591FCE">
        <w:rPr>
          <w:lang w:val="en-NZ"/>
        </w:rPr>
        <w:t xml:space="preserve"> </w:t>
      </w:r>
      <w:r>
        <w:rPr>
          <w:lang w:val="en-NZ"/>
        </w:rPr>
        <w:t xml:space="preserve">Scale Centrepoint, whereas just under 50% of </w:t>
      </w:r>
      <w:r w:rsidRPr="00591FCE">
        <w:rPr>
          <w:lang w:val="en-NZ"/>
        </w:rPr>
        <w:t>Māo</w:t>
      </w:r>
      <w:r>
        <w:rPr>
          <w:lang w:val="en-NZ"/>
        </w:rPr>
        <w:t xml:space="preserve">ri students and just under 40% of Pasifika students achieved above this point. </w:t>
      </w:r>
    </w:p>
    <w:p w:rsidR="00DD655C" w:rsidRDefault="00DD655C" w:rsidP="00681FF7">
      <w:pPr>
        <w:pStyle w:val="Heading3"/>
      </w:pPr>
      <w:r w:rsidRPr="00591FCE">
        <w:t>Gender differences</w:t>
      </w:r>
    </w:p>
    <w:p w:rsidR="00DD655C" w:rsidRDefault="00DD655C" w:rsidP="000813F7">
      <w:pPr>
        <w:pStyle w:val="Heading4"/>
        <w:rPr>
          <w:lang w:val="en-NZ"/>
        </w:rPr>
      </w:pPr>
      <w:r>
        <w:rPr>
          <w:lang w:val="en-NZ"/>
        </w:rPr>
        <w:t>National Standards</w:t>
      </w:r>
    </w:p>
    <w:p w:rsidR="00DD655C" w:rsidRDefault="00DD655C" w:rsidP="00DD655C">
      <w:pPr>
        <w:rPr>
          <w:lang w:val="en-NZ"/>
        </w:rPr>
      </w:pPr>
      <w:r>
        <w:rPr>
          <w:lang w:val="en-NZ"/>
        </w:rPr>
        <w:t xml:space="preserve">Girls were more likely to </w:t>
      </w:r>
      <w:r w:rsidR="00B0207C">
        <w:rPr>
          <w:lang w:val="en-NZ"/>
        </w:rPr>
        <w:t>be At or A</w:t>
      </w:r>
      <w:r>
        <w:rPr>
          <w:lang w:val="en-NZ"/>
        </w:rPr>
        <w:t>bove the reading standards for their year level than boys were, with 81.9% of girls at or above, and 73.2% of boys at or above the standard. While the proportions of both genders meeting the reading standard rose between 2011 and 2012, the size of the gender difference also increased slightly between 2011 (8.5 percentage points) and 2012 (8.7 percentage points).</w:t>
      </w:r>
    </w:p>
    <w:p w:rsidR="00344054" w:rsidRDefault="00344054" w:rsidP="00DD655C">
      <w:pPr>
        <w:rPr>
          <w:b/>
          <w:lang w:val="en-NZ"/>
        </w:rPr>
      </w:pPr>
      <w:r>
        <w:rPr>
          <w:b/>
          <w:lang w:val="en-NZ"/>
        </w:rPr>
        <w:t>Ngā Whanaketanga Reo</w:t>
      </w:r>
    </w:p>
    <w:p w:rsidR="00344054" w:rsidRDefault="00344054" w:rsidP="00DD655C">
      <w:pPr>
        <w:rPr>
          <w:lang w:val="en-NZ"/>
        </w:rPr>
      </w:pPr>
      <w:r>
        <w:rPr>
          <w:lang w:val="en-NZ"/>
        </w:rPr>
        <w:t>Girls (kōtiro) we</w:t>
      </w:r>
      <w:r w:rsidR="00B0207C">
        <w:rPr>
          <w:lang w:val="en-NZ"/>
        </w:rPr>
        <w:t xml:space="preserve">re more likely to be Manawa Ora or </w:t>
      </w:r>
      <w:r>
        <w:rPr>
          <w:lang w:val="en-NZ"/>
        </w:rPr>
        <w:t xml:space="preserve">Manawa Toa for kōrero, pānui and tuhituhi than boys (tama). The largest disparity in achievement was reported for tuhituhi, with a difference of 14.2 percentage points between the </w:t>
      </w:r>
      <w:r w:rsidR="00B0207C">
        <w:rPr>
          <w:lang w:val="en-NZ"/>
        </w:rPr>
        <w:t xml:space="preserve">proportion of kōtiro Manawa Ora or </w:t>
      </w:r>
      <w:r>
        <w:rPr>
          <w:lang w:val="en-NZ"/>
        </w:rPr>
        <w:t>Manawa Toa (76.3%) compared with the proportion of tama (69.6%). A difference of 10.2 percentage points was reported for pānui (80.4% for kōtiro and 70.2% for tama) and 9.4 percentage points for kōrero (69.9% for kōtiro and 60.5% for tama).</w:t>
      </w:r>
    </w:p>
    <w:p w:rsidR="00103A93" w:rsidRDefault="00103A93" w:rsidP="00103A93">
      <w:pPr>
        <w:pStyle w:val="Heading4"/>
        <w:rPr>
          <w:lang w:val="en-NZ"/>
        </w:rPr>
      </w:pPr>
      <w:r w:rsidRPr="00591FCE">
        <w:rPr>
          <w:lang w:val="en-NZ"/>
        </w:rPr>
        <w:t>PIRLS 2010/11</w:t>
      </w:r>
    </w:p>
    <w:p w:rsidR="00103A93" w:rsidRPr="000448D7" w:rsidRDefault="00103A93" w:rsidP="000448D7">
      <w:pPr>
        <w:rPr>
          <w:b/>
          <w:bCs/>
          <w:szCs w:val="28"/>
        </w:rPr>
      </w:pPr>
      <w:r>
        <w:rPr>
          <w:lang w:val="en-NZ"/>
        </w:rPr>
        <w:t xml:space="preserve">Both year 5 girls and boys achieved on average above the international means for girls and boys in the PIRLS 2010/11. However, girls tended to achieve higher than boys; the difference between girls and boys was relatively large when compared to the differences in the United States and Canada, but was on a similar level to the differences found in England and Finland. This difference in mean achievement has been found in all previous PIRLS cycles; however, the gap has lessened over time due to small (non-significant) positive shifts in boys’ reading achievement in 2010/11 combined with no change in achievement for girls. </w:t>
      </w:r>
    </w:p>
    <w:p w:rsidR="00DD655C" w:rsidRPr="00591FCE" w:rsidRDefault="00DD655C" w:rsidP="000813F7">
      <w:pPr>
        <w:pStyle w:val="Heading3"/>
      </w:pPr>
      <w:r>
        <w:t xml:space="preserve">Socio-economic </w:t>
      </w:r>
      <w:r w:rsidRPr="00591FCE">
        <w:t>differences</w:t>
      </w:r>
    </w:p>
    <w:p w:rsidR="00DD655C" w:rsidRDefault="00DD655C" w:rsidP="00DD655C">
      <w:pPr>
        <w:rPr>
          <w:lang w:val="en-NZ"/>
        </w:rPr>
      </w:pPr>
      <w:r>
        <w:rPr>
          <w:lang w:val="en-NZ"/>
        </w:rPr>
        <w:t xml:space="preserve">Results from the PIRLS 2010/11 highlighted significant disparities in reading literacy achievement between year 5 students attending high decile schools and those attending low decile schools in New Zealand. While students from both ends of the socio-economic spectrum achieved at the highest reading level, only </w:t>
      </w:r>
      <w:r w:rsidR="009F5227">
        <w:rPr>
          <w:lang w:val="en-NZ"/>
        </w:rPr>
        <w:t xml:space="preserve">four per cent </w:t>
      </w:r>
      <w:r>
        <w:rPr>
          <w:lang w:val="en-NZ"/>
        </w:rPr>
        <w:t>of students in decile 1</w:t>
      </w:r>
      <w:r w:rsidR="009F5227">
        <w:rPr>
          <w:rFonts w:cs="Arial"/>
          <w:lang w:val="en-NZ"/>
        </w:rPr>
        <w:t>–</w:t>
      </w:r>
      <w:r>
        <w:rPr>
          <w:lang w:val="en-NZ"/>
        </w:rPr>
        <w:t>2 schools reached the Advanced International Benchmark compared to 23% of students in 9</w:t>
      </w:r>
      <w:r w:rsidR="009F5227">
        <w:rPr>
          <w:rFonts w:cs="Arial"/>
          <w:lang w:val="en-NZ"/>
        </w:rPr>
        <w:t>–</w:t>
      </w:r>
      <w:r>
        <w:rPr>
          <w:lang w:val="en-NZ"/>
        </w:rPr>
        <w:t>10 decile schools. Students from the lower decile schools were also over-represented amongst our weakest readers, with 22% of year 5 students in decile 1</w:t>
      </w:r>
      <w:r w:rsidR="009F5227">
        <w:rPr>
          <w:rFonts w:cs="Arial"/>
          <w:lang w:val="en-NZ"/>
        </w:rPr>
        <w:t>–</w:t>
      </w:r>
      <w:r>
        <w:rPr>
          <w:lang w:val="en-NZ"/>
        </w:rPr>
        <w:t xml:space="preserve">2 schools not reaching the Low International Benchmark compared with just </w:t>
      </w:r>
      <w:r w:rsidR="009F5227">
        <w:rPr>
          <w:lang w:val="en-NZ"/>
        </w:rPr>
        <w:t xml:space="preserve">one per cent </w:t>
      </w:r>
      <w:r>
        <w:rPr>
          <w:lang w:val="en-NZ"/>
        </w:rPr>
        <w:t>of year 5 students in decile 9</w:t>
      </w:r>
      <w:r w:rsidR="009F5227">
        <w:rPr>
          <w:rFonts w:cs="Arial"/>
          <w:lang w:val="en-NZ"/>
        </w:rPr>
        <w:t>–</w:t>
      </w:r>
      <w:r>
        <w:rPr>
          <w:lang w:val="en-NZ"/>
        </w:rPr>
        <w:t>10 schools.</w:t>
      </w:r>
    </w:p>
    <w:p w:rsidR="00DD655C" w:rsidRPr="00FA64F8" w:rsidRDefault="00DD655C" w:rsidP="000813F7">
      <w:pPr>
        <w:pStyle w:val="Heading3"/>
        <w:rPr>
          <w:szCs w:val="18"/>
        </w:rPr>
      </w:pPr>
      <w:r>
        <w:t>Attitudes towards reading</w:t>
      </w:r>
    </w:p>
    <w:p w:rsidR="00DD655C" w:rsidRPr="00943FEF" w:rsidRDefault="00DD655C" w:rsidP="00DD655C">
      <w:pPr>
        <w:rPr>
          <w:lang w:val="en-NZ"/>
        </w:rPr>
      </w:pPr>
      <w:r>
        <w:rPr>
          <w:lang w:val="en-NZ"/>
        </w:rPr>
        <w:t>Compared with students in many other countries in PIRLS 2010/11, New Zealand year 5 students liked reading and were motivated to read, however proportionally more year 5 girls liked reading compared to year 5 boys. Year 5 students were much less confident in their reading ability compared to many of their international counterparts, and were slightly less engaged during their reading lessons.</w:t>
      </w:r>
    </w:p>
    <w:p w:rsidR="00DD655C" w:rsidRDefault="00DD655C" w:rsidP="000813F7">
      <w:pPr>
        <w:pStyle w:val="Heading3"/>
      </w:pPr>
      <w:r w:rsidRPr="00EE3E9E">
        <w:t xml:space="preserve">National Standards </w:t>
      </w:r>
      <w:r w:rsidR="009F5227">
        <w:rPr>
          <w:rFonts w:cs="Times New Roman"/>
        </w:rPr>
        <w:t>―</w:t>
      </w:r>
      <w:r w:rsidRPr="00EE3E9E">
        <w:t xml:space="preserve"> writin</w:t>
      </w:r>
      <w:r>
        <w:t>g</w:t>
      </w:r>
    </w:p>
    <w:p w:rsidR="00DD655C" w:rsidRDefault="00DD655C" w:rsidP="000813F7">
      <w:pPr>
        <w:pStyle w:val="BodyText"/>
        <w:rPr>
          <w:lang w:val="en-NZ"/>
        </w:rPr>
      </w:pPr>
      <w:r>
        <w:rPr>
          <w:lang w:val="en-NZ"/>
        </w:rPr>
        <w:t>In 2012</w:t>
      </w:r>
      <w:r w:rsidR="000813F7">
        <w:rPr>
          <w:lang w:val="en-NZ"/>
        </w:rPr>
        <w:t xml:space="preserve">, </w:t>
      </w:r>
      <w:r>
        <w:rPr>
          <w:lang w:val="en-NZ"/>
        </w:rPr>
        <w:t xml:space="preserve">70.0% of </w:t>
      </w:r>
      <w:r w:rsidR="009F5227">
        <w:rPr>
          <w:lang w:val="en-NZ"/>
        </w:rPr>
        <w:t>y</w:t>
      </w:r>
      <w:r>
        <w:rPr>
          <w:lang w:val="en-NZ"/>
        </w:rPr>
        <w:t>ear 1</w:t>
      </w:r>
      <w:r w:rsidR="009F5227">
        <w:rPr>
          <w:rFonts w:cs="Arial"/>
          <w:lang w:val="en-NZ"/>
        </w:rPr>
        <w:t>–</w:t>
      </w:r>
      <w:r>
        <w:rPr>
          <w:lang w:val="en-NZ"/>
        </w:rPr>
        <w:t>8 students were at or above the National Standard for writing. As in 2011, the writing standards had the lowest proportion of students at or above the standard for their year level out of the reading, writing and mathematics sta</w:t>
      </w:r>
      <w:r w:rsidR="008B52BE">
        <w:rPr>
          <w:lang w:val="en-NZ"/>
        </w:rPr>
        <w:t xml:space="preserve">ndards. The largest gains were </w:t>
      </w:r>
      <w:r>
        <w:rPr>
          <w:lang w:val="en-NZ"/>
        </w:rPr>
        <w:t xml:space="preserve">seen in writing standards, however, with an increase of </w:t>
      </w:r>
      <w:r w:rsidR="009F5227">
        <w:rPr>
          <w:lang w:val="en-NZ"/>
        </w:rPr>
        <w:t xml:space="preserve">two </w:t>
      </w:r>
      <w:r>
        <w:rPr>
          <w:lang w:val="en-NZ"/>
        </w:rPr>
        <w:t>percentage points in the proportion of students meeting the standard for their year level between 2011 (68.0%) and 2012 (70.0%).</w:t>
      </w:r>
    </w:p>
    <w:p w:rsidR="00DD655C" w:rsidRPr="002F5A5C" w:rsidRDefault="00DD655C" w:rsidP="000D6C03">
      <w:pPr>
        <w:pStyle w:val="FigureHeading"/>
      </w:pPr>
      <w:bookmarkStart w:id="107" w:name="_Toc367361584"/>
      <w:r>
        <w:t>Proportion of students meeting the National Standard for Writing, 2011 to 2012</w:t>
      </w:r>
      <w:bookmarkEnd w:id="107"/>
    </w:p>
    <w:p w:rsidR="00DD655C" w:rsidRPr="00EE3E9E" w:rsidRDefault="00F32AF8" w:rsidP="00FE1B3D">
      <w:pPr>
        <w:pStyle w:val="Figure"/>
        <w:rPr>
          <w:lang w:val="en-NZ"/>
        </w:rPr>
      </w:pPr>
      <w:r>
        <w:rPr>
          <w:noProof/>
          <w:lang w:val="en-NZ"/>
        </w:rPr>
        <w:drawing>
          <wp:inline distT="0" distB="0" distL="0" distR="0">
            <wp:extent cx="5615940" cy="1915795"/>
            <wp:effectExtent l="19050" t="0" r="3810" b="0"/>
            <wp:docPr id="54" name="Picture 53" descr="Stacked column graph showing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7_HR.png"/>
                    <pic:cNvPicPr/>
                  </pic:nvPicPr>
                  <pic:blipFill>
                    <a:blip r:embed="rId27" cstate="print"/>
                    <a:stretch>
                      <a:fillRect/>
                    </a:stretch>
                  </pic:blipFill>
                  <pic:spPr>
                    <a:xfrm>
                      <a:off x="0" y="0"/>
                      <a:ext cx="5615940" cy="1915795"/>
                    </a:xfrm>
                    <a:prstGeom prst="rect">
                      <a:avLst/>
                    </a:prstGeom>
                  </pic:spPr>
                </pic:pic>
              </a:graphicData>
            </a:graphic>
          </wp:inline>
        </w:drawing>
      </w:r>
    </w:p>
    <w:p w:rsidR="00DD655C" w:rsidRPr="00D13194" w:rsidRDefault="00DD655C" w:rsidP="00D13194">
      <w:pPr>
        <w:pStyle w:val="TableFootnote"/>
        <w:spacing w:after="40"/>
        <w:rPr>
          <w:bCs w:val="0"/>
          <w:lang w:val="en-NZ"/>
        </w:rPr>
      </w:pPr>
    </w:p>
    <w:p w:rsidR="00DD655C" w:rsidRDefault="00DD655C" w:rsidP="00CF1F50">
      <w:pPr>
        <w:pStyle w:val="Heading4"/>
        <w:rPr>
          <w:lang w:val="en-NZ"/>
        </w:rPr>
      </w:pPr>
      <w:r w:rsidRPr="00591FCE">
        <w:rPr>
          <w:lang w:val="en-NZ"/>
        </w:rPr>
        <w:t>Ethnic group differences</w:t>
      </w:r>
    </w:p>
    <w:p w:rsidR="00DD655C" w:rsidRPr="008512E1" w:rsidRDefault="00DD655C" w:rsidP="00DD655C">
      <w:pPr>
        <w:rPr>
          <w:lang w:val="en-NZ"/>
        </w:rPr>
      </w:pPr>
      <w:r>
        <w:rPr>
          <w:lang w:val="en-NZ"/>
        </w:rPr>
        <w:t>The proportions of Māori (60.2%) and Pasifika (56.8%) students at or above the writing standard for their year level were both significantly lower than the overall proportion of students at or above the writing standard. The proportion of Pasifika students meeting the reading standard increased by 3.0 percentage points between 2011 and 2012, while the proportion of Māori students increased by 2.7 percentage points over the same time period.</w:t>
      </w:r>
    </w:p>
    <w:p w:rsidR="00DD655C" w:rsidRDefault="00DD655C" w:rsidP="00CF1F50">
      <w:pPr>
        <w:pStyle w:val="Heading4"/>
        <w:rPr>
          <w:lang w:val="en-NZ"/>
        </w:rPr>
      </w:pPr>
      <w:r w:rsidRPr="00591FCE">
        <w:rPr>
          <w:lang w:val="en-NZ"/>
        </w:rPr>
        <w:t>Gender differences</w:t>
      </w:r>
    </w:p>
    <w:p w:rsidR="00DD655C" w:rsidRPr="00341D7B" w:rsidRDefault="00DD655C" w:rsidP="00DD655C">
      <w:pPr>
        <w:rPr>
          <w:lang w:val="en-NZ"/>
        </w:rPr>
      </w:pPr>
      <w:r>
        <w:rPr>
          <w:lang w:val="en-NZ"/>
        </w:rPr>
        <w:t>As in 2011, girls were much more likely to be at or above the writing standard for their year level than boys were in 2012, with 77.8% of girls at or above, and 62.6% of boys at or above the standard. While the proportions of students meeting the writing standard have risen for both boys and girls, the size of the gender difference also increased between 2011 (13.8 percentage points) and 2012 (15.2 percentage points).</w:t>
      </w:r>
    </w:p>
    <w:p w:rsidR="00DD655C" w:rsidRPr="00E1188D" w:rsidRDefault="00DD655C" w:rsidP="008662DE">
      <w:pPr>
        <w:pStyle w:val="Heading2"/>
      </w:pPr>
      <w:bookmarkStart w:id="108" w:name="_Toc289074843"/>
      <w:bookmarkStart w:id="109" w:name="_Toc300319667"/>
      <w:bookmarkStart w:id="110" w:name="_Toc303511359"/>
      <w:bookmarkStart w:id="111" w:name="_Toc304799242"/>
      <w:bookmarkStart w:id="112" w:name="_Toc367361635"/>
      <w:r w:rsidRPr="00E1188D">
        <w:t xml:space="preserve">Reading literacy in secondary </w:t>
      </w:r>
      <w:bookmarkEnd w:id="108"/>
      <w:r w:rsidRPr="00E1188D">
        <w:t>schooling</w:t>
      </w:r>
      <w:bookmarkEnd w:id="109"/>
      <w:bookmarkEnd w:id="110"/>
      <w:bookmarkEnd w:id="111"/>
      <w:bookmarkEnd w:id="112"/>
    </w:p>
    <w:p w:rsidR="00DD655C" w:rsidRPr="004278C3" w:rsidRDefault="00DD655C" w:rsidP="004278C3">
      <w:pPr>
        <w:pStyle w:val="Heading3"/>
      </w:pPr>
      <w:r w:rsidRPr="004278C3">
        <w:t>NCEA</w:t>
      </w:r>
    </w:p>
    <w:p w:rsidR="00DD655C" w:rsidRDefault="006F4C05" w:rsidP="007C70A4">
      <w:pPr>
        <w:pStyle w:val="BodyText"/>
      </w:pPr>
      <w:r>
        <w:t xml:space="preserve">To achieve </w:t>
      </w:r>
      <w:r w:rsidR="00DD655C" w:rsidRPr="004C3BC4">
        <w:t xml:space="preserve">National Certificate of Educational Achievement (NCEA) Level 1 qualification, all </w:t>
      </w:r>
      <w:r w:rsidR="00DD655C">
        <w:t>student</w:t>
      </w:r>
      <w:r w:rsidR="00DD655C" w:rsidRPr="004C3BC4">
        <w:t>s must fulfil specific literacy and numeracy requirements</w:t>
      </w:r>
      <w:r w:rsidR="00DD655C" w:rsidRPr="00485AAE">
        <w:rPr>
          <w:vertAlign w:val="superscript"/>
        </w:rPr>
        <w:footnoteReference w:id="9"/>
      </w:r>
      <w:r w:rsidR="00DD655C" w:rsidRPr="00485AAE">
        <w:t xml:space="preserve">. NCEA achievement </w:t>
      </w:r>
      <w:r>
        <w:t>is reported by student age</w:t>
      </w:r>
      <w:r w:rsidR="00DD655C" w:rsidRPr="00485AAE">
        <w:t xml:space="preserve"> as at 1</w:t>
      </w:r>
      <w:r w:rsidR="009F5227">
        <w:t xml:space="preserve"> </w:t>
      </w:r>
      <w:r w:rsidR="00DD655C" w:rsidRPr="00485AAE">
        <w:t>May</w:t>
      </w:r>
      <w:r>
        <w:t>;</w:t>
      </w:r>
      <w:r w:rsidR="00DD655C" w:rsidRPr="00485AAE">
        <w:t xml:space="preserve"> </w:t>
      </w:r>
      <w:r>
        <w:t>t</w:t>
      </w:r>
      <w:r w:rsidR="00DD655C">
        <w:t xml:space="preserve">he typical assessment level for 15-year-old students is NCEA Level 1. </w:t>
      </w:r>
    </w:p>
    <w:p w:rsidR="00DD655C" w:rsidRPr="00591FCE" w:rsidRDefault="0016267F" w:rsidP="007C70A4">
      <w:pPr>
        <w:pStyle w:val="BodyText"/>
        <w:rPr>
          <w:highlight w:val="yellow"/>
        </w:rPr>
      </w:pPr>
      <w:r>
        <w:t>In 2012, 80.1</w:t>
      </w:r>
      <w:r w:rsidR="00DD655C" w:rsidRPr="00485AAE">
        <w:t>% of 15-year-old students met the literacy requirements for NCEA Level 1, a</w:t>
      </w:r>
      <w:r>
        <w:t>n improvement on 78.1</w:t>
      </w:r>
      <w:r w:rsidR="00DD655C">
        <w:t>% in 2011</w:t>
      </w:r>
      <w:r w:rsidR="00DD655C" w:rsidRPr="00485AAE">
        <w:t>.</w:t>
      </w:r>
    </w:p>
    <w:p w:rsidR="00DD655C" w:rsidRPr="00DC5169" w:rsidRDefault="00DD655C" w:rsidP="00791BAA">
      <w:pPr>
        <w:pStyle w:val="FigureHeading"/>
      </w:pPr>
      <w:r w:rsidRPr="00DC5169">
        <w:t xml:space="preserve"> </w:t>
      </w:r>
      <w:bookmarkStart w:id="113" w:name="_Toc367361585"/>
      <w:r w:rsidRPr="00DC5169">
        <w:t>Proportion of 15-year-old students who met the literacy and numeracy requirements for NCEA Level 1, 2008-2012</w:t>
      </w:r>
      <w:bookmarkEnd w:id="113"/>
    </w:p>
    <w:p w:rsidR="00DD655C" w:rsidRDefault="00F32AF8" w:rsidP="00FE1B3D">
      <w:pPr>
        <w:pStyle w:val="Figure"/>
        <w:rPr>
          <w:highlight w:val="yellow"/>
        </w:rPr>
      </w:pPr>
      <w:r>
        <w:rPr>
          <w:noProof/>
          <w:lang w:val="en-NZ"/>
        </w:rPr>
        <w:drawing>
          <wp:inline distT="0" distB="0" distL="0" distR="0">
            <wp:extent cx="5615940" cy="1844040"/>
            <wp:effectExtent l="19050" t="0" r="3810" b="0"/>
            <wp:docPr id="55" name="Picture 54" descr="Line graph showing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8_HR.png"/>
                    <pic:cNvPicPr/>
                  </pic:nvPicPr>
                  <pic:blipFill>
                    <a:blip r:embed="rId28" cstate="print"/>
                    <a:stretch>
                      <a:fillRect/>
                    </a:stretch>
                  </pic:blipFill>
                  <pic:spPr>
                    <a:xfrm>
                      <a:off x="0" y="0"/>
                      <a:ext cx="5615940" cy="1844040"/>
                    </a:xfrm>
                    <a:prstGeom prst="rect">
                      <a:avLst/>
                    </a:prstGeom>
                  </pic:spPr>
                </pic:pic>
              </a:graphicData>
            </a:graphic>
          </wp:inline>
        </w:drawing>
      </w:r>
    </w:p>
    <w:p w:rsidR="00DD655C" w:rsidRPr="00D13194" w:rsidRDefault="00DD655C" w:rsidP="00D13194">
      <w:pPr>
        <w:pStyle w:val="TableFootnote"/>
        <w:spacing w:after="40"/>
        <w:rPr>
          <w:rFonts w:cs="OSML"/>
          <w:bCs w:val="0"/>
          <w:szCs w:val="18"/>
          <w:highlight w:val="yellow"/>
          <w:lang w:eastAsia="en-NZ"/>
        </w:rPr>
      </w:pPr>
    </w:p>
    <w:p w:rsidR="00DD655C" w:rsidRPr="004278C3" w:rsidRDefault="00DD655C" w:rsidP="004278C3">
      <w:pPr>
        <w:pStyle w:val="Heading3"/>
      </w:pPr>
      <w:r w:rsidRPr="004278C3">
        <w:t>International differences</w:t>
      </w:r>
    </w:p>
    <w:p w:rsidR="00DD655C" w:rsidRPr="00B86997" w:rsidRDefault="00DD655C" w:rsidP="007C70A4">
      <w:pPr>
        <w:pStyle w:val="BodyText"/>
      </w:pPr>
      <w:r w:rsidRPr="00B86997">
        <w:t>Every three years since 2000</w:t>
      </w:r>
      <w:r>
        <w:t>,</w:t>
      </w:r>
      <w:r w:rsidRPr="00B86997">
        <w:t xml:space="preserve"> the Programme for International Student Assessment (PISA) </w:t>
      </w:r>
      <w:r w:rsidR="00D53436">
        <w:t>has assessed 15-year-old student</w:t>
      </w:r>
      <w:r w:rsidRPr="00B86997">
        <w:t xml:space="preserve">s’ reading, mathematics and science. In 2009, reading literacy was a major focus. The results for PISA 2009 were released in December 2010. </w:t>
      </w:r>
    </w:p>
    <w:p w:rsidR="00DD655C" w:rsidRPr="00B86997" w:rsidRDefault="00DD655C" w:rsidP="007C70A4">
      <w:pPr>
        <w:pStyle w:val="BodyText"/>
      </w:pPr>
      <w:r w:rsidRPr="00B86997">
        <w:t>In PISA 2009 (Telford &amp; May, 2010) New Zealand continued to exhibit high performance in reading literacy at the senior secondary level</w:t>
      </w:r>
      <w:r w:rsidRPr="00B86997">
        <w:rPr>
          <w:vertAlign w:val="superscript"/>
        </w:rPr>
        <w:footnoteReference w:id="10"/>
      </w:r>
      <w:r w:rsidRPr="00B86997">
        <w:t xml:space="preserve">, with only </w:t>
      </w:r>
      <w:r w:rsidR="00C54418">
        <w:t xml:space="preserve">two </w:t>
      </w:r>
      <w:r w:rsidRPr="00B86997">
        <w:t>of 34 OECD</w:t>
      </w:r>
      <w:r w:rsidRPr="00B86997">
        <w:rPr>
          <w:vertAlign w:val="superscript"/>
        </w:rPr>
        <w:footnoteReference w:id="11"/>
      </w:r>
      <w:r w:rsidRPr="00B86997">
        <w:t xml:space="preserve"> countries (Korea and Finland) achieving significantly higher mean scores than New Zealand. Shanghai-China and Hong Kong-China (two of the non-OECD partner economies that take part) also achieved significantly higher mean scores than New Zealand.</w:t>
      </w:r>
    </w:p>
    <w:p w:rsidR="00DD655C" w:rsidRPr="00B86997" w:rsidRDefault="00DD655C" w:rsidP="007C70A4">
      <w:pPr>
        <w:pStyle w:val="BodyText"/>
      </w:pPr>
      <w:r w:rsidRPr="00B86997">
        <w:t>Many</w:t>
      </w:r>
      <w:r w:rsidR="00D53436">
        <w:t xml:space="preserve"> New Zealand 15-year-old student</w:t>
      </w:r>
      <w:r w:rsidRPr="00B86997">
        <w:t>s are achieving at the top levels of proficiency, more so than the OECD average (41% in the top three levels compared to 28%). However, 14% of</w:t>
      </w:r>
      <w:r w:rsidR="00D53436">
        <w:t xml:space="preserve"> New Zealand 15-year-old student</w:t>
      </w:r>
      <w:r w:rsidRPr="00B86997">
        <w:t xml:space="preserve">s did not achieve above the lowest levels of reading literacy in 2009; this was a similar result to Australia and Japan, but smaller than the average across the OECD countries (19%). </w:t>
      </w:r>
    </w:p>
    <w:p w:rsidR="00DD655C" w:rsidRPr="004278C3" w:rsidRDefault="00DD655C" w:rsidP="004278C3">
      <w:pPr>
        <w:pStyle w:val="Heading3"/>
      </w:pPr>
      <w:bookmarkStart w:id="114" w:name="_Toc304214672"/>
      <w:r w:rsidRPr="004278C3">
        <w:t>Ethnic group differences</w:t>
      </w:r>
    </w:p>
    <w:p w:rsidR="00332C52" w:rsidRPr="00CF1F50" w:rsidRDefault="00332C52" w:rsidP="00332C52">
      <w:pPr>
        <w:pStyle w:val="Heading4"/>
      </w:pPr>
      <w:r w:rsidRPr="00CF1F50">
        <w:t>NCEA</w:t>
      </w:r>
    </w:p>
    <w:p w:rsidR="00332C52" w:rsidRDefault="00332C52" w:rsidP="00332C52">
      <w:pPr>
        <w:pStyle w:val="BodyText"/>
      </w:pPr>
      <w:r>
        <w:t>In 2012, 69.5% of 15-year-old Māori and 74.9</w:t>
      </w:r>
      <w:r w:rsidRPr="00FA743B">
        <w:t>% of Pasifika 15-year-old students met the literacy requirements for NCEA Level 1. In co</w:t>
      </w:r>
      <w:r>
        <w:t>mparison, 84.9</w:t>
      </w:r>
      <w:r w:rsidRPr="00FA743B">
        <w:t xml:space="preserve">% of Asian </w:t>
      </w:r>
      <w:r>
        <w:t>and 83.7</w:t>
      </w:r>
      <w:r w:rsidRPr="00FA743B">
        <w:t>% of Pākehā/European 15-year-old students reached this level. Pasifika students made the largest improvement in literacy attainment, with the proportion of Pasifika 15-year-old students meeting requirements for NCEA Level 1 literac</w:t>
      </w:r>
      <w:r>
        <w:t>y increasing by 5.4</w:t>
      </w:r>
      <w:r w:rsidRPr="00FA743B">
        <w:t xml:space="preserve"> percentage</w:t>
      </w:r>
      <w:r>
        <w:t xml:space="preserve"> points compared with 2011 (69.5</w:t>
      </w:r>
      <w:r w:rsidRPr="00FA743B">
        <w:t>% in 2011).</w:t>
      </w:r>
    </w:p>
    <w:p w:rsidR="00DD655C" w:rsidRPr="00CF1F50" w:rsidRDefault="00DD655C" w:rsidP="00CF1F50">
      <w:pPr>
        <w:pStyle w:val="Heading4"/>
      </w:pPr>
      <w:r w:rsidRPr="00CF1F50">
        <w:t>PISA</w:t>
      </w:r>
    </w:p>
    <w:p w:rsidR="00DD655C" w:rsidRPr="00712A21" w:rsidRDefault="00DD655C" w:rsidP="007C70A4">
      <w:pPr>
        <w:pStyle w:val="BodyText"/>
      </w:pPr>
      <w:r w:rsidRPr="00B86997">
        <w:t>In PISA 2009 the mean scores for Pākehā/Europe</w:t>
      </w:r>
      <w:r w:rsidR="00D53436">
        <w:t>an and Asian 15-year-old student</w:t>
      </w:r>
      <w:r w:rsidRPr="00B86997">
        <w:t xml:space="preserve">s were significantly higher than the OECD average, while Māori and Pasifika mean scores were significantly lower than the OECD average. Lower proportions of Māori </w:t>
      </w:r>
      <w:r w:rsidR="00D53436">
        <w:t>and Pasifika student</w:t>
      </w:r>
      <w:r w:rsidRPr="00B86997">
        <w:t>s achieved at the highest levels of proficiency in reading, and they were over-represented at the lower levels when compared with Pākehā/European and Asian students</w:t>
      </w:r>
      <w:r>
        <w:t>.</w:t>
      </w:r>
    </w:p>
    <w:p w:rsidR="00DD655C" w:rsidRPr="00D13194" w:rsidRDefault="00DD655C" w:rsidP="00D13194">
      <w:pPr>
        <w:pStyle w:val="Heading4"/>
      </w:pPr>
      <w:r w:rsidRPr="00D13194">
        <w:t>Pasifika Education Plan 2013</w:t>
      </w:r>
      <w:r w:rsidR="00C54418">
        <w:rPr>
          <w:rFonts w:cs="Arial"/>
        </w:rPr>
        <w:t>–</w:t>
      </w:r>
      <w:r w:rsidRPr="00D13194">
        <w:t>2017</w:t>
      </w:r>
    </w:p>
    <w:p w:rsidR="00DD655C" w:rsidRPr="00591FCE" w:rsidRDefault="00DD655C" w:rsidP="007C70A4">
      <w:pPr>
        <w:pStyle w:val="BodyText"/>
        <w:rPr>
          <w:highlight w:val="yellow"/>
        </w:rPr>
      </w:pPr>
      <w:r w:rsidRPr="00933AD4">
        <w:t>For the schooling sector,</w:t>
      </w:r>
      <w:r w:rsidRPr="007C70A4">
        <w:rPr>
          <w:i/>
          <w:iCs/>
        </w:rPr>
        <w:t xml:space="preserve"> </w:t>
      </w:r>
      <w:r w:rsidRPr="00933AD4">
        <w:t>the</w:t>
      </w:r>
      <w:r w:rsidRPr="007C70A4">
        <w:rPr>
          <w:i/>
          <w:iCs/>
        </w:rPr>
        <w:t xml:space="preserve"> Pasifika Education Plan 2013</w:t>
      </w:r>
      <w:r w:rsidR="00C54418">
        <w:rPr>
          <w:rFonts w:cs="Arial"/>
          <w:i/>
          <w:iCs/>
        </w:rPr>
        <w:t>–</w:t>
      </w:r>
      <w:r w:rsidRPr="007C70A4">
        <w:rPr>
          <w:i/>
          <w:iCs/>
        </w:rPr>
        <w:t xml:space="preserve">2017 </w:t>
      </w:r>
      <w:r w:rsidRPr="00933AD4">
        <w:t>focuses on increasing Pasifika achievement levels in literacy and numeracy, and gaining secondary school qualifications. It sets a target of increasing the percentage of school leavers</w:t>
      </w:r>
      <w:r w:rsidRPr="007C70A4">
        <w:rPr>
          <w:i/>
          <w:iCs/>
        </w:rPr>
        <w:t xml:space="preserve"> </w:t>
      </w:r>
      <w:r>
        <w:t>achieving</w:t>
      </w:r>
      <w:r w:rsidRPr="00933AD4">
        <w:t xml:space="preserve"> NCEA Level 1 numeracy </w:t>
      </w:r>
      <w:r w:rsidRPr="007C70A4">
        <w:rPr>
          <w:i/>
          <w:iCs/>
        </w:rPr>
        <w:t>and</w:t>
      </w:r>
      <w:r w:rsidRPr="00933AD4">
        <w:t xml:space="preserve"> literacy from 80% in 2010 to 95% in 2017. </w:t>
      </w:r>
      <w:r w:rsidRPr="00926F33">
        <w:t xml:space="preserve">Results from 2012 indicate that progress has been made towards reaching this target, with the figure at 83%. </w:t>
      </w:r>
    </w:p>
    <w:p w:rsidR="00DD655C" w:rsidRPr="00FA743B" w:rsidRDefault="00DD655C" w:rsidP="00791BAA">
      <w:pPr>
        <w:pStyle w:val="FigureHeading"/>
      </w:pPr>
      <w:bookmarkStart w:id="115" w:name="_Toc367361586"/>
      <w:bookmarkEnd w:id="114"/>
      <w:r w:rsidRPr="00FA743B">
        <w:t>Proportion of 15-year-old students meeting NCEA Level 1 literacy and numer</w:t>
      </w:r>
      <w:r w:rsidR="00791BAA">
        <w:t>acy requirements, by ethnicity, 2008-2012</w:t>
      </w:r>
      <w:bookmarkEnd w:id="115"/>
    </w:p>
    <w:p w:rsidR="00DD655C" w:rsidRPr="00591FCE" w:rsidRDefault="00F32AF8" w:rsidP="00FE1B3D">
      <w:pPr>
        <w:pStyle w:val="Figure"/>
        <w:rPr>
          <w:highlight w:val="yellow"/>
        </w:rPr>
      </w:pPr>
      <w:r>
        <w:rPr>
          <w:noProof/>
          <w:lang w:val="en-NZ"/>
        </w:rPr>
        <w:drawing>
          <wp:inline distT="0" distB="0" distL="0" distR="0">
            <wp:extent cx="5615940" cy="1862455"/>
            <wp:effectExtent l="19050" t="0" r="3810" b="0"/>
            <wp:docPr id="56" name="Picture 55" descr="Line graph showing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9_HR.png"/>
                    <pic:cNvPicPr/>
                  </pic:nvPicPr>
                  <pic:blipFill>
                    <a:blip r:embed="rId29" cstate="print"/>
                    <a:stretch>
                      <a:fillRect/>
                    </a:stretch>
                  </pic:blipFill>
                  <pic:spPr>
                    <a:xfrm>
                      <a:off x="0" y="0"/>
                      <a:ext cx="5615940" cy="1862455"/>
                    </a:xfrm>
                    <a:prstGeom prst="rect">
                      <a:avLst/>
                    </a:prstGeom>
                  </pic:spPr>
                </pic:pic>
              </a:graphicData>
            </a:graphic>
          </wp:inline>
        </w:drawing>
      </w:r>
    </w:p>
    <w:p w:rsidR="00DD655C" w:rsidRDefault="00DD655C" w:rsidP="00D13194">
      <w:pPr>
        <w:pStyle w:val="TableFootnote"/>
      </w:pPr>
      <w:r w:rsidRPr="00D13194">
        <w:rPr>
          <w:b/>
        </w:rPr>
        <w:t xml:space="preserve">Notes: </w:t>
      </w:r>
      <w:r w:rsidR="00D13194" w:rsidRPr="00D13194">
        <w:rPr>
          <w:b/>
        </w:rPr>
        <w:br/>
      </w:r>
      <w:r w:rsidR="00D53436">
        <w:t>For this figure, student</w:t>
      </w:r>
      <w:r w:rsidRPr="00FA743B">
        <w:t>s who identified in more than one ethnic group have been counted in each ethnic group. Each student has only been counted once in the total.</w:t>
      </w:r>
      <w:r w:rsidR="00D13194">
        <w:br/>
      </w:r>
      <w:r w:rsidRPr="00FA743B">
        <w:t>MELAA refers to Middle Eastern, Latin American/and African.</w:t>
      </w:r>
    </w:p>
    <w:p w:rsidR="00DD655C" w:rsidRPr="00FA64F8" w:rsidRDefault="00DD655C" w:rsidP="00CF1F50">
      <w:pPr>
        <w:pStyle w:val="Heading4"/>
        <w:rPr>
          <w:lang w:eastAsia="en-NZ"/>
        </w:rPr>
      </w:pPr>
      <w:r w:rsidRPr="00FA64F8">
        <w:rPr>
          <w:lang w:eastAsia="en-NZ"/>
        </w:rPr>
        <w:t xml:space="preserve">Ka Hikitia </w:t>
      </w:r>
      <w:r w:rsidR="00C54418">
        <w:rPr>
          <w:rFonts w:cs="Arial"/>
          <w:lang w:eastAsia="en-NZ"/>
        </w:rPr>
        <w:t>―</w:t>
      </w:r>
      <w:r w:rsidRPr="00FA64F8">
        <w:rPr>
          <w:lang w:eastAsia="en-NZ"/>
        </w:rPr>
        <w:t xml:space="preserve"> Managing for Success (2008</w:t>
      </w:r>
      <w:r w:rsidR="00D13194" w:rsidRPr="00D13194">
        <w:t>–</w:t>
      </w:r>
      <w:r w:rsidRPr="00FA64F8">
        <w:rPr>
          <w:lang w:eastAsia="en-NZ"/>
        </w:rPr>
        <w:t>2012)</w:t>
      </w:r>
    </w:p>
    <w:p w:rsidR="00DD655C" w:rsidRDefault="00DD655C" w:rsidP="007C70A4">
      <w:pPr>
        <w:pStyle w:val="BodyText"/>
      </w:pPr>
      <w:r w:rsidRPr="007C70A4">
        <w:rPr>
          <w:i/>
          <w:iCs/>
        </w:rPr>
        <w:t xml:space="preserve">Ka Hikitia </w:t>
      </w:r>
      <w:r w:rsidR="00C54418">
        <w:rPr>
          <w:rFonts w:cs="Arial"/>
          <w:i/>
          <w:iCs/>
        </w:rPr>
        <w:t>―</w:t>
      </w:r>
      <w:r w:rsidRPr="007C70A4">
        <w:rPr>
          <w:i/>
          <w:iCs/>
        </w:rPr>
        <w:t xml:space="preserve"> Managing for Success (2008</w:t>
      </w:r>
      <w:r w:rsidR="00D13194" w:rsidRPr="007C70A4">
        <w:rPr>
          <w:rFonts w:cs="Arial"/>
          <w:i/>
          <w:iCs/>
        </w:rPr>
        <w:t>–</w:t>
      </w:r>
      <w:r w:rsidRPr="007C70A4">
        <w:rPr>
          <w:i/>
          <w:iCs/>
        </w:rPr>
        <w:t xml:space="preserve">2012) </w:t>
      </w:r>
      <w:r w:rsidRPr="00FA64F8">
        <w:t xml:space="preserve">focuses on raising Māori achievement in all areas of education, and as such set a target to improve the proportion of </w:t>
      </w:r>
      <w:r w:rsidR="00C54418">
        <w:t>y</w:t>
      </w:r>
      <w:r w:rsidRPr="00FA64F8">
        <w:t>ear 11 Māori students achieving the reading literacy and numeracy criteria for NCEA Level 1 to be equal to or better than the proportion of non-Māori by 2012.</w:t>
      </w:r>
      <w:r>
        <w:t xml:space="preserve"> </w:t>
      </w:r>
    </w:p>
    <w:p w:rsidR="00DD655C" w:rsidRPr="00CF1F50" w:rsidRDefault="00DD655C" w:rsidP="00CF1F50">
      <w:pPr>
        <w:pStyle w:val="BodyText"/>
      </w:pPr>
      <w:r>
        <w:t>The proportion of 15-year-old Māori students meeting requirements for NCEA Level 1 literacy and numeracy was significantly lower than the proportion of 15-year-old non-Māori students meeting these requirements in 2</w:t>
      </w:r>
      <w:r w:rsidR="00E37F39">
        <w:t>01</w:t>
      </w:r>
      <w:r w:rsidR="00307C74">
        <w:t>2: 62% compared to 80</w:t>
      </w:r>
      <w:r w:rsidR="00E37F39">
        <w:t>%</w:t>
      </w:r>
      <w:r>
        <w:t xml:space="preserve"> respectively. Although parity was not reached in 2012, the size of the difference between Māori students and non-Māori students has reduced by 2.4 percentage points since 2008. Furthermore, the proportion of Māori 15-year-old students meeting literacy and numeracy requirements has increased by 14% over the same time period.</w:t>
      </w:r>
    </w:p>
    <w:p w:rsidR="00DD655C" w:rsidRPr="001124D9" w:rsidRDefault="00DD655C" w:rsidP="007C70A4">
      <w:pPr>
        <w:pStyle w:val="BodyText"/>
      </w:pPr>
      <w:r w:rsidRPr="001124D9">
        <w:t>The proportion of Māori in Māori medium settings achieving the literacy requirements for NCEA Level 1 (in either English or te reo Māori) was higher than for Māori students in English medium settings. In 2012, 76.4% of 15-year-old Māori students in Māori medium settings achieved the literacy requirements, compared with 61.9% of Māori candidates in English medium settings and 78.2% of non-Māori candidates. The disparity in achievement between Māori students in Māori medium education and Māori students in English medium education has increased over time, from 8.1 percentage points in 2008 to 14.5 percentage points in 2012. Disparity in literacy and numeracy attainment between Māori students in Māori medium education and non-Māori students in English medium education has decreased over the same time period, however, with equality close to being met in 2012; there was a difference of 11.1 percentage points in 2008, which reduced to 1.8 percentage points in 2012.</w:t>
      </w:r>
    </w:p>
    <w:p w:rsidR="00DD655C" w:rsidRPr="007B4CC3" w:rsidRDefault="00791BAA" w:rsidP="00791BAA">
      <w:pPr>
        <w:pStyle w:val="FigureHeading"/>
      </w:pPr>
      <w:bookmarkStart w:id="116" w:name="_Toc304214673"/>
      <w:bookmarkStart w:id="117" w:name="_Toc367361587"/>
      <w:r>
        <w:t xml:space="preserve">Proportion of </w:t>
      </w:r>
      <w:r w:rsidR="00DD655C" w:rsidRPr="007B4CC3">
        <w:t>15-year-old students at Māori medium and English medium schools meeting both the literacy and numeracy requirements for NCEA Level 1, 2008–201</w:t>
      </w:r>
      <w:bookmarkEnd w:id="116"/>
      <w:r w:rsidR="00DD655C" w:rsidRPr="007B4CC3">
        <w:t>2</w:t>
      </w:r>
      <w:bookmarkEnd w:id="117"/>
      <w:r w:rsidR="00DD655C" w:rsidRPr="007B4CC3">
        <w:rPr>
          <w:noProof/>
        </w:rPr>
        <w:t xml:space="preserve"> </w:t>
      </w:r>
    </w:p>
    <w:p w:rsidR="00DD655C" w:rsidRPr="00591FCE" w:rsidRDefault="00F32AF8" w:rsidP="00FE1B3D">
      <w:pPr>
        <w:pStyle w:val="Figure"/>
        <w:rPr>
          <w:highlight w:val="yellow"/>
        </w:rPr>
      </w:pPr>
      <w:r>
        <w:rPr>
          <w:noProof/>
          <w:lang w:val="en-NZ"/>
        </w:rPr>
        <w:drawing>
          <wp:inline distT="0" distB="0" distL="0" distR="0">
            <wp:extent cx="5615940" cy="1838325"/>
            <wp:effectExtent l="19050" t="0" r="3810" b="0"/>
            <wp:docPr id="57" name="Picture 56" descr="Bar graph showing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0_HR.png"/>
                    <pic:cNvPicPr/>
                  </pic:nvPicPr>
                  <pic:blipFill>
                    <a:blip r:embed="rId30" cstate="print"/>
                    <a:stretch>
                      <a:fillRect/>
                    </a:stretch>
                  </pic:blipFill>
                  <pic:spPr>
                    <a:xfrm>
                      <a:off x="0" y="0"/>
                      <a:ext cx="5615940" cy="1838325"/>
                    </a:xfrm>
                    <a:prstGeom prst="rect">
                      <a:avLst/>
                    </a:prstGeom>
                  </pic:spPr>
                </pic:pic>
              </a:graphicData>
            </a:graphic>
          </wp:inline>
        </w:drawing>
      </w:r>
    </w:p>
    <w:p w:rsidR="00DD655C" w:rsidRPr="00D13194" w:rsidRDefault="00DD655C" w:rsidP="00D13194">
      <w:pPr>
        <w:pStyle w:val="TableFootnote"/>
        <w:spacing w:after="40"/>
        <w:rPr>
          <w:bCs w:val="0"/>
          <w:highlight w:val="yellow"/>
        </w:rPr>
      </w:pPr>
    </w:p>
    <w:p w:rsidR="00DD655C" w:rsidRPr="00DA4A5F" w:rsidRDefault="00DD655C" w:rsidP="00DA4A5F">
      <w:pPr>
        <w:pStyle w:val="Heading3"/>
      </w:pPr>
      <w:r w:rsidRPr="004278C3">
        <w:t>Gender differences</w:t>
      </w:r>
    </w:p>
    <w:p w:rsidR="00DD655C" w:rsidRPr="007904A0" w:rsidRDefault="00DD655C" w:rsidP="007C70A4">
      <w:pPr>
        <w:pStyle w:val="BodyText"/>
      </w:pPr>
      <w:r w:rsidRPr="007904A0">
        <w:t>In 2012, 77% of 15-year-old male students and 83.3% of 15-year-old female students achieved the literacy requirements for NCEA Level 1.</w:t>
      </w:r>
      <w:r>
        <w:t xml:space="preserve"> </w:t>
      </w:r>
    </w:p>
    <w:p w:rsidR="00DD655C" w:rsidRPr="00893EB5" w:rsidRDefault="00BC01D7" w:rsidP="00DD655C">
      <w:pPr>
        <w:pStyle w:val="FigureHeading"/>
      </w:pPr>
      <w:bookmarkStart w:id="118" w:name="_Toc304214674"/>
      <w:bookmarkStart w:id="119" w:name="_Toc367361588"/>
      <w:r>
        <w:t xml:space="preserve">Proportion of </w:t>
      </w:r>
      <w:r w:rsidR="00DD655C" w:rsidRPr="00893EB5">
        <w:t>15-year-old students meeting the NCEA Level 1 literacy requirements, by gender, 2008–201</w:t>
      </w:r>
      <w:bookmarkEnd w:id="118"/>
      <w:r w:rsidR="00DD655C" w:rsidRPr="00893EB5">
        <w:t>2</w:t>
      </w:r>
      <w:bookmarkEnd w:id="119"/>
    </w:p>
    <w:p w:rsidR="00DD655C" w:rsidRDefault="00F32AF8" w:rsidP="00FE1B3D">
      <w:pPr>
        <w:pStyle w:val="Figure"/>
        <w:rPr>
          <w:highlight w:val="yellow"/>
        </w:rPr>
      </w:pPr>
      <w:r>
        <w:rPr>
          <w:noProof/>
          <w:lang w:val="en-NZ"/>
        </w:rPr>
        <w:drawing>
          <wp:inline distT="0" distB="0" distL="0" distR="0">
            <wp:extent cx="5615940" cy="1838325"/>
            <wp:effectExtent l="19050" t="0" r="3810" b="0"/>
            <wp:docPr id="58" name="Picture 57" descr="Line graph showing 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1_HR.png"/>
                    <pic:cNvPicPr/>
                  </pic:nvPicPr>
                  <pic:blipFill>
                    <a:blip r:embed="rId31" cstate="print"/>
                    <a:stretch>
                      <a:fillRect/>
                    </a:stretch>
                  </pic:blipFill>
                  <pic:spPr>
                    <a:xfrm>
                      <a:off x="0" y="0"/>
                      <a:ext cx="5615940" cy="1838325"/>
                    </a:xfrm>
                    <a:prstGeom prst="rect">
                      <a:avLst/>
                    </a:prstGeom>
                  </pic:spPr>
                </pic:pic>
              </a:graphicData>
            </a:graphic>
          </wp:inline>
        </w:drawing>
      </w:r>
    </w:p>
    <w:p w:rsidR="00D13194" w:rsidRPr="00D13194" w:rsidRDefault="00D13194" w:rsidP="00D13194">
      <w:pPr>
        <w:pStyle w:val="TableFootnote"/>
        <w:spacing w:after="40"/>
        <w:rPr>
          <w:rFonts w:cs="OSML"/>
          <w:bCs w:val="0"/>
          <w:highlight w:val="yellow"/>
          <w:lang w:eastAsia="en-NZ"/>
        </w:rPr>
      </w:pPr>
    </w:p>
    <w:p w:rsidR="00DD655C" w:rsidRPr="00FA64F8" w:rsidRDefault="00DD655C" w:rsidP="007C70A4">
      <w:pPr>
        <w:pStyle w:val="BodyText"/>
      </w:pPr>
      <w:r w:rsidRPr="007904A0">
        <w:t xml:space="preserve">As with NCEA results, </w:t>
      </w:r>
      <w:r w:rsidRPr="00FA64F8">
        <w:t xml:space="preserve">15-year-old New Zealand girls achieved a significantly higher mean reading literacy score than boys in PISA 2009. This gender difference was common to all of the 65 countries participating in </w:t>
      </w:r>
      <w:r w:rsidR="00E37F39">
        <w:t>PISA 2009 for reading, but</w:t>
      </w:r>
      <w:r w:rsidRPr="00FA64F8">
        <w:t xml:space="preserve"> New Zealand had a larger gender difference than many other countries. </w:t>
      </w:r>
    </w:p>
    <w:p w:rsidR="00DD655C" w:rsidRPr="004278C3" w:rsidRDefault="00DD655C" w:rsidP="004278C3">
      <w:pPr>
        <w:pStyle w:val="Heading3"/>
      </w:pPr>
      <w:r w:rsidRPr="004278C3">
        <w:t>Socio-economic differences</w:t>
      </w:r>
    </w:p>
    <w:p w:rsidR="00DD655C" w:rsidRPr="00591FCE" w:rsidRDefault="00DD655C" w:rsidP="007C70A4">
      <w:pPr>
        <w:pStyle w:val="BodyText"/>
        <w:rPr>
          <w:highlight w:val="yellow"/>
        </w:rPr>
      </w:pPr>
      <w:r w:rsidRPr="005B14D7">
        <w:t>The gap in NCEA Level 1 literacy attainment between schools from highest and lowest deciles has reduced since 2008</w:t>
      </w:r>
      <w:r>
        <w:t xml:space="preserve">; </w:t>
      </w:r>
      <w:r w:rsidRPr="005B14D7">
        <w:t xml:space="preserve">there has been a 30% decrease in the difference between the lowest quintile (deciles 1 and 2) and the highest quintile (deciles 9 and 10). In 2012, </w:t>
      </w:r>
      <w:r>
        <w:t xml:space="preserve">however, </w:t>
      </w:r>
      <w:r w:rsidRPr="005B14D7">
        <w:t xml:space="preserve">there </w:t>
      </w:r>
      <w:r>
        <w:t>remained</w:t>
      </w:r>
      <w:r w:rsidRPr="005B14D7">
        <w:t xml:space="preserve"> a large (21.9</w:t>
      </w:r>
      <w:r w:rsidR="00E37F39">
        <w:t xml:space="preserve"> </w:t>
      </w:r>
      <w:r w:rsidRPr="005B14D7">
        <w:t xml:space="preserve">percentage point) difference between the NCEA Level 1 literacy attainment percentages of those schools in the lowest two deciles compared to schools from the top two deciles. </w:t>
      </w:r>
    </w:p>
    <w:p w:rsidR="00DD655C" w:rsidRPr="004278C3" w:rsidRDefault="00DD655C" w:rsidP="004278C3">
      <w:pPr>
        <w:pStyle w:val="Heading3"/>
      </w:pPr>
      <w:r w:rsidRPr="004278C3">
        <w:t>Attitudes towards reading</w:t>
      </w:r>
    </w:p>
    <w:p w:rsidR="00DD655C" w:rsidRPr="00FA64F8" w:rsidRDefault="00DD655C" w:rsidP="007C70A4">
      <w:pPr>
        <w:pStyle w:val="BodyText"/>
      </w:pPr>
      <w:r w:rsidRPr="00FA64F8">
        <w:t xml:space="preserve">New Zealand 15-year-olds in 2009 were more positive about reading than the average across the 34 OECD countries and they were slightly more positive than they were in PISA 2000. Just over two-thirds of the students read for enjoyment on a daily basis (69%), a </w:t>
      </w:r>
      <w:r w:rsidR="00E37F39">
        <w:t>similar proportion to PISA 2000</w:t>
      </w:r>
      <w:r w:rsidRPr="00FA64F8">
        <w:t xml:space="preserve"> but larger than the OECD average (63%).</w:t>
      </w:r>
    </w:p>
    <w:p w:rsidR="00DD655C" w:rsidRPr="00FA64F8" w:rsidRDefault="00DD655C" w:rsidP="00571CBB">
      <w:pPr>
        <w:pStyle w:val="Heading-Wheretofindmore"/>
      </w:pPr>
      <w:r w:rsidRPr="00FA64F8">
        <w:t>Where to find out more</w:t>
      </w:r>
    </w:p>
    <w:p w:rsidR="00DD655C" w:rsidRPr="00591FCE" w:rsidRDefault="006869EE" w:rsidP="00FE1B3D">
      <w:pPr>
        <w:pStyle w:val="Figure"/>
        <w:rPr>
          <w:highlight w:val="yellow"/>
        </w:rPr>
      </w:pPr>
      <w:r>
        <w:rPr>
          <w:noProof/>
          <w:lang w:val="en-NZ"/>
        </w:rPr>
        <w:drawing>
          <wp:inline distT="0" distB="0" distL="0" distR="0">
            <wp:extent cx="5613952" cy="920420"/>
            <wp:effectExtent l="19050" t="0" r="5798" b="0"/>
            <wp:docPr id="16" name="Picture 15" descr="Where to find out more:&#10;www.educationcounts.govt/nz&#10;&#10;For more information visit www.educationcounts.govt.nz/indicators/main/student-engagement-participation. Select Hours of participation in early childhood education or Participation in early childhood education or Prior participation in early childhood education: new entrants.&#10;&#10;Further information can be obtained from: www.educationcounts.govt.nz/publications/series. Select Quality teaching early foundations: Best evidence synthesis iteration (BES); &#10;or www.educationcounts.govt.nz/publications/ece. Select Competent Children, Competent Learners;&#10;or www.educationcounts.govt.nz/publications/ece. Select Early effects of 20 hours ECE or Impact of 20 hours ECE on playcentres 2008 or Outcomes of early childhood education: literature revie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out more - Chapter 3_Reading.png"/>
                    <pic:cNvPicPr/>
                  </pic:nvPicPr>
                  <pic:blipFill>
                    <a:blip r:embed="rId32" cstate="print"/>
                    <a:stretch>
                      <a:fillRect/>
                    </a:stretch>
                  </pic:blipFill>
                  <pic:spPr>
                    <a:xfrm>
                      <a:off x="0" y="0"/>
                      <a:ext cx="5613952" cy="920420"/>
                    </a:xfrm>
                    <a:prstGeom prst="rect">
                      <a:avLst/>
                    </a:prstGeom>
                  </pic:spPr>
                </pic:pic>
              </a:graphicData>
            </a:graphic>
          </wp:inline>
        </w:drawing>
      </w:r>
    </w:p>
    <w:p w:rsidR="00DD655C" w:rsidRDefault="00DD655C" w:rsidP="008662DE">
      <w:pPr>
        <w:pStyle w:val="Heading2"/>
      </w:pPr>
      <w:bookmarkStart w:id="120" w:name="_Toc303511360"/>
      <w:bookmarkStart w:id="121" w:name="_Toc289074844"/>
      <w:bookmarkStart w:id="122" w:name="_Toc289088764"/>
      <w:bookmarkStart w:id="123" w:name="_Toc300319668"/>
      <w:r w:rsidRPr="00591FCE">
        <w:rPr>
          <w:highlight w:val="yellow"/>
        </w:rPr>
        <w:br w:type="page"/>
      </w:r>
      <w:bookmarkStart w:id="124" w:name="_Toc304799243"/>
      <w:bookmarkStart w:id="125" w:name="_Toc367361636"/>
      <w:r w:rsidRPr="00053823">
        <w:t>Mathematics</w:t>
      </w:r>
      <w:bookmarkEnd w:id="120"/>
      <w:bookmarkEnd w:id="124"/>
      <w:bookmarkEnd w:id="125"/>
      <w:r w:rsidRPr="00053823">
        <w:t xml:space="preserve"> </w:t>
      </w:r>
      <w:bookmarkEnd w:id="121"/>
      <w:bookmarkEnd w:id="122"/>
      <w:bookmarkEnd w:id="123"/>
    </w:p>
    <w:p w:rsidR="00DD655C" w:rsidRPr="00733A67" w:rsidRDefault="00DD655C" w:rsidP="004278C3">
      <w:pPr>
        <w:pStyle w:val="Heading2"/>
      </w:pPr>
      <w:bookmarkStart w:id="126" w:name="_Toc304799244"/>
      <w:bookmarkStart w:id="127" w:name="_Toc367361637"/>
      <w:r w:rsidRPr="00733A67">
        <w:t>Mathematics in primary schooling</w:t>
      </w:r>
      <w:bookmarkEnd w:id="126"/>
      <w:bookmarkEnd w:id="127"/>
    </w:p>
    <w:p w:rsidR="00DD655C" w:rsidRDefault="00DD655C" w:rsidP="007C70A4">
      <w:pPr>
        <w:pStyle w:val="BodyText"/>
      </w:pPr>
      <w:r w:rsidRPr="00053823">
        <w:t>The revised mathematics curriculum documents for English medium (Ministry of Education, 2007) and Māori medi</w:t>
      </w:r>
      <w:r>
        <w:t>um (Ministry of Education, 2008a</w:t>
      </w:r>
      <w:r w:rsidRPr="00053823">
        <w:t>) are based on research evidence about progressions in students’ thinking and emphasise conceptual development and understanding. The curriculum levels reflect rese</w:t>
      </w:r>
      <w:r w:rsidR="00A74AEB">
        <w:t>arch evidence that shows student</w:t>
      </w:r>
      <w:r w:rsidRPr="00053823">
        <w:t xml:space="preserve">s need to </w:t>
      </w:r>
      <w:r w:rsidR="00A74AEB">
        <w:t>understand multiplication and division</w:t>
      </w:r>
      <w:r w:rsidRPr="00053823">
        <w:t xml:space="preserve"> to engage meaningfully with algebra in secondary schooling (Young-Loveridge, 2010). </w:t>
      </w:r>
      <w:r>
        <w:t xml:space="preserve">A recent ERO review on mathematics in years 4-8 concludes that many schools could improve the ways in which they review and develop their mathematics curricula, particularly with regard to improving </w:t>
      </w:r>
      <w:r w:rsidR="00A74AEB">
        <w:t>the performance of priority student</w:t>
      </w:r>
      <w:r>
        <w:t>s (ERO, 2013</w:t>
      </w:r>
      <w:r w:rsidR="00EA6BF7">
        <w:t>b</w:t>
      </w:r>
      <w:r>
        <w:t>). Thirty-eight per</w:t>
      </w:r>
      <w:r w:rsidR="00AB3911">
        <w:t xml:space="preserve"> </w:t>
      </w:r>
      <w:r>
        <w:t>cent of the 240 schools included in the study were either minimally effective or not effective in their review and design of mathematics curricula.</w:t>
      </w:r>
    </w:p>
    <w:p w:rsidR="00DD655C" w:rsidRDefault="00DD655C" w:rsidP="004278C3">
      <w:pPr>
        <w:pStyle w:val="Heading3"/>
        <w:rPr>
          <w:lang w:eastAsia="en-NZ"/>
        </w:rPr>
      </w:pPr>
      <w:r w:rsidRPr="00591FCE">
        <w:rPr>
          <w:lang w:eastAsia="en-NZ"/>
        </w:rPr>
        <w:t>Accelerated Learning</w:t>
      </w:r>
      <w:r>
        <w:rPr>
          <w:lang w:eastAsia="en-NZ"/>
        </w:rPr>
        <w:t xml:space="preserve"> in Mathematics</w:t>
      </w:r>
    </w:p>
    <w:p w:rsidR="00766927" w:rsidRDefault="00766927" w:rsidP="00766927">
      <w:pPr>
        <w:pStyle w:val="BodyText"/>
      </w:pPr>
      <w:r>
        <w:t>In 2011</w:t>
      </w:r>
      <w:r w:rsidR="00C54418">
        <w:t xml:space="preserve">, </w:t>
      </w:r>
      <w:r w:rsidRPr="00591FCE">
        <w:t xml:space="preserve">the Ministry implemented a range of initiatives under the framework of ‘Programmes for Students’ in order to support schools in improving educational outcomes for students failing to meet the National Standards. </w:t>
      </w:r>
      <w:r>
        <w:t>These</w:t>
      </w:r>
      <w:r w:rsidRPr="00591FCE">
        <w:t xml:space="preserve"> </w:t>
      </w:r>
      <w:r>
        <w:t>programmes</w:t>
      </w:r>
      <w:r w:rsidRPr="00591FCE">
        <w:t xml:space="preserve"> support</w:t>
      </w:r>
      <w:r>
        <w:t xml:space="preserve">ed </w:t>
      </w:r>
      <w:r w:rsidRPr="00591FCE">
        <w:t>principals and programme teachers from selected primary and intermediate schools to design intensive programmes in reading</w:t>
      </w:r>
      <w:r>
        <w:t>,</w:t>
      </w:r>
      <w:r w:rsidRPr="00591FCE">
        <w:t xml:space="preserve"> writing </w:t>
      </w:r>
      <w:r>
        <w:t xml:space="preserve">and mathematics </w:t>
      </w:r>
      <w:r w:rsidRPr="00591FCE">
        <w:t>for small group</w:t>
      </w:r>
      <w:r>
        <w:t>s</w:t>
      </w:r>
      <w:r w:rsidRPr="00591FCE">
        <w:t xml:space="preserve"> of students </w:t>
      </w:r>
      <w:r>
        <w:t>over 1</w:t>
      </w:r>
      <w:r w:rsidRPr="00591FCE">
        <w:t>0</w:t>
      </w:r>
      <w:r w:rsidR="00C54418">
        <w:rPr>
          <w:rFonts w:cs="Arial"/>
        </w:rPr>
        <w:t>–</w:t>
      </w:r>
      <w:r>
        <w:t>15</w:t>
      </w:r>
      <w:r w:rsidRPr="00591FCE">
        <w:t xml:space="preserve"> weeks</w:t>
      </w:r>
      <w:r w:rsidR="00EF0FEC">
        <w:t>.</w:t>
      </w:r>
    </w:p>
    <w:p w:rsidR="00766927" w:rsidRDefault="00766927" w:rsidP="00766927">
      <w:r w:rsidRPr="00591FCE">
        <w:t xml:space="preserve">One of these initiatives was Accelerated </w:t>
      </w:r>
      <w:r>
        <w:t xml:space="preserve">Learning in Mathematics </w:t>
      </w:r>
      <w:r w:rsidRPr="00591FCE">
        <w:t>(AL</w:t>
      </w:r>
      <w:r>
        <w:t>iM</w:t>
      </w:r>
      <w:r w:rsidRPr="00591FCE">
        <w:t xml:space="preserve">), </w:t>
      </w:r>
      <w:r>
        <w:t>a programme designed to accelerate progress in mathematics for students failing to meet the National Standards in mathematics</w:t>
      </w:r>
      <w:r w:rsidRPr="00591FCE">
        <w:t xml:space="preserve">. </w:t>
      </w:r>
      <w:r>
        <w:t>The initiative was developed from the Accelerated Learning in Mathematics Pilot Study, which was run in 39 schools during 2010 and found to be successful in raising student achievement in mathematics (Neill, Fisher, &amp; Dingle, 2010).</w:t>
      </w:r>
    </w:p>
    <w:p w:rsidR="00766927" w:rsidRPr="00C31FF7" w:rsidRDefault="00766927" w:rsidP="00766927">
      <w:pPr>
        <w:rPr>
          <w:rFonts w:cs="Arial"/>
          <w:szCs w:val="22"/>
        </w:rPr>
      </w:pPr>
      <w:r>
        <w:t>T</w:t>
      </w:r>
      <w:r w:rsidRPr="00FB713E">
        <w:t xml:space="preserve">he University of Waikato undertook </w:t>
      </w:r>
      <w:r>
        <w:t>an</w:t>
      </w:r>
      <w:r w:rsidRPr="00FB713E">
        <w:t xml:space="preserve"> evaluation</w:t>
      </w:r>
      <w:r>
        <w:t xml:space="preserve"> of the 2011 ‘Programmes for Students’ with schools who took part in the programmes during Term 3, 2011 </w:t>
      </w:r>
      <w:r w:rsidRPr="00591FCE">
        <w:t>(Cowie, McGee, Peter, Taylor and Chen, 2012).</w:t>
      </w:r>
      <w:r>
        <w:t xml:space="preserve"> </w:t>
      </w:r>
      <w:r w:rsidRPr="00381604">
        <w:rPr>
          <w:rFonts w:cs="Arial"/>
          <w:szCs w:val="22"/>
        </w:rPr>
        <w:t xml:space="preserve">The </w:t>
      </w:r>
      <w:r>
        <w:rPr>
          <w:rFonts w:cs="Arial"/>
          <w:szCs w:val="22"/>
        </w:rPr>
        <w:t xml:space="preserve">evaluation found the </w:t>
      </w:r>
      <w:r w:rsidRPr="00381604">
        <w:rPr>
          <w:rFonts w:cs="Arial"/>
          <w:szCs w:val="22"/>
        </w:rPr>
        <w:t xml:space="preserve">majority of students accelerated their learning </w:t>
      </w:r>
      <w:r>
        <w:rPr>
          <w:rFonts w:cs="Arial"/>
          <w:szCs w:val="22"/>
        </w:rPr>
        <w:t xml:space="preserve">in reading, writing, and mathematics </w:t>
      </w:r>
      <w:r w:rsidRPr="00381604">
        <w:rPr>
          <w:rFonts w:cs="Arial"/>
          <w:szCs w:val="22"/>
        </w:rPr>
        <w:t>during the programmes</w:t>
      </w:r>
      <w:r>
        <w:rPr>
          <w:rFonts w:cs="Arial"/>
          <w:szCs w:val="22"/>
        </w:rPr>
        <w:t>;</w:t>
      </w:r>
      <w:r w:rsidRPr="00381604">
        <w:rPr>
          <w:rFonts w:cs="Arial"/>
          <w:szCs w:val="22"/>
        </w:rPr>
        <w:t xml:space="preserve"> that is, their achievement increased mor</w:t>
      </w:r>
      <w:r>
        <w:rPr>
          <w:rFonts w:cs="Arial"/>
          <w:szCs w:val="22"/>
        </w:rPr>
        <w:t>e in the programmes than would have otherwise occurred</w:t>
      </w:r>
      <w:r w:rsidRPr="00381604">
        <w:rPr>
          <w:rFonts w:cs="Arial"/>
          <w:szCs w:val="22"/>
        </w:rPr>
        <w:t xml:space="preserve"> in the equivalent classroom time.</w:t>
      </w:r>
      <w:r w:rsidRPr="00C31FF7">
        <w:rPr>
          <w:rFonts w:cs="Arial"/>
          <w:szCs w:val="22"/>
        </w:rPr>
        <w:t xml:space="preserve"> </w:t>
      </w:r>
    </w:p>
    <w:p w:rsidR="00766927" w:rsidRDefault="00766927" w:rsidP="00766927">
      <w:pPr>
        <w:pStyle w:val="BodyText"/>
      </w:pPr>
      <w:r>
        <w:t>The ‘Programmes for Students’ initiatives were implemented again in schools in 2012. Around 340 schools were involved in the ALiM programme in 2012</w:t>
      </w:r>
      <w:r w:rsidR="00EF0FEC">
        <w:t>,</w:t>
      </w:r>
      <w:r>
        <w:t xml:space="preserve"> providing programmes to students in years 1</w:t>
      </w:r>
      <w:r w:rsidR="00C54418">
        <w:rPr>
          <w:rFonts w:cs="Arial"/>
        </w:rPr>
        <w:t>–</w:t>
      </w:r>
      <w:r>
        <w:t xml:space="preserve">8. The Ministry also trialled a Mathematics Support Teacher programme in 76 schools in 2012. This programme was developed to support students achieving ‘well below’ the National Standard for mathematics. </w:t>
      </w:r>
    </w:p>
    <w:p w:rsidR="00DD655C" w:rsidRPr="00DD655C" w:rsidRDefault="00DD655C" w:rsidP="004278C3">
      <w:pPr>
        <w:pStyle w:val="Heading3"/>
        <w:rPr>
          <w:szCs w:val="18"/>
          <w:lang w:eastAsia="en-NZ"/>
        </w:rPr>
      </w:pPr>
      <w:r w:rsidRPr="00486A6A">
        <w:rPr>
          <w:lang w:eastAsia="en-NZ"/>
        </w:rPr>
        <w:t xml:space="preserve">National Standards </w:t>
      </w:r>
      <w:r w:rsidR="00C54418">
        <w:rPr>
          <w:rFonts w:cs="Times New Roman"/>
          <w:lang w:eastAsia="en-NZ"/>
        </w:rPr>
        <w:t>―</w:t>
      </w:r>
      <w:r w:rsidRPr="00486A6A">
        <w:rPr>
          <w:lang w:eastAsia="en-NZ"/>
        </w:rPr>
        <w:t xml:space="preserve"> mathematics</w:t>
      </w:r>
    </w:p>
    <w:p w:rsidR="00DD655C" w:rsidRDefault="00DD655C" w:rsidP="007C70A4">
      <w:pPr>
        <w:pStyle w:val="BodyText"/>
      </w:pPr>
      <w:r>
        <w:t xml:space="preserve">In 2012, 73.6% of </w:t>
      </w:r>
      <w:r w:rsidR="00C54418">
        <w:t>y</w:t>
      </w:r>
      <w:r>
        <w:t>ear 1</w:t>
      </w:r>
      <w:r w:rsidR="00C54418">
        <w:rPr>
          <w:rFonts w:cs="Arial"/>
        </w:rPr>
        <w:t>–</w:t>
      </w:r>
      <w:r>
        <w:t>8 students were at or above the National Standard for mathematics for their year level. This is an increase of 1.4 percentage points on the proportion of students meeting the mathematics standard for their year level in 2011 (72.2%).</w:t>
      </w:r>
    </w:p>
    <w:p w:rsidR="00DD655C" w:rsidRPr="00F96A73" w:rsidRDefault="00DD655C" w:rsidP="00DD655C">
      <w:pPr>
        <w:pStyle w:val="FigureHeading"/>
      </w:pPr>
      <w:bookmarkStart w:id="128" w:name="_Toc367361589"/>
      <w:r>
        <w:t>Proportion of students meeting the National Standard for Mathematics, 2011</w:t>
      </w:r>
      <w:r w:rsidR="00C54418">
        <w:rPr>
          <w:rFonts w:cs="Arial"/>
        </w:rPr>
        <w:t>–</w:t>
      </w:r>
      <w:r>
        <w:t>2012</w:t>
      </w:r>
      <w:bookmarkEnd w:id="128"/>
    </w:p>
    <w:p w:rsidR="00DD655C" w:rsidRDefault="00F32AF8" w:rsidP="00FE1B3D">
      <w:pPr>
        <w:pStyle w:val="Figure"/>
      </w:pPr>
      <w:r>
        <w:rPr>
          <w:noProof/>
          <w:lang w:val="en-NZ"/>
        </w:rPr>
        <w:drawing>
          <wp:inline distT="0" distB="0" distL="0" distR="0">
            <wp:extent cx="5615940" cy="1915795"/>
            <wp:effectExtent l="19050" t="0" r="3810" b="0"/>
            <wp:docPr id="59" name="Picture 58" descr="Stacked column graph showing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2_HR.png"/>
                    <pic:cNvPicPr/>
                  </pic:nvPicPr>
                  <pic:blipFill>
                    <a:blip r:embed="rId33" cstate="print"/>
                    <a:stretch>
                      <a:fillRect/>
                    </a:stretch>
                  </pic:blipFill>
                  <pic:spPr>
                    <a:xfrm>
                      <a:off x="0" y="0"/>
                      <a:ext cx="5615940" cy="1915795"/>
                    </a:xfrm>
                    <a:prstGeom prst="rect">
                      <a:avLst/>
                    </a:prstGeom>
                  </pic:spPr>
                </pic:pic>
              </a:graphicData>
            </a:graphic>
          </wp:inline>
        </w:drawing>
      </w:r>
    </w:p>
    <w:p w:rsidR="00D13194" w:rsidRPr="00FE1B3D" w:rsidRDefault="00D13194" w:rsidP="00FE1B3D">
      <w:pPr>
        <w:pStyle w:val="TableFootnote"/>
      </w:pPr>
    </w:p>
    <w:p w:rsidR="00B0207C" w:rsidRDefault="00DB366A" w:rsidP="004278C3">
      <w:pPr>
        <w:pStyle w:val="Heading3"/>
      </w:pPr>
      <w:r>
        <w:t>Ngā Whanaketanga Pāngarau</w:t>
      </w:r>
    </w:p>
    <w:p w:rsidR="00DB366A" w:rsidRPr="00DB366A" w:rsidRDefault="00EB63EF" w:rsidP="00DB366A">
      <w:pPr>
        <w:rPr>
          <w:lang w:val="en-NZ"/>
        </w:rPr>
      </w:pPr>
      <w:r>
        <w:rPr>
          <w:lang w:val="en-NZ"/>
        </w:rPr>
        <w:t>Compared with all other achievement areas</w:t>
      </w:r>
      <w:r w:rsidR="00DB366A">
        <w:rPr>
          <w:lang w:val="en-NZ"/>
        </w:rPr>
        <w:t>, students in kura and schools using Ngā Whanaketanga Rumaki Māori showed the l</w:t>
      </w:r>
      <w:r>
        <w:rPr>
          <w:lang w:val="en-NZ"/>
        </w:rPr>
        <w:t>owest level of achievement for P</w:t>
      </w:r>
      <w:r w:rsidR="00DB366A">
        <w:rPr>
          <w:lang w:val="en-NZ"/>
        </w:rPr>
        <w:t>āngarau (grouped)</w:t>
      </w:r>
      <w:r w:rsidR="00DB366A">
        <w:rPr>
          <w:rStyle w:val="FootnoteReference"/>
          <w:lang w:val="en-NZ"/>
        </w:rPr>
        <w:footnoteReference w:id="12"/>
      </w:r>
      <w:r w:rsidR="00DB366A">
        <w:rPr>
          <w:lang w:val="en-NZ"/>
        </w:rPr>
        <w:t xml:space="preserve"> </w:t>
      </w:r>
      <w:r>
        <w:rPr>
          <w:lang w:val="en-NZ"/>
        </w:rPr>
        <w:t>in 2012</w:t>
      </w:r>
      <w:r w:rsidR="00DB366A">
        <w:rPr>
          <w:lang w:val="en-NZ"/>
        </w:rPr>
        <w:t xml:space="preserve">, with 60.0% of students achieving Manawa Ora or Manawa Toa. </w:t>
      </w:r>
      <w:r>
        <w:rPr>
          <w:lang w:val="en-NZ"/>
        </w:rPr>
        <w:t>Of the strands that comprise Pāngarau (grouped), achievement was highest for Te Tau me te Taurangi (60.6% Manawa Ora or Manawa Toa), followed by Te Ine me te Āhuahanga (57.5%) and Te Tauanga me te Tūponotanga (55.3%).</w:t>
      </w:r>
    </w:p>
    <w:p w:rsidR="00DD655C" w:rsidRPr="004278C3" w:rsidRDefault="00DD655C" w:rsidP="004278C3">
      <w:pPr>
        <w:pStyle w:val="Heading3"/>
      </w:pPr>
      <w:r w:rsidRPr="004278C3">
        <w:t>International differences</w:t>
      </w:r>
    </w:p>
    <w:p w:rsidR="00DD655C" w:rsidRDefault="00DD655C" w:rsidP="00DD655C">
      <w:pPr>
        <w:rPr>
          <w:lang w:val="en-NZ"/>
        </w:rPr>
      </w:pPr>
      <w:r w:rsidRPr="00591FCE">
        <w:rPr>
          <w:lang w:val="en-NZ"/>
        </w:rPr>
        <w:t xml:space="preserve">The </w:t>
      </w:r>
      <w:r>
        <w:rPr>
          <w:lang w:val="en-NZ"/>
        </w:rPr>
        <w:t>Trends in International Mathematics and Science Study (TIMSS)</w:t>
      </w:r>
      <w:r w:rsidRPr="00591FCE">
        <w:rPr>
          <w:lang w:val="en-NZ"/>
        </w:rPr>
        <w:t xml:space="preserve"> </w:t>
      </w:r>
      <w:r>
        <w:rPr>
          <w:lang w:val="en-NZ"/>
        </w:rPr>
        <w:t>is an international comparative study of mathematics and science achievement at years 5 and 9, conducted on a regular four-year cycle since 1994/95. Students are assessed in two dimensions for both mathematics and science: a content dimension (specifying the subject matter to be assessed) and a cognitive dimension (assessing thinking processes). The fifth cycle of</w:t>
      </w:r>
      <w:r w:rsidR="00154E44">
        <w:rPr>
          <w:lang w:val="en-NZ"/>
        </w:rPr>
        <w:t xml:space="preserve"> TIMSS was conducted in 2010/11</w:t>
      </w:r>
      <w:r>
        <w:rPr>
          <w:lang w:val="en-NZ"/>
        </w:rPr>
        <w:t xml:space="preserve"> and included 50 countries at year 5 and 44 countries at year 9.</w:t>
      </w:r>
    </w:p>
    <w:p w:rsidR="00DD655C" w:rsidRDefault="00DD655C" w:rsidP="00DD655C">
      <w:pPr>
        <w:rPr>
          <w:lang w:val="en-NZ"/>
        </w:rPr>
      </w:pPr>
      <w:r>
        <w:rPr>
          <w:lang w:val="en-NZ"/>
        </w:rPr>
        <w:t>New Zealand year 5 students had relatively low mathematics achievement in the TIMSS 2010/11 cycle when compared to the international TIMSS scale centre point, with 29 countries (including all other English-speaking countri</w:t>
      </w:r>
      <w:r w:rsidR="00154E44">
        <w:rPr>
          <w:lang w:val="en-NZ"/>
        </w:rPr>
        <w:t>es) achieving higher on average</w:t>
      </w:r>
      <w:r>
        <w:rPr>
          <w:lang w:val="en-NZ"/>
        </w:rPr>
        <w:t xml:space="preserve"> </w:t>
      </w:r>
      <w:r w:rsidR="007645D0">
        <w:rPr>
          <w:lang w:val="en-NZ"/>
        </w:rPr>
        <w:t xml:space="preserve">than New Zealand </w:t>
      </w:r>
      <w:r>
        <w:rPr>
          <w:lang w:val="en-NZ"/>
        </w:rPr>
        <w:t xml:space="preserve">and 16 countries achieving </w:t>
      </w:r>
      <w:r w:rsidR="007645D0">
        <w:rPr>
          <w:lang w:val="en-NZ"/>
        </w:rPr>
        <w:t>lower on average</w:t>
      </w:r>
      <w:r w:rsidR="00154E44">
        <w:rPr>
          <w:lang w:val="en-NZ"/>
        </w:rPr>
        <w:t xml:space="preserve"> than </w:t>
      </w:r>
      <w:r>
        <w:rPr>
          <w:lang w:val="en-NZ"/>
        </w:rPr>
        <w:t xml:space="preserve">New Zealand (Caygill, Kirkham and Marshall, 2013a). While the mean achievement of year 5 students in 2010/11 was not different to the </w:t>
      </w:r>
      <w:r w:rsidR="007645D0">
        <w:rPr>
          <w:lang w:val="en-NZ"/>
        </w:rPr>
        <w:t>mean</w:t>
      </w:r>
      <w:r>
        <w:rPr>
          <w:lang w:val="en-NZ"/>
        </w:rPr>
        <w:t xml:space="preserve"> achievement in 2006/07, mathematics achievement in 2010/11 was significantly lower than achievement in 2002/03. </w:t>
      </w:r>
    </w:p>
    <w:p w:rsidR="00DD655C" w:rsidRPr="00591FCE" w:rsidRDefault="00DD655C" w:rsidP="00DD655C">
      <w:pPr>
        <w:rPr>
          <w:lang w:val="en-NZ"/>
        </w:rPr>
      </w:pPr>
      <w:r>
        <w:rPr>
          <w:lang w:val="en-NZ"/>
        </w:rPr>
        <w:t>Compared to their international counterparts, New Zealand year 5 students displayed a moderate range of achievement, with four per</w:t>
      </w:r>
      <w:r w:rsidR="00AB3911">
        <w:rPr>
          <w:lang w:val="en-NZ"/>
        </w:rPr>
        <w:t xml:space="preserve"> </w:t>
      </w:r>
      <w:r>
        <w:rPr>
          <w:lang w:val="en-NZ"/>
        </w:rPr>
        <w:t xml:space="preserve">cent of students achieving at the highest level in mathematics (equal to the international median) and 15% of students </w:t>
      </w:r>
      <w:r w:rsidR="00FB0779">
        <w:rPr>
          <w:lang w:val="en-NZ"/>
        </w:rPr>
        <w:t>not</w:t>
      </w:r>
      <w:r>
        <w:rPr>
          <w:lang w:val="en-NZ"/>
        </w:rPr>
        <w:t xml:space="preserve"> reach</w:t>
      </w:r>
      <w:r w:rsidR="00FB0779">
        <w:rPr>
          <w:lang w:val="en-NZ"/>
        </w:rPr>
        <w:t>ing</w:t>
      </w:r>
      <w:r>
        <w:rPr>
          <w:lang w:val="en-NZ"/>
        </w:rPr>
        <w:t xml:space="preserve"> the lowest level of achievement. This was, however, a relatively high proportion of low-achieving students when compared to countries with similar proportions of students at the highest level of achievement; in the highest-performing countries, one per</w:t>
      </w:r>
      <w:r w:rsidR="00AB3911">
        <w:rPr>
          <w:lang w:val="en-NZ"/>
        </w:rPr>
        <w:t xml:space="preserve"> </w:t>
      </w:r>
      <w:r>
        <w:rPr>
          <w:lang w:val="en-NZ"/>
        </w:rPr>
        <w:t xml:space="preserve">cent or less of students </w:t>
      </w:r>
      <w:r w:rsidR="00FB0779">
        <w:rPr>
          <w:lang w:val="en-NZ"/>
        </w:rPr>
        <w:t>did not</w:t>
      </w:r>
      <w:r>
        <w:rPr>
          <w:lang w:val="en-NZ"/>
        </w:rPr>
        <w:t xml:space="preserve"> reach the low international benchmark. </w:t>
      </w:r>
    </w:p>
    <w:p w:rsidR="00FE1B3D" w:rsidRPr="0096169F" w:rsidRDefault="00FE1B3D" w:rsidP="0096169F">
      <w:pPr>
        <w:pStyle w:val="BodyText"/>
        <w:rPr>
          <w:szCs w:val="22"/>
        </w:rPr>
      </w:pPr>
      <w:r w:rsidRPr="0096169F">
        <w:br w:type="page"/>
      </w:r>
    </w:p>
    <w:p w:rsidR="00DD655C" w:rsidRPr="004278C3" w:rsidRDefault="00DD655C" w:rsidP="004278C3">
      <w:pPr>
        <w:pStyle w:val="Heading3"/>
      </w:pPr>
      <w:r w:rsidRPr="004278C3">
        <w:t>Ethnic grouping differences</w:t>
      </w:r>
    </w:p>
    <w:p w:rsidR="00DD655C" w:rsidRPr="0098397C" w:rsidRDefault="00DD655C" w:rsidP="00CF1F50">
      <w:pPr>
        <w:pStyle w:val="Heading4"/>
        <w:rPr>
          <w:lang w:val="en-NZ"/>
        </w:rPr>
      </w:pPr>
      <w:r w:rsidRPr="0098397C">
        <w:rPr>
          <w:lang w:val="en-NZ"/>
        </w:rPr>
        <w:t>National Standards</w:t>
      </w:r>
    </w:p>
    <w:p w:rsidR="00DD655C" w:rsidRPr="0098397C" w:rsidRDefault="00DD655C" w:rsidP="00DD655C">
      <w:pPr>
        <w:rPr>
          <w:lang w:val="en-NZ"/>
        </w:rPr>
      </w:pPr>
      <w:r w:rsidRPr="0098397C">
        <w:rPr>
          <w:lang w:val="en-NZ"/>
        </w:rPr>
        <w:t xml:space="preserve">The proportions of Māori (63.6%) and Pasifika (59.7%) students at or above the mathematics standard for their year level were both significantly lower than </w:t>
      </w:r>
      <w:r w:rsidR="00154E44">
        <w:rPr>
          <w:lang w:val="en-NZ"/>
        </w:rPr>
        <w:t xml:space="preserve">the </w:t>
      </w:r>
      <w:r w:rsidRPr="0098397C">
        <w:rPr>
          <w:lang w:val="en-NZ"/>
        </w:rPr>
        <w:t>overall proportion of students at or above the mathematics standard. The proportion of Pasifika students meeting the reading standard increased by 3.0 percenta</w:t>
      </w:r>
      <w:r w:rsidR="00154E44">
        <w:rPr>
          <w:lang w:val="en-NZ"/>
        </w:rPr>
        <w:t>ge points between 2011 and 2012</w:t>
      </w:r>
      <w:r w:rsidRPr="0098397C">
        <w:rPr>
          <w:lang w:val="en-NZ"/>
        </w:rPr>
        <w:t xml:space="preserve"> while the proportion of Māori students increased by 1.1 percentage points over the same time period.</w:t>
      </w:r>
    </w:p>
    <w:p w:rsidR="00DD655C" w:rsidRDefault="00DD655C" w:rsidP="00CF1F50">
      <w:pPr>
        <w:pStyle w:val="Heading4"/>
        <w:rPr>
          <w:lang w:val="en-NZ"/>
        </w:rPr>
      </w:pPr>
      <w:r>
        <w:rPr>
          <w:lang w:val="en-NZ"/>
        </w:rPr>
        <w:t>TIMS</w:t>
      </w:r>
      <w:r w:rsidRPr="00591FCE">
        <w:rPr>
          <w:lang w:val="en-NZ"/>
        </w:rPr>
        <w:t>S 2010/11</w:t>
      </w:r>
    </w:p>
    <w:p w:rsidR="00DD655C" w:rsidRDefault="00DD655C" w:rsidP="00DD655C">
      <w:pPr>
        <w:rPr>
          <w:lang w:val="en-NZ"/>
        </w:rPr>
      </w:pPr>
      <w:r>
        <w:rPr>
          <w:lang w:val="en-NZ"/>
        </w:rPr>
        <w:t>Across all ethnic groupings there were high-performing and</w:t>
      </w:r>
      <w:r w:rsidR="004D7E7F">
        <w:rPr>
          <w:lang w:val="en-NZ"/>
        </w:rPr>
        <w:t xml:space="preserve"> low-performing year 5 students</w:t>
      </w:r>
      <w:r>
        <w:rPr>
          <w:lang w:val="en-NZ"/>
        </w:rPr>
        <w:t xml:space="preserve"> </w:t>
      </w:r>
      <w:r w:rsidR="00154E44">
        <w:rPr>
          <w:lang w:val="en-NZ"/>
        </w:rPr>
        <w:t>but</w:t>
      </w:r>
      <w:r>
        <w:rPr>
          <w:lang w:val="en-NZ"/>
        </w:rPr>
        <w:t xml:space="preserve"> Pākehā/European and Asian students achieved higher mean scores than Māori and Pasifika students in the TIMSS 2010/11 cycle. In addition, comparatively higher proportions of Asian and Pākehā/European students reached the highest TIMSS Benchmark.</w:t>
      </w:r>
      <w:r w:rsidR="00235FD2">
        <w:rPr>
          <w:lang w:val="en-NZ"/>
        </w:rPr>
        <w:t xml:space="preserve"> </w:t>
      </w:r>
      <w:r>
        <w:rPr>
          <w:lang w:val="en-NZ"/>
        </w:rPr>
        <w:t>Māori and Pasifika students were over-represented among the lowest levels</w:t>
      </w:r>
      <w:r w:rsidR="004D7E7F">
        <w:rPr>
          <w:lang w:val="en-NZ"/>
        </w:rPr>
        <w:t xml:space="preserve"> of achievement:</w:t>
      </w:r>
      <w:r>
        <w:rPr>
          <w:lang w:val="en-NZ"/>
        </w:rPr>
        <w:t xml:space="preserve"> 29% of both Māori</w:t>
      </w:r>
      <w:r w:rsidR="00FB0779">
        <w:rPr>
          <w:lang w:val="en-NZ"/>
        </w:rPr>
        <w:t xml:space="preserve"> and Pasifika students did not</w:t>
      </w:r>
      <w:r>
        <w:rPr>
          <w:lang w:val="en-NZ"/>
        </w:rPr>
        <w:t xml:space="preserve"> reach the lowest international benchmark, compared to </w:t>
      </w:r>
      <w:r w:rsidR="00C54418">
        <w:rPr>
          <w:lang w:val="en-NZ"/>
        </w:rPr>
        <w:t>nine per cent</w:t>
      </w:r>
      <w:r>
        <w:rPr>
          <w:lang w:val="en-NZ"/>
        </w:rPr>
        <w:t xml:space="preserve"> of both Asian and Pākehā/European students.</w:t>
      </w:r>
    </w:p>
    <w:p w:rsidR="00DD655C" w:rsidRPr="00B357E1" w:rsidRDefault="004D7E7F" w:rsidP="00DD655C">
      <w:pPr>
        <w:rPr>
          <w:lang w:val="en-NZ"/>
        </w:rPr>
      </w:pPr>
      <w:r>
        <w:rPr>
          <w:lang w:val="en-NZ"/>
        </w:rPr>
        <w:t>Since the last cycle in 2006/07</w:t>
      </w:r>
      <w:r w:rsidR="00DD655C">
        <w:rPr>
          <w:lang w:val="en-NZ"/>
        </w:rPr>
        <w:t xml:space="preserve"> there has been a significant decrease in the mathematics achievement of year 5 Asian students, and a significant increase in achievement among Pasifika students; no significant difference was found for Māori or Pākehā/European students. </w:t>
      </w:r>
    </w:p>
    <w:p w:rsidR="00DD655C" w:rsidRPr="004278C3" w:rsidRDefault="00DD655C" w:rsidP="004278C3">
      <w:pPr>
        <w:pStyle w:val="Heading3"/>
      </w:pPr>
      <w:r w:rsidRPr="004278C3">
        <w:t>Gender differences</w:t>
      </w:r>
    </w:p>
    <w:p w:rsidR="00DD655C" w:rsidRDefault="00DD655C" w:rsidP="00CF1F50">
      <w:pPr>
        <w:pStyle w:val="Heading4"/>
        <w:rPr>
          <w:lang w:val="en-NZ"/>
        </w:rPr>
      </w:pPr>
      <w:r w:rsidRPr="0098397C">
        <w:rPr>
          <w:lang w:val="en-NZ"/>
        </w:rPr>
        <w:t>National Standards</w:t>
      </w:r>
    </w:p>
    <w:p w:rsidR="00DD655C" w:rsidRDefault="00DD655C" w:rsidP="00DD655C">
      <w:pPr>
        <w:rPr>
          <w:lang w:val="en-NZ"/>
        </w:rPr>
      </w:pPr>
      <w:r>
        <w:rPr>
          <w:lang w:val="en-NZ"/>
        </w:rPr>
        <w:t xml:space="preserve">There was little difference between girls (74.1%) and boys (73.0%) in the proportions achieving at or above their year level’s mathematics standard. The </w:t>
      </w:r>
      <w:r w:rsidR="004D7E7F">
        <w:rPr>
          <w:lang w:val="en-NZ"/>
        </w:rPr>
        <w:t xml:space="preserve">apparent </w:t>
      </w:r>
      <w:r>
        <w:rPr>
          <w:lang w:val="en-NZ"/>
        </w:rPr>
        <w:t>difference in achiev</w:t>
      </w:r>
      <w:r w:rsidR="004D7E7F">
        <w:rPr>
          <w:lang w:val="en-NZ"/>
        </w:rPr>
        <w:t>ement between boys and girls</w:t>
      </w:r>
      <w:r>
        <w:rPr>
          <w:lang w:val="en-NZ"/>
        </w:rPr>
        <w:t xml:space="preserve"> increased slightly, however, from 0.8 of a percentage point in 2011 to 1.1 percentage points in 2012.</w:t>
      </w:r>
    </w:p>
    <w:p w:rsidR="00A315E0" w:rsidRPr="00103A93" w:rsidRDefault="00A315E0" w:rsidP="00A315E0">
      <w:pPr>
        <w:pStyle w:val="FigureHeading"/>
      </w:pPr>
      <w:bookmarkStart w:id="129" w:name="_Toc367361590"/>
      <w:r w:rsidRPr="00103A93">
        <w:t>Proportion of stude</w:t>
      </w:r>
      <w:r>
        <w:t>nts meeting Ngā Whanaketanga Pāngarau</w:t>
      </w:r>
      <w:r w:rsidRPr="00103A93">
        <w:t>, by gender, 2012</w:t>
      </w:r>
      <w:bookmarkEnd w:id="129"/>
    </w:p>
    <w:p w:rsidR="00A315E0" w:rsidRDefault="00F32AF8" w:rsidP="00FE1B3D">
      <w:pPr>
        <w:pStyle w:val="Figure"/>
        <w:rPr>
          <w:lang w:val="en-NZ"/>
        </w:rPr>
      </w:pPr>
      <w:r>
        <w:rPr>
          <w:noProof/>
          <w:lang w:val="en-NZ"/>
        </w:rPr>
        <w:drawing>
          <wp:inline distT="0" distB="0" distL="0" distR="0">
            <wp:extent cx="5615940" cy="1915795"/>
            <wp:effectExtent l="19050" t="0" r="3810" b="0"/>
            <wp:docPr id="60" name="Picture 59" descr="Stacked column graph showing 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3_HR.png"/>
                    <pic:cNvPicPr/>
                  </pic:nvPicPr>
                  <pic:blipFill>
                    <a:blip r:embed="rId34" cstate="print"/>
                    <a:stretch>
                      <a:fillRect/>
                    </a:stretch>
                  </pic:blipFill>
                  <pic:spPr>
                    <a:xfrm>
                      <a:off x="0" y="0"/>
                      <a:ext cx="5615940" cy="1915795"/>
                    </a:xfrm>
                    <a:prstGeom prst="rect">
                      <a:avLst/>
                    </a:prstGeom>
                  </pic:spPr>
                </pic:pic>
              </a:graphicData>
            </a:graphic>
          </wp:inline>
        </w:drawing>
      </w:r>
    </w:p>
    <w:p w:rsidR="00FE1B3D" w:rsidRPr="00FE1B3D" w:rsidRDefault="00FE1B3D" w:rsidP="00FE1B3D">
      <w:pPr>
        <w:pStyle w:val="TableFootnote"/>
        <w:spacing w:after="40"/>
        <w:rPr>
          <w:bCs w:val="0"/>
          <w:lang w:val="en-NZ"/>
        </w:rPr>
      </w:pPr>
    </w:p>
    <w:p w:rsidR="002B0EAA" w:rsidRDefault="002B0EAA" w:rsidP="002B0EAA">
      <w:pPr>
        <w:rPr>
          <w:b/>
          <w:lang w:val="en-NZ"/>
        </w:rPr>
      </w:pPr>
      <w:r>
        <w:rPr>
          <w:b/>
          <w:lang w:val="en-NZ"/>
        </w:rPr>
        <w:t>Ngā Whanaketanga Pāngarau</w:t>
      </w:r>
    </w:p>
    <w:p w:rsidR="00A315E0" w:rsidRPr="002B0EAA" w:rsidRDefault="002B0EAA" w:rsidP="00DD655C">
      <w:pPr>
        <w:rPr>
          <w:lang w:val="en-NZ"/>
        </w:rPr>
      </w:pPr>
      <w:r>
        <w:rPr>
          <w:lang w:val="en-NZ"/>
        </w:rPr>
        <w:t>In 2012, kōtiro (62.4%) were more likely to be Manawa Ora or Manawa Toa in Pāngarau (grouped) than tama (57.6%). This is primarily due to the large difference in achievement in Te Tau me te Taurangi</w:t>
      </w:r>
      <w:r w:rsidR="00451C04">
        <w:rPr>
          <w:lang w:val="en-NZ"/>
        </w:rPr>
        <w:t>, with the percentage of kōtiro Manawa Ora or Manawa Toa (62.5%) 8.2 percentage points greater than the proportion of tama (54.3%). The proportion of tama Manawa Ora or Manawa Toa was higher than the proportion of kōtiro for both Te Ine me te Āhuahanga (a two percentage point difference) and Te Tauanga me te Tūponotanga (1.9 percentage point difference).</w:t>
      </w:r>
    </w:p>
    <w:p w:rsidR="00DD655C" w:rsidRDefault="00DD655C" w:rsidP="00CF1F50">
      <w:pPr>
        <w:pStyle w:val="Heading4"/>
        <w:rPr>
          <w:lang w:val="en-NZ"/>
        </w:rPr>
      </w:pPr>
      <w:r>
        <w:rPr>
          <w:lang w:val="en-NZ"/>
        </w:rPr>
        <w:t>TIMSS</w:t>
      </w:r>
      <w:r w:rsidRPr="00591FCE">
        <w:rPr>
          <w:lang w:val="en-NZ"/>
        </w:rPr>
        <w:t xml:space="preserve"> 2010/11</w:t>
      </w:r>
    </w:p>
    <w:p w:rsidR="00A315E0" w:rsidRDefault="00DD655C" w:rsidP="00DD655C">
      <w:pPr>
        <w:rPr>
          <w:lang w:val="en-NZ"/>
        </w:rPr>
      </w:pPr>
      <w:r>
        <w:rPr>
          <w:lang w:val="en-NZ"/>
        </w:rPr>
        <w:t>There was no difference in the average mathematics achievement of year 5 boys and girls in the TIMSS 2010/11 cycle</w:t>
      </w:r>
      <w:r w:rsidR="004D7E7F">
        <w:rPr>
          <w:lang w:val="en-NZ"/>
        </w:rPr>
        <w:t xml:space="preserve"> but</w:t>
      </w:r>
      <w:r>
        <w:rPr>
          <w:lang w:val="en-NZ"/>
        </w:rPr>
        <w:t xml:space="preserve"> there was a larger range of achievement for boys than for girls. Both genders were represented among the highest- and lowest-achieving students, with similar proportions of boys and girls reaching the Advanced TIMSS Benchmark, and no significant difference in the proportion of students </w:t>
      </w:r>
      <w:r w:rsidR="00C94920">
        <w:rPr>
          <w:lang w:val="en-NZ"/>
        </w:rPr>
        <w:t>not</w:t>
      </w:r>
      <w:r>
        <w:rPr>
          <w:lang w:val="en-NZ"/>
        </w:rPr>
        <w:t xml:space="preserve"> reach</w:t>
      </w:r>
      <w:r w:rsidR="00C94920">
        <w:rPr>
          <w:lang w:val="en-NZ"/>
        </w:rPr>
        <w:t>ing</w:t>
      </w:r>
      <w:r>
        <w:rPr>
          <w:lang w:val="en-NZ"/>
        </w:rPr>
        <w:t xml:space="preserve"> the lowest international benchmark (16% of boys and 15% of girls). While no significant change was found when comparing 2010/11 average mathematics achievement to 2006/07 average achievement for either gender, both boys and girls have displayed a significant decrease in mean achievement since 2002</w:t>
      </w:r>
      <w:r w:rsidR="00C70563">
        <w:rPr>
          <w:lang w:val="en-NZ"/>
        </w:rPr>
        <w:t>/03</w:t>
      </w:r>
      <w:r>
        <w:rPr>
          <w:lang w:val="en-NZ"/>
        </w:rPr>
        <w:t xml:space="preserve">. </w:t>
      </w:r>
    </w:p>
    <w:p w:rsidR="00DD655C" w:rsidRPr="004278C3" w:rsidRDefault="00DD655C" w:rsidP="004278C3">
      <w:pPr>
        <w:pStyle w:val="Heading3"/>
      </w:pPr>
      <w:r w:rsidRPr="004278C3">
        <w:t>Socio-economic differences</w:t>
      </w:r>
      <w:bookmarkStart w:id="130" w:name="_Toc289074846"/>
      <w:bookmarkStart w:id="131" w:name="_Toc303511361"/>
      <w:bookmarkStart w:id="132" w:name="_Toc304799245"/>
    </w:p>
    <w:p w:rsidR="00DD655C" w:rsidRDefault="004D7E7F" w:rsidP="004278C3">
      <w:pPr>
        <w:pStyle w:val="BodyText"/>
        <w:rPr>
          <w:lang w:val="en-NZ"/>
        </w:rPr>
      </w:pPr>
      <w:r>
        <w:rPr>
          <w:lang w:val="en-NZ"/>
        </w:rPr>
        <w:t>Y</w:t>
      </w:r>
      <w:r w:rsidR="00DD655C" w:rsidRPr="005C4377">
        <w:rPr>
          <w:lang w:val="en-NZ"/>
        </w:rPr>
        <w:t xml:space="preserve">ear 5 students with lower SES had significantly lower </w:t>
      </w:r>
      <w:r w:rsidR="00DD655C">
        <w:rPr>
          <w:lang w:val="en-NZ"/>
        </w:rPr>
        <w:t xml:space="preserve">mathematics </w:t>
      </w:r>
      <w:r w:rsidR="00DD655C" w:rsidRPr="005C4377">
        <w:rPr>
          <w:lang w:val="en-NZ"/>
        </w:rPr>
        <w:t>achievement than students with higher SES in TIMSS 2010/11.</w:t>
      </w:r>
      <w:r w:rsidR="00DD655C">
        <w:rPr>
          <w:lang w:val="en-NZ"/>
        </w:rPr>
        <w:t xml:space="preserve"> Not only was average achievement higher for students who attended decile 9</w:t>
      </w:r>
      <w:r w:rsidR="00C54418">
        <w:rPr>
          <w:rFonts w:cs="Arial"/>
          <w:lang w:val="en-NZ"/>
        </w:rPr>
        <w:t>–</w:t>
      </w:r>
      <w:r w:rsidR="00DD655C">
        <w:rPr>
          <w:lang w:val="en-NZ"/>
        </w:rPr>
        <w:t>10 schools when compared to students in decile 1</w:t>
      </w:r>
      <w:r w:rsidR="00C54418">
        <w:rPr>
          <w:rFonts w:cs="Arial"/>
          <w:lang w:val="en-NZ"/>
        </w:rPr>
        <w:t>–</w:t>
      </w:r>
      <w:r w:rsidR="00DD655C">
        <w:rPr>
          <w:lang w:val="en-NZ"/>
        </w:rPr>
        <w:t>2 schools, there were also significantly more students from decile 9</w:t>
      </w:r>
      <w:r w:rsidR="00C54418">
        <w:rPr>
          <w:rFonts w:cs="Arial"/>
          <w:lang w:val="en-NZ"/>
        </w:rPr>
        <w:t>–</w:t>
      </w:r>
      <w:r w:rsidR="00DD655C">
        <w:rPr>
          <w:lang w:val="en-NZ"/>
        </w:rPr>
        <w:t>10 schools achieving at the advanced level. In addition, students with lower SES were over-represented amongst the weaker at mathematics, with 38% of year 5 students in decile 1</w:t>
      </w:r>
      <w:r w:rsidR="00C54418">
        <w:rPr>
          <w:rFonts w:cs="Arial"/>
          <w:lang w:val="en-NZ"/>
        </w:rPr>
        <w:t>–</w:t>
      </w:r>
      <w:r w:rsidR="00DD655C">
        <w:rPr>
          <w:lang w:val="en-NZ"/>
        </w:rPr>
        <w:t xml:space="preserve">2 schools </w:t>
      </w:r>
      <w:r w:rsidR="00FB0779">
        <w:rPr>
          <w:lang w:val="en-NZ"/>
        </w:rPr>
        <w:t>not</w:t>
      </w:r>
      <w:r w:rsidR="00DD655C">
        <w:rPr>
          <w:lang w:val="en-NZ"/>
        </w:rPr>
        <w:t xml:space="preserve"> </w:t>
      </w:r>
      <w:r w:rsidR="00FB0779">
        <w:rPr>
          <w:lang w:val="en-NZ"/>
        </w:rPr>
        <w:t>reaching</w:t>
      </w:r>
      <w:r w:rsidR="00DD655C">
        <w:rPr>
          <w:lang w:val="en-NZ"/>
        </w:rPr>
        <w:t xml:space="preserve"> the lowest international benchmark.</w:t>
      </w:r>
    </w:p>
    <w:p w:rsidR="00DD655C" w:rsidRPr="004278C3" w:rsidRDefault="00DD655C" w:rsidP="004278C3">
      <w:pPr>
        <w:pStyle w:val="Heading3"/>
      </w:pPr>
      <w:r w:rsidRPr="004278C3">
        <w:t>Attitudes towards mathematics</w:t>
      </w:r>
    </w:p>
    <w:p w:rsidR="00DD655C" w:rsidRPr="00DD655C" w:rsidRDefault="00DD655C" w:rsidP="004278C3">
      <w:pPr>
        <w:pStyle w:val="BodyText"/>
        <w:rPr>
          <w:lang w:val="en-NZ"/>
        </w:rPr>
      </w:pPr>
      <w:r>
        <w:rPr>
          <w:lang w:val="en-NZ"/>
        </w:rPr>
        <w:t xml:space="preserve">Generally, New Zealand year 5 students had positive attitudes towards learning mathematics as measured by TIMSS 2010/11. Just over </w:t>
      </w:r>
      <w:r w:rsidR="00C54418">
        <w:rPr>
          <w:lang w:val="en-NZ"/>
        </w:rPr>
        <w:t>80%</w:t>
      </w:r>
      <w:r>
        <w:rPr>
          <w:lang w:val="en-NZ"/>
        </w:rPr>
        <w:t xml:space="preserve"> of students agreed at least a little that they enjoyed learning maths, and 71% of students disagreed at least a little that maths was boring.</w:t>
      </w:r>
      <w:r w:rsidR="00235FD2">
        <w:rPr>
          <w:lang w:val="en-NZ"/>
        </w:rPr>
        <w:t xml:space="preserve"> </w:t>
      </w:r>
      <w:r>
        <w:rPr>
          <w:lang w:val="en-NZ"/>
        </w:rPr>
        <w:t>Confidence in mathematics ability was positively link</w:t>
      </w:r>
      <w:r w:rsidR="004D7E7F">
        <w:rPr>
          <w:lang w:val="en-NZ"/>
        </w:rPr>
        <w:t>ed with mathematics achievement</w:t>
      </w:r>
      <w:r w:rsidR="00636328">
        <w:rPr>
          <w:lang w:val="en-NZ"/>
        </w:rPr>
        <w:t>. Interestingly, a smaller proportion of New Zealand year 5 students (25%) were confident about their ability to learn mathematics than the international average (34%).</w:t>
      </w:r>
    </w:p>
    <w:p w:rsidR="00DD655C" w:rsidRPr="00813BBE" w:rsidRDefault="00DD655C" w:rsidP="004278C3">
      <w:pPr>
        <w:pStyle w:val="Heading2"/>
      </w:pPr>
      <w:bookmarkStart w:id="133" w:name="_Toc367361638"/>
      <w:r w:rsidRPr="00813BBE">
        <w:t>Mathematics in secondary schooling</w:t>
      </w:r>
      <w:bookmarkEnd w:id="130"/>
      <w:bookmarkEnd w:id="131"/>
      <w:bookmarkEnd w:id="132"/>
      <w:bookmarkEnd w:id="133"/>
    </w:p>
    <w:p w:rsidR="00DD655C" w:rsidRPr="007C70A4" w:rsidRDefault="004D7E7F" w:rsidP="007C70A4">
      <w:pPr>
        <w:pStyle w:val="BodyText"/>
        <w:rPr>
          <w:highlight w:val="yellow"/>
        </w:rPr>
      </w:pPr>
      <w:r>
        <w:t>Mathematics and statistics are</w:t>
      </w:r>
      <w:r w:rsidR="00DD655C" w:rsidRPr="00691C5F">
        <w:t xml:space="preserve"> compulsory in years 9 and 10. From yea</w:t>
      </w:r>
      <w:r>
        <w:t>r 11 it is no longer compulsory</w:t>
      </w:r>
      <w:r w:rsidR="00DD655C" w:rsidRPr="00691C5F">
        <w:t xml:space="preserve"> but participation</w:t>
      </w:r>
      <w:r w:rsidR="00DD655C" w:rsidRPr="00691C5F">
        <w:rPr>
          <w:vertAlign w:val="superscript"/>
        </w:rPr>
        <w:footnoteReference w:id="13"/>
      </w:r>
      <w:r w:rsidR="00235FD2">
        <w:t xml:space="preserve"> </w:t>
      </w:r>
      <w:r w:rsidR="009422EC">
        <w:t xml:space="preserve">rates for 16- and 17-year-old students </w:t>
      </w:r>
      <w:r w:rsidR="009422EC" w:rsidRPr="009422EC">
        <w:t>remain high: 76% of 16-year-old students and 56.3% of 17-year-old student</w:t>
      </w:r>
      <w:r w:rsidR="00DD655C" w:rsidRPr="009422EC">
        <w:t>s participated in at least one mathematics subject in</w:t>
      </w:r>
      <w:r w:rsidR="00C54418">
        <w:t xml:space="preserve"> </w:t>
      </w:r>
      <w:r w:rsidR="00DD655C" w:rsidRPr="009422EC">
        <w:t>201</w:t>
      </w:r>
      <w:r w:rsidR="009422EC" w:rsidRPr="009422EC">
        <w:t>2</w:t>
      </w:r>
      <w:r w:rsidR="00DD655C" w:rsidRPr="009422EC">
        <w:t>.</w:t>
      </w:r>
      <w:r w:rsidR="00DD655C" w:rsidRPr="00CA5062">
        <w:t xml:space="preserve"> In 2012, 77.4% of 15-year-old students achieved</w:t>
      </w:r>
      <w:r w:rsidR="00DD655C" w:rsidRPr="00CA5062">
        <w:rPr>
          <w:vertAlign w:val="superscript"/>
        </w:rPr>
        <w:footnoteReference w:id="14"/>
      </w:r>
      <w:r w:rsidR="00DD655C" w:rsidRPr="00CA5062">
        <w:t xml:space="preserve"> the numeracy requirements for NCEA Level 1</w:t>
      </w:r>
      <w:r w:rsidR="00DD655C" w:rsidRPr="007C70A4">
        <w:t xml:space="preserve">. </w:t>
      </w:r>
      <w:r w:rsidR="000448D7">
        <w:t>This proportion has been decreasing for the past two years, after displaying an increase between 2008 (78.8%) and 2010 (80.7%).</w:t>
      </w:r>
    </w:p>
    <w:p w:rsidR="00DD655C" w:rsidRPr="004278C3" w:rsidRDefault="00DD655C" w:rsidP="004278C3">
      <w:pPr>
        <w:pStyle w:val="Heading3"/>
      </w:pPr>
      <w:r w:rsidRPr="004278C3">
        <w:t>International differences</w:t>
      </w:r>
    </w:p>
    <w:p w:rsidR="00DD655C" w:rsidRDefault="00DD655C" w:rsidP="007C70A4">
      <w:pPr>
        <w:pStyle w:val="BodyText"/>
      </w:pPr>
      <w:r w:rsidRPr="00691C5F">
        <w:t xml:space="preserve">TIMSS 2010/11 assessed year 9 students’ mathematics </w:t>
      </w:r>
      <w:r>
        <w:t xml:space="preserve">ability </w:t>
      </w:r>
      <w:r w:rsidRPr="00691C5F">
        <w:t>compared with that of students in 4</w:t>
      </w:r>
      <w:r>
        <w:t xml:space="preserve">3 </w:t>
      </w:r>
      <w:r w:rsidRPr="00691C5F">
        <w:t xml:space="preserve">other </w:t>
      </w:r>
      <w:r>
        <w:t>countries (Caygill, Kirkham and Marshall, 2013c). Although New Zealand ranked among the middle of the participating countries in terms of average mathematics achievement in 2010/11 (lower than 14 countries and higher than 23 countries), the average achievement of year 9 students was lower than the mean score for all other English-speaking countries who participated. There has been no significant change in the mean mathematical ability of New Zealand year 9 students since the first TIMSS cycle in 1994/95.</w:t>
      </w:r>
    </w:p>
    <w:p w:rsidR="00653C0C" w:rsidRDefault="00653C0C" w:rsidP="0096169F">
      <w:pPr>
        <w:pStyle w:val="BodyText"/>
      </w:pPr>
      <w:r>
        <w:br w:type="page"/>
      </w:r>
    </w:p>
    <w:p w:rsidR="00DD655C" w:rsidRDefault="00DD655C" w:rsidP="007C70A4">
      <w:pPr>
        <w:pStyle w:val="BodyText"/>
      </w:pPr>
      <w:r>
        <w:t>Internationally, New Zealand had a slightly higher proportion of advanced achievers, with five per</w:t>
      </w:r>
      <w:r w:rsidR="00AB3911">
        <w:t xml:space="preserve"> </w:t>
      </w:r>
      <w:r>
        <w:t>cent of year 9 students reaching the highest level of achievement (the Advanced Benchmark) compared to the international median of three per</w:t>
      </w:r>
      <w:r w:rsidR="00AB3911">
        <w:t xml:space="preserve"> </w:t>
      </w:r>
      <w:r>
        <w:t>cent. New Zealand also had significantl</w:t>
      </w:r>
      <w:r w:rsidR="004D7E7F">
        <w:t>y fewer low performing students:</w:t>
      </w:r>
      <w:r>
        <w:t xml:space="preserve"> 16% of students </w:t>
      </w:r>
      <w:r w:rsidR="00045C8B">
        <w:t>did not</w:t>
      </w:r>
      <w:r>
        <w:t xml:space="preserve"> reach the lowest international benchmark, whereas the internationa</w:t>
      </w:r>
      <w:r w:rsidR="004D7E7F">
        <w:t>l median was 25%. T</w:t>
      </w:r>
      <w:r>
        <w:t>here were five per</w:t>
      </w:r>
      <w:r w:rsidR="00AB3911">
        <w:t xml:space="preserve"> </w:t>
      </w:r>
      <w:r>
        <w:t xml:space="preserve">cent or fewer students </w:t>
      </w:r>
      <w:r w:rsidR="00045C8B">
        <w:t>not</w:t>
      </w:r>
      <w:r>
        <w:t xml:space="preserve"> reach</w:t>
      </w:r>
      <w:r w:rsidR="00045C8B">
        <w:t>ing</w:t>
      </w:r>
      <w:r>
        <w:t xml:space="preserve"> this benchmark in the highest-performing countries.</w:t>
      </w:r>
    </w:p>
    <w:p w:rsidR="00DD655C" w:rsidRPr="004278C3" w:rsidRDefault="00DD655C" w:rsidP="004278C3">
      <w:pPr>
        <w:pStyle w:val="Heading3"/>
        <w:rPr>
          <w:szCs w:val="18"/>
        </w:rPr>
      </w:pPr>
      <w:r w:rsidRPr="004278C3">
        <w:t>Ethnic grouping differences</w:t>
      </w:r>
    </w:p>
    <w:p w:rsidR="00DD655C" w:rsidRDefault="00DD655C" w:rsidP="00CF1F50">
      <w:pPr>
        <w:pStyle w:val="Heading4"/>
        <w:rPr>
          <w:rFonts w:cs="OSML"/>
          <w:szCs w:val="18"/>
          <w:lang w:eastAsia="en-NZ"/>
        </w:rPr>
      </w:pPr>
      <w:r>
        <w:t>TIMSS 2010/11</w:t>
      </w:r>
    </w:p>
    <w:p w:rsidR="00DD655C" w:rsidRPr="00DD655C" w:rsidRDefault="00DD655C" w:rsidP="007C70A4">
      <w:pPr>
        <w:pStyle w:val="BodyText"/>
        <w:rPr>
          <w:highlight w:val="yellow"/>
        </w:rPr>
      </w:pPr>
      <w:r>
        <w:t>In TIMSS 2010/11, year 9 Asian students on average performed better at mathematics than Pākehā/European, Māori and Pasifika students. Pākehā/European students were the only ethnic grouping to show a significant decrease in mathematics ability since the first TIMSS cycle in 1994; there were also proportionally more low-achieving Pākehā/European students in this cycle of TIMSS compared to the previous cycle. While high performing students were found in all ethnic groupings, larger proportions of Pākehā/European and Asian students were in the high achieving groups compared with Māori and Pasifika students. Māori and Pasifika students were also over-represented am</w:t>
      </w:r>
      <w:r w:rsidR="004D7E7F">
        <w:t>ongst the lowest achievers:</w:t>
      </w:r>
      <w:r w:rsidR="00235FD2">
        <w:t xml:space="preserve"> </w:t>
      </w:r>
      <w:r>
        <w:t xml:space="preserve">29% of Māori and 34% of Pasifika students </w:t>
      </w:r>
      <w:r w:rsidR="00C94920">
        <w:t>did not</w:t>
      </w:r>
      <w:r>
        <w:t xml:space="preserve"> reach the lowest international benchmark compared with </w:t>
      </w:r>
      <w:r w:rsidR="00C54418">
        <w:t xml:space="preserve">six per cent </w:t>
      </w:r>
      <w:r>
        <w:t xml:space="preserve">of Pākehā/European students and </w:t>
      </w:r>
      <w:r w:rsidR="00C54418">
        <w:t xml:space="preserve">three per cent </w:t>
      </w:r>
      <w:r>
        <w:t>of Asian students.</w:t>
      </w:r>
    </w:p>
    <w:p w:rsidR="00DD655C" w:rsidRPr="00571CBB" w:rsidRDefault="00DD655C" w:rsidP="00571CBB">
      <w:pPr>
        <w:pStyle w:val="Heading4"/>
      </w:pPr>
      <w:r w:rsidRPr="00571CBB">
        <w:t>NCEA</w:t>
      </w:r>
      <w:r w:rsidRPr="00D271D0">
        <w:rPr>
          <w:rStyle w:val="FootnoteReference"/>
          <w:rFonts w:cs="Arial"/>
          <w:b w:val="0"/>
          <w:bCs w:val="0"/>
          <w:szCs w:val="17"/>
        </w:rPr>
        <w:footnoteReference w:id="15"/>
      </w:r>
    </w:p>
    <w:p w:rsidR="00DD655C" w:rsidRPr="00F07EE5" w:rsidRDefault="00DD655C" w:rsidP="00CF1F50">
      <w:pPr>
        <w:pStyle w:val="BodyText"/>
      </w:pPr>
      <w:r>
        <w:t>In 2012, 84.5% of Asian 15-year-old students and 81.8% of 15-year-old Pākehā/European students met the requirements for NCEA Level 1 numeracy. Proportionally fewer 15-year-old Māori students (64.9%) and 15-year-old Pasifika students (69.0%) met the requirements for N</w:t>
      </w:r>
      <w:r w:rsidR="004D7E7F">
        <w:t>CEA Level 1 numeracy but i</w:t>
      </w:r>
      <w:r>
        <w:t>n keeping with the downwards trend identified for total students, all ethnic groupings, aside from MELAA, displayed a decrease in the proportion of 15-year-old students meeting numeracy requirements since 2010. The largest proportional decreases were for Māori students (8.1% decrease) and Pasifika students (5.7% decrease) over this time period. In comparison, the proportions of 15-year-old Pākehā/European and Asian students meeting numeracy requirements have dropped by 3.3% and 0.6%, respectively.</w:t>
      </w:r>
    </w:p>
    <w:p w:rsidR="00DD655C" w:rsidRPr="005F414A" w:rsidRDefault="00DD655C" w:rsidP="00DD655C">
      <w:pPr>
        <w:pStyle w:val="FigureHeading"/>
      </w:pPr>
      <w:bookmarkStart w:id="134" w:name="_Toc304214675"/>
      <w:bookmarkStart w:id="135" w:name="OLE_LINK1"/>
      <w:bookmarkStart w:id="136" w:name="_Toc367361591"/>
      <w:r w:rsidRPr="005F414A">
        <w:t>P</w:t>
      </w:r>
      <w:r w:rsidR="00BC01D7">
        <w:t>roportion</w:t>
      </w:r>
      <w:r w:rsidRPr="005F414A">
        <w:t xml:space="preserve"> of 15-year-old students with NCEA Level 1 numeracy, by ethnic</w:t>
      </w:r>
      <w:bookmarkEnd w:id="134"/>
      <w:bookmarkEnd w:id="135"/>
      <w:r w:rsidR="00BC01D7">
        <w:t>ity, 2008</w:t>
      </w:r>
      <w:r w:rsidR="00C54418">
        <w:rPr>
          <w:rFonts w:cs="Arial"/>
        </w:rPr>
        <w:t>–</w:t>
      </w:r>
      <w:r w:rsidR="00BC01D7">
        <w:t>2012</w:t>
      </w:r>
      <w:bookmarkEnd w:id="136"/>
    </w:p>
    <w:p w:rsidR="00DD655C" w:rsidRPr="00591FCE" w:rsidRDefault="00F32AF8" w:rsidP="00D13194">
      <w:pPr>
        <w:rPr>
          <w:rFonts w:cs="OSML"/>
          <w:highlight w:val="yellow"/>
          <w:lang w:eastAsia="en-NZ"/>
        </w:rPr>
      </w:pPr>
      <w:r>
        <w:rPr>
          <w:rFonts w:cs="OSML"/>
          <w:noProof/>
          <w:lang w:val="en-NZ" w:eastAsia="en-NZ"/>
        </w:rPr>
        <w:drawing>
          <wp:inline distT="0" distB="0" distL="0" distR="0">
            <wp:extent cx="5615940" cy="1889125"/>
            <wp:effectExtent l="19050" t="0" r="3810" b="0"/>
            <wp:docPr id="62" name="Picture 61" descr="Line graph showing 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4_HR.png"/>
                    <pic:cNvPicPr/>
                  </pic:nvPicPr>
                  <pic:blipFill>
                    <a:blip r:embed="rId35" cstate="print"/>
                    <a:stretch>
                      <a:fillRect/>
                    </a:stretch>
                  </pic:blipFill>
                  <pic:spPr>
                    <a:xfrm>
                      <a:off x="0" y="0"/>
                      <a:ext cx="5615940" cy="1889125"/>
                    </a:xfrm>
                    <a:prstGeom prst="rect">
                      <a:avLst/>
                    </a:prstGeom>
                  </pic:spPr>
                </pic:pic>
              </a:graphicData>
            </a:graphic>
          </wp:inline>
        </w:drawing>
      </w:r>
    </w:p>
    <w:p w:rsidR="000813F7" w:rsidRPr="000813F7" w:rsidRDefault="00DD655C" w:rsidP="000813F7">
      <w:pPr>
        <w:pStyle w:val="TableFootnote"/>
      </w:pPr>
      <w:r w:rsidRPr="000813F7">
        <w:rPr>
          <w:b/>
        </w:rPr>
        <w:t xml:space="preserve">Notes: </w:t>
      </w:r>
      <w:r w:rsidRPr="000813F7">
        <w:rPr>
          <w:b/>
        </w:rPr>
        <w:br/>
      </w:r>
      <w:r w:rsidR="00F219DB">
        <w:t>For this graph, student</w:t>
      </w:r>
      <w:r w:rsidRPr="000813F7">
        <w:t>s who identified in more than one ethnic group have been counted in each ethnic group.</w:t>
      </w:r>
    </w:p>
    <w:p w:rsidR="00DD655C" w:rsidRPr="00CF1F50" w:rsidRDefault="00DD655C" w:rsidP="000813F7">
      <w:pPr>
        <w:pStyle w:val="Heading3"/>
      </w:pPr>
      <w:r w:rsidRPr="009F2352">
        <w:t>Gender differences</w:t>
      </w:r>
    </w:p>
    <w:p w:rsidR="00DD655C" w:rsidRPr="00CF1F50" w:rsidRDefault="00DD655C" w:rsidP="00CF1F50">
      <w:pPr>
        <w:pStyle w:val="Heading4"/>
        <w:rPr>
          <w:szCs w:val="17"/>
        </w:rPr>
      </w:pPr>
      <w:r w:rsidRPr="00CF1F50">
        <w:rPr>
          <w:szCs w:val="17"/>
        </w:rPr>
        <w:t>TIMSS 2010/11</w:t>
      </w:r>
    </w:p>
    <w:p w:rsidR="00DD655C" w:rsidRPr="00612CDA" w:rsidRDefault="00DD655C" w:rsidP="000813F7">
      <w:pPr>
        <w:pStyle w:val="BodyText"/>
      </w:pPr>
      <w:r>
        <w:t>New Zealand had close to the largest gender difference in ye</w:t>
      </w:r>
      <w:r w:rsidR="004D7E7F">
        <w:t>ar 9 mathematics achievement</w:t>
      </w:r>
      <w:r>
        <w:t xml:space="preserve"> of all participating countries in TIMSS 2010/11, w</w:t>
      </w:r>
      <w:r w:rsidR="004D7E7F">
        <w:t>ith boys achieving</w:t>
      </w:r>
      <w:r>
        <w:t xml:space="preserve"> higher than girls. This is the first time that there has been a significant gender difference in year 9 mathematics, resulting from a decrease in the mean mathematics achievement of New Zealand girls sin</w:t>
      </w:r>
      <w:r w:rsidR="004D7E7F">
        <w:t>ce the last TIMSS cycle in 2002. B</w:t>
      </w:r>
      <w:r>
        <w:t>oys have not shown any significant difference in average achievement d</w:t>
      </w:r>
      <w:r w:rsidR="004D7E7F">
        <w:t>uring this time. There were</w:t>
      </w:r>
      <w:r>
        <w:t xml:space="preserve"> proportionally more high-achieving boys in the 20</w:t>
      </w:r>
      <w:r w:rsidR="00C54418">
        <w:t xml:space="preserve">10/11 study compared to girls (three per cent </w:t>
      </w:r>
      <w:r>
        <w:t xml:space="preserve">of girls and </w:t>
      </w:r>
      <w:r w:rsidR="00C54418">
        <w:t xml:space="preserve">seven per cent </w:t>
      </w:r>
      <w:r>
        <w:t>of boys at o</w:t>
      </w:r>
      <w:r w:rsidR="004D7E7F">
        <w:t>r above the advanced benchmark)</w:t>
      </w:r>
      <w:r>
        <w:t xml:space="preserve"> but similar proportions of both genders not reaching the lowest international benchmark (18% of girls and 14% of boys). </w:t>
      </w:r>
    </w:p>
    <w:p w:rsidR="00DD655C" w:rsidRPr="00CF1F50" w:rsidRDefault="00DD655C" w:rsidP="00CF1F50">
      <w:pPr>
        <w:pStyle w:val="Heading4"/>
        <w:rPr>
          <w:szCs w:val="17"/>
        </w:rPr>
      </w:pPr>
      <w:r w:rsidRPr="00CF1F50">
        <w:rPr>
          <w:szCs w:val="17"/>
        </w:rPr>
        <w:t>NCEA</w:t>
      </w:r>
    </w:p>
    <w:p w:rsidR="00DD655C" w:rsidRPr="00283B84" w:rsidRDefault="00DD655C" w:rsidP="00CF1F50">
      <w:pPr>
        <w:pStyle w:val="BodyText"/>
      </w:pPr>
      <w:r>
        <w:t>In 2012, more 15-year-old females (80.0%) met the requirements for NCEA Level 1 numeracy compared to 15-year-old males (74.8%). The higher level of achievement amongst females mirrors findings from previous years</w:t>
      </w:r>
      <w:r w:rsidR="004D7E7F">
        <w:t xml:space="preserve"> but</w:t>
      </w:r>
      <w:r>
        <w:t xml:space="preserve"> the breadth of the disparity in achievement has been increasing over time; the size of the difference was 3.5 percentage points in 2008 and increased to a difference of 5.2 percentage points in 2012. Although the gap in achievement has been increasing, total proportions of 15-year-old students attaining NCEA Level 1 numeracy have been </w:t>
      </w:r>
      <w:r w:rsidR="007645D0">
        <w:t>increasing</w:t>
      </w:r>
      <w:r>
        <w:t xml:space="preserve"> for both genders.</w:t>
      </w:r>
    </w:p>
    <w:p w:rsidR="00DD655C" w:rsidRPr="004278C3" w:rsidRDefault="00DD655C" w:rsidP="004278C3">
      <w:pPr>
        <w:pStyle w:val="Heading3"/>
      </w:pPr>
      <w:r w:rsidRPr="004278C3">
        <w:t>Socio-economic differences</w:t>
      </w:r>
    </w:p>
    <w:p w:rsidR="00DD655C" w:rsidRDefault="004D7E7F" w:rsidP="00571CBB">
      <w:pPr>
        <w:pStyle w:val="BodyText"/>
      </w:pPr>
      <w:r>
        <w:t>In</w:t>
      </w:r>
      <w:r w:rsidR="00DD655C">
        <w:t xml:space="preserve"> TIMSS 2010/11, year 9 students with higher SES achieved higher mathematics scores on average than students with lower SES. This included larger proportions of advanced achievers amongst high SES students (8% of students from decile 9</w:t>
      </w:r>
      <w:r w:rsidR="00C54418">
        <w:rPr>
          <w:rFonts w:cs="Arial"/>
        </w:rPr>
        <w:t>–</w:t>
      </w:r>
      <w:r w:rsidR="00DD655C">
        <w:t>10 schools compared</w:t>
      </w:r>
      <w:r>
        <w:t xml:space="preserve"> to </w:t>
      </w:r>
      <w:r w:rsidR="00C54418">
        <w:t xml:space="preserve">two per cent </w:t>
      </w:r>
      <w:r>
        <w:t>from decile 1</w:t>
      </w:r>
      <w:r w:rsidR="00C54418">
        <w:rPr>
          <w:rFonts w:cs="Arial"/>
        </w:rPr>
        <w:t>–</w:t>
      </w:r>
      <w:r>
        <w:t>2 schools)</w:t>
      </w:r>
      <w:r w:rsidR="00DD655C">
        <w:t xml:space="preserve"> as well as significantly higher proportions of low SES students not reaching the lowest international benchmark (39% of students from decile 1</w:t>
      </w:r>
      <w:r w:rsidR="00C54418">
        <w:rPr>
          <w:rFonts w:cs="Arial"/>
        </w:rPr>
        <w:t>–</w:t>
      </w:r>
      <w:r w:rsidR="00DD655C">
        <w:t xml:space="preserve">2 schools compared to </w:t>
      </w:r>
      <w:r w:rsidR="00C54418">
        <w:t xml:space="preserve">six per cent </w:t>
      </w:r>
      <w:r w:rsidR="00DD655C">
        <w:t>from decile 9</w:t>
      </w:r>
      <w:r w:rsidR="00C54418">
        <w:rPr>
          <w:rFonts w:cs="Arial"/>
        </w:rPr>
        <w:t>–</w:t>
      </w:r>
      <w:r w:rsidR="00DD655C">
        <w:t>10 schools).</w:t>
      </w:r>
    </w:p>
    <w:p w:rsidR="00DD655C" w:rsidRPr="004278C3" w:rsidRDefault="00DD655C" w:rsidP="004278C3">
      <w:pPr>
        <w:pStyle w:val="Heading3"/>
      </w:pPr>
      <w:r w:rsidRPr="004278C3">
        <w:t>Attitudes towards mathematics</w:t>
      </w:r>
    </w:p>
    <w:p w:rsidR="00DD655C" w:rsidRDefault="00DD655C" w:rsidP="00571CBB">
      <w:pPr>
        <w:pStyle w:val="BodyText"/>
      </w:pPr>
      <w:r>
        <w:t>The attitudes of year 9 students towards mathematics were less positive than the attitudes of year 5 students in TIMSS 2010/11. Just over 60% of year 9 students agreed that they enjoyed learning mathematics, while approximately half agreed that mathematics is boring. Sixteen per</w:t>
      </w:r>
      <w:r w:rsidR="00AB3911">
        <w:t xml:space="preserve"> </w:t>
      </w:r>
      <w:r>
        <w:t>cent of year 9 students were confident in their ability to learn mathematics. Both positive attitudes towards mathematics and positive attitudes regarding mathematics ability were linked to higher mathematics achievement on average.</w:t>
      </w:r>
    </w:p>
    <w:p w:rsidR="00DD655C" w:rsidRPr="00D7457B" w:rsidRDefault="00DD655C" w:rsidP="00571CBB">
      <w:pPr>
        <w:pStyle w:val="Heading-Wheretofindmore"/>
      </w:pPr>
      <w:r w:rsidRPr="00D7457B">
        <w:t>Where to find out more</w:t>
      </w:r>
    </w:p>
    <w:p w:rsidR="00DD655C" w:rsidRPr="00D7457B" w:rsidRDefault="006869EE" w:rsidP="00FE1B3D">
      <w:pPr>
        <w:pStyle w:val="Figure"/>
        <w:rPr>
          <w:highlight w:val="yellow"/>
        </w:rPr>
      </w:pPr>
      <w:bookmarkStart w:id="137" w:name="_Toc303511362"/>
      <w:bookmarkStart w:id="138" w:name="_Toc304799246"/>
      <w:r>
        <w:rPr>
          <w:noProof/>
          <w:lang w:val="en-NZ"/>
        </w:rPr>
        <w:drawing>
          <wp:inline distT="0" distB="0" distL="0" distR="0">
            <wp:extent cx="5613952" cy="920420"/>
            <wp:effectExtent l="19050" t="0" r="5798" b="0"/>
            <wp:docPr id="17" name="Picture 16" descr="Find out more - Chapter 3_Mathema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out more - Chapter 3_Mathematics.png"/>
                    <pic:cNvPicPr/>
                  </pic:nvPicPr>
                  <pic:blipFill>
                    <a:blip r:embed="rId36" cstate="print"/>
                    <a:stretch>
                      <a:fillRect/>
                    </a:stretch>
                  </pic:blipFill>
                  <pic:spPr>
                    <a:xfrm>
                      <a:off x="0" y="0"/>
                      <a:ext cx="5613952" cy="920420"/>
                    </a:xfrm>
                    <a:prstGeom prst="rect">
                      <a:avLst/>
                    </a:prstGeom>
                  </pic:spPr>
                </pic:pic>
              </a:graphicData>
            </a:graphic>
          </wp:inline>
        </w:drawing>
      </w:r>
    </w:p>
    <w:p w:rsidR="00DD655C" w:rsidRDefault="00DD655C" w:rsidP="004278C3">
      <w:pPr>
        <w:pStyle w:val="Heading2"/>
      </w:pPr>
      <w:r>
        <w:br w:type="page"/>
      </w:r>
    </w:p>
    <w:p w:rsidR="00DD655C" w:rsidRPr="009577F9" w:rsidRDefault="00DD655C" w:rsidP="008662DE">
      <w:pPr>
        <w:pStyle w:val="Heading2"/>
      </w:pPr>
      <w:bookmarkStart w:id="139" w:name="_Toc367361639"/>
      <w:r w:rsidRPr="009577F9">
        <w:t>Science</w:t>
      </w:r>
      <w:bookmarkEnd w:id="137"/>
      <w:bookmarkEnd w:id="138"/>
      <w:bookmarkEnd w:id="139"/>
    </w:p>
    <w:p w:rsidR="00DD655C" w:rsidRPr="009577F9" w:rsidRDefault="00DD655C" w:rsidP="007C70A4">
      <w:pPr>
        <w:pStyle w:val="BodyText"/>
      </w:pPr>
      <w:r w:rsidRPr="009577F9">
        <w:t xml:space="preserve">The Prime Minister’s Chief Science Advisor recently released a report on the state of science in New Zealand’s schools. </w:t>
      </w:r>
      <w:r w:rsidR="005B024E">
        <w:t>He states that generally</w:t>
      </w:r>
      <w:r w:rsidRPr="009577F9">
        <w:t xml:space="preserve"> the science education system performs well but there are shortcomings for certain parts of society, and there are challenges in keeping up with the changing learning requirements in an increasingly knowledge-based world in which science education is becoming so important (Gluckman, 2011). </w:t>
      </w:r>
    </w:p>
    <w:p w:rsidR="00DD655C" w:rsidRPr="004278C3" w:rsidRDefault="00DD655C" w:rsidP="004278C3">
      <w:pPr>
        <w:pStyle w:val="Heading3"/>
      </w:pPr>
      <w:bookmarkStart w:id="140" w:name="_Toc289074848"/>
      <w:bookmarkStart w:id="141" w:name="_Toc303511363"/>
      <w:bookmarkStart w:id="142" w:name="_Toc304799247"/>
      <w:r w:rsidRPr="004278C3">
        <w:t>Science in primary schooling</w:t>
      </w:r>
      <w:bookmarkEnd w:id="140"/>
      <w:bookmarkEnd w:id="141"/>
      <w:bookmarkEnd w:id="142"/>
    </w:p>
    <w:p w:rsidR="00DD655C" w:rsidRDefault="00DD655C" w:rsidP="007C70A4">
      <w:pPr>
        <w:pStyle w:val="BodyText"/>
      </w:pPr>
      <w:r w:rsidRPr="00D8252E">
        <w:t>A recent ERO review suggests there is room for improvement in the teaching and learning of science for primary aged children (ERO, 2012). Under a third of sampled schools in the review had effective science teaching and learning p</w:t>
      </w:r>
      <w:r w:rsidR="00F219DB">
        <w:t>ractices for year 5</w:t>
      </w:r>
      <w:r w:rsidR="00C54418">
        <w:rPr>
          <w:rFonts w:cs="Arial"/>
        </w:rPr>
        <w:t>–</w:t>
      </w:r>
      <w:r w:rsidR="00F219DB">
        <w:t>8 student</w:t>
      </w:r>
      <w:r w:rsidRPr="00D8252E">
        <w:t>s a</w:t>
      </w:r>
      <w:r>
        <w:t>nd in over 80% of the schools</w:t>
      </w:r>
      <w:r w:rsidRPr="00D8252E">
        <w:t xml:space="preserve"> self-review of science programmes was a low priority. Schools that were effective at teaching science had principals and lead teac</w:t>
      </w:r>
      <w:r>
        <w:t>hers enthusiastic about science,</w:t>
      </w:r>
      <w:r w:rsidRPr="00D8252E">
        <w:t xml:space="preserve"> who worked together in</w:t>
      </w:r>
      <w:r>
        <w:t xml:space="preserve"> promoting the subject</w:t>
      </w:r>
      <w:r w:rsidRPr="00D8252E">
        <w:t xml:space="preserve"> and who fostered staff knowledge and confidence. </w:t>
      </w:r>
    </w:p>
    <w:p w:rsidR="00DD655C" w:rsidRPr="00CF1F50" w:rsidRDefault="00DD655C" w:rsidP="00D13194">
      <w:pPr>
        <w:pStyle w:val="Heading4"/>
      </w:pPr>
      <w:r w:rsidRPr="00CF1F50">
        <w:t>International differences</w:t>
      </w:r>
    </w:p>
    <w:p w:rsidR="00DD655C" w:rsidRDefault="00DD655C" w:rsidP="007C70A4">
      <w:pPr>
        <w:pStyle w:val="BodyText"/>
      </w:pPr>
      <w:r>
        <w:t>In addition to assessing mathematics achievement, the TIMSS 2010/11 study assessed the science achievement of New Zealand year 5 students (Caygill, Kirkham &amp; Marshall, 2013b). New Zealand year 5 students had relatively low science achievement when compared to the 52 other countries that took part in the current cycle, with 29 countries achieving higher mean scores (including all other English-speaking countries) and 17 countries performing worse than New Zealand. New Zealand’s mean science achievement was not significantly different to the international scale centre point.</w:t>
      </w:r>
    </w:p>
    <w:p w:rsidR="00DD655C" w:rsidRDefault="00DD655C" w:rsidP="007C70A4">
      <w:pPr>
        <w:pStyle w:val="BodyText"/>
      </w:pPr>
      <w:r>
        <w:t xml:space="preserve">New Zealand has now taken part in five cycles of TIMSS at the year 5 level, beginning with the 1994/95 cycle. After increasing steadily from 1994/95 to 2002/03, the average science achievement of year 5 students has declined </w:t>
      </w:r>
      <w:r w:rsidR="005B024E">
        <w:t>over recent years:</w:t>
      </w:r>
      <w:r>
        <w:t xml:space="preserve"> the average science achievement in 2010/11 was not significantly different to the</w:t>
      </w:r>
      <w:r w:rsidR="005B024E">
        <w:t xml:space="preserve"> average achievement in 1994/95</w:t>
      </w:r>
      <w:r>
        <w:t xml:space="preserve"> and was significantly lower than the mean performance in 2006/07.</w:t>
      </w:r>
    </w:p>
    <w:p w:rsidR="00DD655C" w:rsidRDefault="00DD655C" w:rsidP="007C70A4">
      <w:pPr>
        <w:pStyle w:val="BodyText"/>
      </w:pPr>
      <w:r>
        <w:t xml:space="preserve">The range of achievement within New Zealand was larger than </w:t>
      </w:r>
      <w:r w:rsidR="005B024E">
        <w:t xml:space="preserve">in </w:t>
      </w:r>
      <w:r>
        <w:t xml:space="preserve">nearly all other English-speaking countries that took part in the study. While </w:t>
      </w:r>
      <w:r w:rsidR="00C54418">
        <w:t xml:space="preserve">five per cent </w:t>
      </w:r>
      <w:r>
        <w:t>of year 5 students reached the International Advanced Benchmark (the same proportion as on average internationally), the percentage of New Zealand students who did not reach the lowest benchmark of achievement (14%) was nearly double the international median (</w:t>
      </w:r>
      <w:r w:rsidR="00C54418">
        <w:t>eight per cent</w:t>
      </w:r>
      <w:r>
        <w:t xml:space="preserve">). </w:t>
      </w:r>
    </w:p>
    <w:p w:rsidR="00DD655C" w:rsidRPr="00CF1F50" w:rsidRDefault="00DD655C" w:rsidP="00CF1F50">
      <w:pPr>
        <w:pStyle w:val="Heading4"/>
        <w:rPr>
          <w:szCs w:val="17"/>
        </w:rPr>
      </w:pPr>
      <w:r w:rsidRPr="00CF1F50">
        <w:rPr>
          <w:szCs w:val="17"/>
        </w:rPr>
        <w:t>Ethnic grouping differences</w:t>
      </w:r>
    </w:p>
    <w:p w:rsidR="00DD655C" w:rsidRDefault="00DD655C" w:rsidP="007C70A4">
      <w:pPr>
        <w:pStyle w:val="BodyText"/>
      </w:pPr>
      <w:r>
        <w:t>Differences between ethnic groupings were found in the mean science achievement of year 5 students in TIMSS 2010/11, with Pākehā/European and Asian students achieving higher on average than Māori and Pasifika students. Asian students displayed a significant decrease in achievement in 2010/11 compared to average achievement in 2006/07. No other ethnic groupings showed significant changes in achievement over the same time period; however</w:t>
      </w:r>
      <w:r w:rsidR="005B024E">
        <w:t>,</w:t>
      </w:r>
      <w:r>
        <w:t xml:space="preserve"> the average science achievement of Pākehā/European students is significantly lower than the average achievement in the first cycle in 1994/95. Both Māori and Pasifika students have shown a decrease in science achievement compared with average performance in 2002/03, after having shown a significant increase between 1994/95 and 2002/03. Māori and Pasifika students were also disproportionally represented amongst the lowest-achieving students compared to Asian and Pākehā/European students. </w:t>
      </w:r>
    </w:p>
    <w:p w:rsidR="00653C0C" w:rsidRDefault="00653C0C" w:rsidP="0096169F">
      <w:pPr>
        <w:pStyle w:val="BodyText"/>
        <w:rPr>
          <w:szCs w:val="28"/>
        </w:rPr>
      </w:pPr>
      <w:r>
        <w:br w:type="page"/>
      </w:r>
    </w:p>
    <w:p w:rsidR="00DD655C" w:rsidRDefault="00DD655C" w:rsidP="00CF1F50">
      <w:pPr>
        <w:pStyle w:val="Heading4"/>
        <w:rPr>
          <w:lang w:eastAsia="en-NZ"/>
        </w:rPr>
      </w:pPr>
      <w:r>
        <w:rPr>
          <w:lang w:eastAsia="en-NZ"/>
        </w:rPr>
        <w:t>Gender differences</w:t>
      </w:r>
    </w:p>
    <w:p w:rsidR="00DD655C" w:rsidRDefault="00DD655C" w:rsidP="007C70A4">
      <w:pPr>
        <w:pStyle w:val="BodyText"/>
      </w:pPr>
      <w:r>
        <w:t>No significant differences were found in the mean science achievement of year 5 boys and girls in the TIMSS 2010/11 cycle, although the range of achievement for boys was wider than for girls. Since 2002, there has been a consistent decrease in the mean science achievement for both boys and girls, although this decline has been more pronounced for girls. There were approximately the same proportions of both boys and girls displaying advanced science achievement in 2010/11, with five per</w:t>
      </w:r>
      <w:r w:rsidR="00AB3911">
        <w:t xml:space="preserve"> </w:t>
      </w:r>
      <w:r>
        <w:t>cent of girls and six per</w:t>
      </w:r>
      <w:r w:rsidR="00AB3911">
        <w:t xml:space="preserve"> </w:t>
      </w:r>
      <w:r>
        <w:t>cent of boys achieving at the highest benchmark of performance. The proportions of students who did not reach the lowest benchmark were also not significantly different.</w:t>
      </w:r>
    </w:p>
    <w:p w:rsidR="00DD655C" w:rsidRPr="00CF1F50" w:rsidRDefault="00DD655C" w:rsidP="00CF1F50">
      <w:pPr>
        <w:pStyle w:val="Heading4"/>
        <w:rPr>
          <w:szCs w:val="17"/>
        </w:rPr>
      </w:pPr>
      <w:r w:rsidRPr="00CF1F50">
        <w:rPr>
          <w:szCs w:val="17"/>
        </w:rPr>
        <w:t>Socio-economic differences</w:t>
      </w:r>
    </w:p>
    <w:p w:rsidR="00DD655C" w:rsidRDefault="005B024E" w:rsidP="007C70A4">
      <w:pPr>
        <w:pStyle w:val="BodyText"/>
      </w:pPr>
      <w:r>
        <w:t>In</w:t>
      </w:r>
      <w:r w:rsidR="00DD655C">
        <w:t xml:space="preserve"> TIMSS 2010/11, year 5 students with higher SES achieved higher average science scores than students with lower SES. Although there were high and low achieving students in all decile groupings, there were proportionally many more students from decile 9</w:t>
      </w:r>
      <w:r w:rsidR="00C54418">
        <w:rPr>
          <w:rFonts w:cs="Arial"/>
        </w:rPr>
        <w:t>–</w:t>
      </w:r>
      <w:r w:rsidR="00DD655C">
        <w:t>10 schools achieving at the high benchmarks (45% of students) compared to students from decile 1</w:t>
      </w:r>
      <w:r w:rsidR="00C54418">
        <w:rPr>
          <w:rFonts w:cs="Arial"/>
        </w:rPr>
        <w:t>–</w:t>
      </w:r>
      <w:r w:rsidR="00DD655C">
        <w:t>2 schools (</w:t>
      </w:r>
      <w:r w:rsidR="00C54418">
        <w:t xml:space="preserve">seven per cent </w:t>
      </w:r>
      <w:r w:rsidR="00DD655C">
        <w:t>of students). Students from lower decile schools were also disproportionally represented amongst the lowest achieving students, with 36% of students from decile 1</w:t>
      </w:r>
      <w:r w:rsidR="00C54418">
        <w:rPr>
          <w:rFonts w:cs="Arial"/>
        </w:rPr>
        <w:t>–</w:t>
      </w:r>
      <w:r w:rsidR="00DD655C">
        <w:t>2 schools not reaching the lowest international benchmark, compared to four per</w:t>
      </w:r>
      <w:r w:rsidR="00AB3911">
        <w:t xml:space="preserve"> </w:t>
      </w:r>
      <w:r w:rsidR="00DD655C">
        <w:t>cent of students from decile 9</w:t>
      </w:r>
      <w:r w:rsidR="00C54418">
        <w:rPr>
          <w:rFonts w:cs="Arial"/>
        </w:rPr>
        <w:t>–</w:t>
      </w:r>
      <w:r w:rsidR="00DD655C">
        <w:t>10 schools.</w:t>
      </w:r>
    </w:p>
    <w:p w:rsidR="00DD655C" w:rsidRPr="00CF1F50" w:rsidRDefault="00DD655C" w:rsidP="00CF1F50">
      <w:pPr>
        <w:pStyle w:val="Heading4"/>
        <w:rPr>
          <w:szCs w:val="17"/>
        </w:rPr>
      </w:pPr>
      <w:r w:rsidRPr="00CF1F50">
        <w:rPr>
          <w:szCs w:val="17"/>
        </w:rPr>
        <w:t>Attitudes towards science</w:t>
      </w:r>
    </w:p>
    <w:p w:rsidR="00DD655C" w:rsidRPr="00AE125F" w:rsidRDefault="00DD655C" w:rsidP="007C70A4">
      <w:pPr>
        <w:pStyle w:val="BodyText"/>
      </w:pPr>
      <w:bookmarkStart w:id="143" w:name="_Toc289074849"/>
      <w:bookmarkStart w:id="144" w:name="_Toc303511364"/>
      <w:bookmarkStart w:id="145" w:name="_Toc304799248"/>
      <w:r>
        <w:t>Eighty-seven per</w:t>
      </w:r>
      <w:r w:rsidR="00AB3911">
        <w:t xml:space="preserve"> </w:t>
      </w:r>
      <w:r>
        <w:t>cent of the year 5 students who participated in TIMSS 2010/11 agreed at least a little that they enjoyed learning science, while only 21% of students agreed that science is boring. This represents a higher proportion of students indicating that they enjoy science compared with previous years. The percentage of students who were positive about their ability to learn science was significantly lower, however, with 28% of students being confident with science, and 40% being somewhat confident. Positive attitudes towards both learning science and the ability to learn science were positively linked with science achievement.</w:t>
      </w:r>
    </w:p>
    <w:p w:rsidR="00DD655C" w:rsidRPr="004278C3" w:rsidRDefault="00DD655C" w:rsidP="004278C3">
      <w:pPr>
        <w:pStyle w:val="Heading3"/>
      </w:pPr>
      <w:r w:rsidRPr="004278C3">
        <w:t>Science in secondary schooling</w:t>
      </w:r>
      <w:bookmarkEnd w:id="143"/>
      <w:bookmarkEnd w:id="144"/>
      <w:bookmarkEnd w:id="145"/>
    </w:p>
    <w:p w:rsidR="00DD655C" w:rsidRPr="00CF1F50" w:rsidRDefault="00DD655C" w:rsidP="00D13194">
      <w:pPr>
        <w:pStyle w:val="Heading4"/>
      </w:pPr>
      <w:r w:rsidRPr="00CF1F50">
        <w:t xml:space="preserve">International </w:t>
      </w:r>
      <w:r w:rsidRPr="00D13194">
        <w:t>differences</w:t>
      </w:r>
    </w:p>
    <w:p w:rsidR="00DD655C" w:rsidRDefault="00DD655C" w:rsidP="007C70A4">
      <w:pPr>
        <w:pStyle w:val="BodyText"/>
      </w:pPr>
      <w:r>
        <w:t xml:space="preserve">TIMSS 2010/11 assessed the science achievement of New Zealand year 9 students compared with the achievement of lower secondary students in 43 other countries (Caygill, Kirkham and Marshall, 2013d). Overall, New Zealand performed well in terms of average science achievement. The mean science score for New Zealand students was significantly higher than the international centre point, and the mean achievement of 25 other countries. Ten countries scored higher on average than New Zealand, including the United States and England. </w:t>
      </w:r>
    </w:p>
    <w:p w:rsidR="00DD655C" w:rsidRPr="00065403" w:rsidRDefault="00DD655C" w:rsidP="007C70A4">
      <w:pPr>
        <w:pStyle w:val="BodyText"/>
      </w:pPr>
      <w:r>
        <w:t>New Zealand has now participated in four cycles of TIMSS since 1994/95, and there has been no significant change in average science achievement during this time. In the 2010/11 study, New Zealand had proportionally more advanced achievers than the international median, with nine per</w:t>
      </w:r>
      <w:r w:rsidR="00AB3911">
        <w:t xml:space="preserve"> </w:t>
      </w:r>
      <w:r>
        <w:t>cent of year 9 students achieving at the highest international benchmark</w:t>
      </w:r>
      <w:r w:rsidR="00494F40">
        <w:t xml:space="preserve"> compared with four per cent internationally</w:t>
      </w:r>
      <w:r>
        <w:t xml:space="preserve">. There was also a significantly lower proportion of very low achievers, with 10% of students not reaching the lowest level of performance, compared to an international median of 21%. </w:t>
      </w:r>
    </w:p>
    <w:p w:rsidR="00653C0C" w:rsidRDefault="00653C0C" w:rsidP="0096169F">
      <w:pPr>
        <w:pStyle w:val="BodyText"/>
        <w:rPr>
          <w:szCs w:val="28"/>
        </w:rPr>
      </w:pPr>
      <w:r>
        <w:br w:type="page"/>
      </w:r>
    </w:p>
    <w:p w:rsidR="00DD655C" w:rsidRPr="00CF1F50" w:rsidRDefault="00DD655C" w:rsidP="00CF1F50">
      <w:pPr>
        <w:pStyle w:val="Heading4"/>
      </w:pPr>
      <w:r w:rsidRPr="00CF1F50">
        <w:t>Ethnic grouping differences</w:t>
      </w:r>
    </w:p>
    <w:p w:rsidR="00DD655C" w:rsidRDefault="00DD655C" w:rsidP="007C70A4">
      <w:pPr>
        <w:pStyle w:val="BodyText"/>
      </w:pPr>
      <w:r w:rsidRPr="0087074E">
        <w:t>I</w:t>
      </w:r>
      <w:r w:rsidR="0087074E" w:rsidRPr="0087074E">
        <w:t>n 2012</w:t>
      </w:r>
      <w:r w:rsidRPr="0087074E">
        <w:t xml:space="preserve">, </w:t>
      </w:r>
      <w:r w:rsidR="0087074E" w:rsidRPr="0087074E">
        <w:t>59.8% of Māori and 60.5</w:t>
      </w:r>
      <w:r w:rsidRPr="0087074E">
        <w:t xml:space="preserve">% of Pasifika </w:t>
      </w:r>
      <w:r w:rsidR="0087074E" w:rsidRPr="0087074E">
        <w:t>15-year-old students</w:t>
      </w:r>
      <w:r w:rsidRPr="0087074E">
        <w:t xml:space="preserve"> achieved 14 or more credits in NCEA </w:t>
      </w:r>
      <w:r w:rsidR="0087074E" w:rsidRPr="0087074E">
        <w:t>Level 1 science compared to 78.4</w:t>
      </w:r>
      <w:r w:rsidRPr="0087074E">
        <w:t xml:space="preserve">% of </w:t>
      </w:r>
      <w:r w:rsidR="0087074E" w:rsidRPr="0087074E">
        <w:t>Pākehā/European and 80.7</w:t>
      </w:r>
      <w:r w:rsidRPr="0087074E">
        <w:t>% of Asian students. Participation</w:t>
      </w:r>
      <w:r w:rsidR="0087074E">
        <w:rPr>
          <w:rStyle w:val="FootnoteReference"/>
        </w:rPr>
        <w:footnoteReference w:id="16"/>
      </w:r>
      <w:r w:rsidRPr="0087074E">
        <w:t xml:space="preserve"> in science has increased for Māori </w:t>
      </w:r>
      <w:r w:rsidR="0087074E" w:rsidRPr="0087074E">
        <w:t>students</w:t>
      </w:r>
      <w:r w:rsidRPr="0087074E">
        <w:t xml:space="preserve"> sin</w:t>
      </w:r>
      <w:r w:rsidR="0087074E" w:rsidRPr="0087074E">
        <w:t>ce 2008, but there was a decrease in participation rates for Pasifika students in 2012</w:t>
      </w:r>
      <w:r w:rsidRPr="0087074E">
        <w:t xml:space="preserve">. </w:t>
      </w:r>
      <w:r w:rsidR="0087074E" w:rsidRPr="0087074E">
        <w:t>For Māori, 66.4</w:t>
      </w:r>
      <w:r w:rsidRPr="0087074E">
        <w:t xml:space="preserve">% of </w:t>
      </w:r>
      <w:r w:rsidR="0087074E" w:rsidRPr="0087074E">
        <w:t>15-year-old students</w:t>
      </w:r>
      <w:r w:rsidRPr="0087074E">
        <w:t xml:space="preserve"> participated in science</w:t>
      </w:r>
      <w:r w:rsidR="0087074E" w:rsidRPr="0087074E">
        <w:t>,</w:t>
      </w:r>
      <w:r w:rsidR="0087074E">
        <w:t xml:space="preserve"> up from 60.6</w:t>
      </w:r>
      <w:r w:rsidR="0087074E" w:rsidRPr="0087074E">
        <w:t>% in 2008. In 2012, 67.0</w:t>
      </w:r>
      <w:r w:rsidR="00F219DB">
        <w:t>% of Pasifika student</w:t>
      </w:r>
      <w:r w:rsidRPr="0087074E">
        <w:t>s particip</w:t>
      </w:r>
      <w:r w:rsidR="0087074E" w:rsidRPr="0087074E">
        <w:t>ated in science compared to a 62.6% participation rate in 2008 and 68.1% in 2011</w:t>
      </w:r>
      <w:r w:rsidRPr="0087074E">
        <w:t>.</w:t>
      </w:r>
    </w:p>
    <w:p w:rsidR="00BF6E11" w:rsidRPr="00BF6E11" w:rsidRDefault="00BF6E11" w:rsidP="00BF6E11">
      <w:pPr>
        <w:pStyle w:val="FigureHeading"/>
      </w:pPr>
      <w:bookmarkStart w:id="146" w:name="_Toc367361592"/>
      <w:r w:rsidRPr="0087074E">
        <w:t>Proportion of 15-year-old</w:t>
      </w:r>
      <w:r w:rsidR="00235FD2">
        <w:t xml:space="preserve"> </w:t>
      </w:r>
      <w:r w:rsidRPr="0087074E">
        <w:t>students participating in at least one science subject, 2008</w:t>
      </w:r>
      <w:r w:rsidR="00C54418">
        <w:rPr>
          <w:rFonts w:cs="Arial"/>
        </w:rPr>
        <w:t>–</w:t>
      </w:r>
      <w:r w:rsidRPr="0087074E">
        <w:t>2012</w:t>
      </w:r>
      <w:bookmarkEnd w:id="146"/>
    </w:p>
    <w:p w:rsidR="00BF6E11" w:rsidRDefault="00BF6E11" w:rsidP="007C70A4">
      <w:pPr>
        <w:pStyle w:val="BodyText"/>
        <w:rPr>
          <w:highlight w:val="yellow"/>
        </w:rPr>
      </w:pPr>
      <w:r>
        <w:rPr>
          <w:noProof/>
          <w:lang w:val="en-NZ"/>
        </w:rPr>
        <w:drawing>
          <wp:inline distT="0" distB="0" distL="0" distR="0">
            <wp:extent cx="5615940" cy="1889125"/>
            <wp:effectExtent l="19050" t="0" r="3810" b="0"/>
            <wp:docPr id="11" name="Picture 62" descr="Line graph showing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5_HR.png"/>
                    <pic:cNvPicPr/>
                  </pic:nvPicPr>
                  <pic:blipFill>
                    <a:blip r:embed="rId37" cstate="print"/>
                    <a:stretch>
                      <a:fillRect/>
                    </a:stretch>
                  </pic:blipFill>
                  <pic:spPr>
                    <a:xfrm>
                      <a:off x="0" y="0"/>
                      <a:ext cx="5615940" cy="1889125"/>
                    </a:xfrm>
                    <a:prstGeom prst="rect">
                      <a:avLst/>
                    </a:prstGeom>
                  </pic:spPr>
                </pic:pic>
              </a:graphicData>
            </a:graphic>
          </wp:inline>
        </w:drawing>
      </w:r>
    </w:p>
    <w:p w:rsidR="00DD655C" w:rsidRPr="00BF6E11" w:rsidRDefault="00DD655C" w:rsidP="007C70A4">
      <w:pPr>
        <w:pStyle w:val="BodyText"/>
        <w:rPr>
          <w:noProof/>
          <w:lang w:val="en-NZ"/>
        </w:rPr>
      </w:pPr>
      <w:r>
        <w:t>In TIMSS 2010/11, Asian and Pākehā/European students achieved higher average science scores compared with the average scores of Māori students; Māori students, in turn, achieved higher mean scores than Pasifika students. While the mean science achievement for Asian students has increased since the first cycle in 1994, between 2002 and 2010 there has been a significant decrease in average science achievement for Māori and Pasifika students. Pasifika students displayed a significant increase in average achievement between 1994/95 and 2002/03.</w:t>
      </w:r>
      <w:r w:rsidR="00BF6E11" w:rsidRPr="00BF6E11">
        <w:rPr>
          <w:noProof/>
          <w:lang w:val="en-NZ"/>
        </w:rPr>
        <w:t xml:space="preserve"> </w:t>
      </w:r>
    </w:p>
    <w:p w:rsidR="00FE1B3D" w:rsidRPr="00BF6E11" w:rsidRDefault="00DD655C" w:rsidP="00BF6E11">
      <w:pPr>
        <w:pStyle w:val="BodyText"/>
      </w:pPr>
      <w:r>
        <w:t>There were high achieving students in all ethnic groupings</w:t>
      </w:r>
      <w:r w:rsidR="005B024E">
        <w:t xml:space="preserve"> but</w:t>
      </w:r>
      <w:r>
        <w:t xml:space="preserve"> there were proportionally more advanced achievers amongst Asian and Pākehā/European students compared with Māori and Pasifika students. There was also significant disparity between the proportions of students in the low achieving group, with 21% of Māori students and 30% of Pasifika students not reaching the lowest international benchmark. Four per</w:t>
      </w:r>
      <w:r w:rsidR="00AB3911">
        <w:t xml:space="preserve"> </w:t>
      </w:r>
      <w:r>
        <w:t>cent of Asian students and five per</w:t>
      </w:r>
      <w:r w:rsidR="00AB3911">
        <w:t xml:space="preserve"> </w:t>
      </w:r>
      <w:r>
        <w:t xml:space="preserve">cent of Pākehā/European students were in this low performing group. </w:t>
      </w:r>
    </w:p>
    <w:p w:rsidR="00DD655C" w:rsidRDefault="00DD655C" w:rsidP="00CF1F50">
      <w:pPr>
        <w:pStyle w:val="Heading4"/>
        <w:rPr>
          <w:lang w:val="en-NZ"/>
        </w:rPr>
      </w:pPr>
      <w:r w:rsidRPr="00C41329">
        <w:rPr>
          <w:lang w:val="en-NZ"/>
        </w:rPr>
        <w:t>Gender differences</w:t>
      </w:r>
    </w:p>
    <w:p w:rsidR="00DD655C" w:rsidRDefault="00CE6C6C" w:rsidP="007C70A4">
      <w:pPr>
        <w:pStyle w:val="BodyText"/>
        <w:rPr>
          <w:highlight w:val="yellow"/>
        </w:rPr>
      </w:pPr>
      <w:r>
        <w:t>A significant difference in science achievement between year 9 boys and girls was found i</w:t>
      </w:r>
      <w:r w:rsidRPr="00D7457B">
        <w:t>n TIMSS 2010/11,</w:t>
      </w:r>
      <w:r>
        <w:t xml:space="preserve"> with boys having</w:t>
      </w:r>
      <w:r w:rsidRPr="00D7457B">
        <w:t xml:space="preserve"> higher average science achievement than girls.</w:t>
      </w:r>
      <w:r>
        <w:t xml:space="preserve"> This is the first time since 1994 that a significant gender difference has been found, and it is largely the result of a large decline in the average science achievement of girls since 2002. In addition to achieving higher overall, there were proportionally more boys than girls among the highest achieving students, with 12% of boys and six per</w:t>
      </w:r>
      <w:r w:rsidR="00045C8B">
        <w:t xml:space="preserve"> </w:t>
      </w:r>
      <w:r>
        <w:t>cent of girls reaching the most advanced levels of science achievement. Both boys and girls had similar proportions of students in the lowest achieving group; nine per</w:t>
      </w:r>
      <w:r w:rsidR="00AB3911">
        <w:t xml:space="preserve"> </w:t>
      </w:r>
      <w:r>
        <w:t>cent of boys and 11% of girls did not reach the lowest international benchmark of performance.</w:t>
      </w:r>
      <w:r w:rsidR="00DD655C" w:rsidRPr="00591FCE">
        <w:rPr>
          <w:highlight w:val="yellow"/>
        </w:rPr>
        <w:t xml:space="preserve"> </w:t>
      </w:r>
    </w:p>
    <w:p w:rsidR="00DD655C" w:rsidRPr="00CF1F50" w:rsidRDefault="00DD655C" w:rsidP="00CF1F50">
      <w:pPr>
        <w:pStyle w:val="Heading4"/>
        <w:rPr>
          <w:szCs w:val="17"/>
        </w:rPr>
      </w:pPr>
      <w:r w:rsidRPr="00CF1F50">
        <w:rPr>
          <w:szCs w:val="17"/>
        </w:rPr>
        <w:t>Socio-economic differences</w:t>
      </w:r>
    </w:p>
    <w:p w:rsidR="00DD655C" w:rsidRDefault="005B024E" w:rsidP="00CF1F50">
      <w:pPr>
        <w:pStyle w:val="BodyText"/>
      </w:pPr>
      <w:r>
        <w:t>In</w:t>
      </w:r>
      <w:r w:rsidR="00DD655C">
        <w:t xml:space="preserve"> TIMSS 2010/11, year 9 students with higher SES achieved higher mean science scores than students with lower SES. There were high and low achieving students in all decile groupings</w:t>
      </w:r>
      <w:r w:rsidR="00F319B9">
        <w:t xml:space="preserve"> but</w:t>
      </w:r>
      <w:r w:rsidR="00DD655C">
        <w:t xml:space="preserve"> students in higher decile schools were disproportionately represented among the </w:t>
      </w:r>
      <w:r w:rsidR="00F319B9">
        <w:t>group of high science achievers:</w:t>
      </w:r>
      <w:r w:rsidR="00DD655C">
        <w:t xml:space="preserve"> 14% of students in decile 9</w:t>
      </w:r>
      <w:r w:rsidR="00A03482">
        <w:rPr>
          <w:rFonts w:cs="Arial"/>
        </w:rPr>
        <w:t>–</w:t>
      </w:r>
      <w:r w:rsidR="00DD655C">
        <w:t>10 schools achieved at or above the advanced benchmark, whereas only three per cent of students in decile 1</w:t>
      </w:r>
      <w:r w:rsidR="00C54418">
        <w:t>–</w:t>
      </w:r>
      <w:r w:rsidR="00DD655C">
        <w:t>2 schools reached the same level of performance. There was also disparity in the proportions of low achievers from each decile grouping, with 30% of students in decile 1</w:t>
      </w:r>
      <w:r w:rsidR="00C54418">
        <w:rPr>
          <w:rFonts w:cs="Arial"/>
        </w:rPr>
        <w:t>–</w:t>
      </w:r>
      <w:r w:rsidR="00DD655C">
        <w:t>2 schools not reaching the lowest international benchmark in science compared with three per cent of students in decile 9</w:t>
      </w:r>
      <w:r w:rsidR="00C54418">
        <w:rPr>
          <w:rFonts w:cs="Arial"/>
        </w:rPr>
        <w:t>–</w:t>
      </w:r>
      <w:r w:rsidR="00DD655C">
        <w:t>10 schools.</w:t>
      </w:r>
    </w:p>
    <w:p w:rsidR="00DD655C" w:rsidRPr="009B7FE8" w:rsidRDefault="00DD655C" w:rsidP="00CF1F50">
      <w:pPr>
        <w:pStyle w:val="Heading4"/>
        <w:rPr>
          <w:lang w:eastAsia="en-NZ"/>
        </w:rPr>
      </w:pPr>
      <w:r w:rsidRPr="009B7FE8">
        <w:rPr>
          <w:lang w:eastAsia="en-NZ"/>
        </w:rPr>
        <w:t>Attitudes towards science</w:t>
      </w:r>
    </w:p>
    <w:p w:rsidR="00DD655C" w:rsidRPr="009B7FE8" w:rsidRDefault="00DD655C" w:rsidP="007C70A4">
      <w:pPr>
        <w:pStyle w:val="BodyText"/>
      </w:pPr>
      <w:r>
        <w:t>Year 9 students in TIMSS 2010/11 were generally positive about science education, with 71% of students agreeing that they enjoyed learning scienc</w:t>
      </w:r>
      <w:r w:rsidR="00F319B9">
        <w:t xml:space="preserve">e, but </w:t>
      </w:r>
      <w:r>
        <w:t xml:space="preserve">a significant proportion of students also </w:t>
      </w:r>
      <w:r w:rsidR="00F319B9">
        <w:t>considered science to be</w:t>
      </w:r>
      <w:r>
        <w:t xml:space="preserve"> boring (43%). Positive attitudes towards ability to learn science was linked with higher average science achievement, however only 14% of students were classified as being confident in their ability to learn science.</w:t>
      </w:r>
    </w:p>
    <w:p w:rsidR="006869EE" w:rsidRPr="00D7457B" w:rsidRDefault="006869EE" w:rsidP="006869EE">
      <w:pPr>
        <w:pStyle w:val="Heading-Wheretofindmore"/>
      </w:pPr>
      <w:r w:rsidRPr="00D7457B">
        <w:t>Where to find out more</w:t>
      </w:r>
    </w:p>
    <w:p w:rsidR="006869EE" w:rsidRPr="00D7457B" w:rsidRDefault="006869EE" w:rsidP="006869EE">
      <w:pPr>
        <w:pStyle w:val="Figure"/>
        <w:rPr>
          <w:highlight w:val="yellow"/>
        </w:rPr>
      </w:pPr>
      <w:r>
        <w:rPr>
          <w:noProof/>
          <w:lang w:val="en-NZ"/>
        </w:rPr>
        <w:drawing>
          <wp:inline distT="0" distB="0" distL="0" distR="0">
            <wp:extent cx="5613952" cy="920420"/>
            <wp:effectExtent l="19050" t="0" r="5798" b="0"/>
            <wp:docPr id="21" name="Picture 20" descr="Find out more - Chapter 3_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out more - Chapter 3_Science.png"/>
                    <pic:cNvPicPr/>
                  </pic:nvPicPr>
                  <pic:blipFill>
                    <a:blip r:embed="rId38" cstate="print"/>
                    <a:stretch>
                      <a:fillRect/>
                    </a:stretch>
                  </pic:blipFill>
                  <pic:spPr>
                    <a:xfrm>
                      <a:off x="0" y="0"/>
                      <a:ext cx="5613952" cy="920420"/>
                    </a:xfrm>
                    <a:prstGeom prst="rect">
                      <a:avLst/>
                    </a:prstGeom>
                  </pic:spPr>
                </pic:pic>
              </a:graphicData>
            </a:graphic>
          </wp:inline>
        </w:drawing>
      </w:r>
    </w:p>
    <w:p w:rsidR="006869EE" w:rsidRDefault="006869EE" w:rsidP="00CF1F50">
      <w:pPr>
        <w:pStyle w:val="BodyText"/>
        <w:sectPr w:rsidR="006869EE" w:rsidSect="00DC392D">
          <w:headerReference w:type="default" r:id="rId39"/>
          <w:pgSz w:w="11906" w:h="16838"/>
          <w:pgMar w:top="1701" w:right="1361" w:bottom="1134" w:left="1701" w:header="709" w:footer="709" w:gutter="0"/>
          <w:cols w:space="567"/>
          <w:docGrid w:linePitch="360"/>
        </w:sectPr>
      </w:pPr>
    </w:p>
    <w:p w:rsidR="006B3D78" w:rsidRPr="006F1969" w:rsidRDefault="006B3D78" w:rsidP="006B3D78">
      <w:pPr>
        <w:pStyle w:val="Heading1"/>
      </w:pPr>
      <w:bookmarkStart w:id="147" w:name="_Toc367361640"/>
      <w:bookmarkStart w:id="148" w:name="_Toc300319681"/>
      <w:bookmarkEnd w:id="94"/>
      <w:bookmarkEnd w:id="95"/>
      <w:r w:rsidRPr="006F1969">
        <w:t xml:space="preserve">Chapter 4: </w:t>
      </w:r>
      <w:r w:rsidR="00F219DB">
        <w:t>Student</w:t>
      </w:r>
      <w:r w:rsidRPr="006F1969">
        <w:t xml:space="preserve"> outcomes</w:t>
      </w:r>
      <w:bookmarkEnd w:id="147"/>
    </w:p>
    <w:p w:rsidR="006B3D78" w:rsidRPr="006F1969" w:rsidRDefault="006B3D78" w:rsidP="006B3D78">
      <w:pPr>
        <w:pStyle w:val="BodyText"/>
      </w:pPr>
      <w:r w:rsidRPr="006F1969">
        <w:t>A successful school produces school leavers who are motivated,</w:t>
      </w:r>
      <w:r w:rsidR="00D53436">
        <w:t xml:space="preserve"> self-directed, lifelong learner</w:t>
      </w:r>
      <w:r w:rsidRPr="006F1969">
        <w:t xml:space="preserve">s. Completion of senior secondary education is associated with a range of economic and social benefits (see Scott &amp; Smart, 2005; Earle, 2009). </w:t>
      </w:r>
    </w:p>
    <w:p w:rsidR="006B3D78" w:rsidRPr="006F1969" w:rsidRDefault="00FB6C8C" w:rsidP="006B3D78">
      <w:pPr>
        <w:pStyle w:val="BodyText"/>
      </w:pPr>
      <w:r>
        <w:t>T</w:t>
      </w:r>
      <w:r w:rsidR="006B3D78" w:rsidRPr="006F1969">
        <w:t xml:space="preserve">o enter degree-level tertiary education in most institutions, students under 25 must attain 42 NCEA Level 3 credits, 28 of which must be in subjects that are part of an approved list of University Entrance subjects. </w:t>
      </w:r>
    </w:p>
    <w:p w:rsidR="006B3D78" w:rsidRPr="0089323C" w:rsidRDefault="006B3D78" w:rsidP="006B3D78">
      <w:pPr>
        <w:pStyle w:val="Heading2"/>
        <w:rPr>
          <w:bCs/>
        </w:rPr>
      </w:pPr>
      <w:bookmarkStart w:id="149" w:name="_Toc367361641"/>
      <w:bookmarkStart w:id="150" w:name="_Toc300319673"/>
      <w:bookmarkStart w:id="151" w:name="_Toc303511366"/>
      <w:r w:rsidRPr="0089323C">
        <w:rPr>
          <w:bCs/>
        </w:rPr>
        <w:t>Proportion of 18-year-olds with NCEA Level 2 or equivalent qualification</w:t>
      </w:r>
      <w:bookmarkEnd w:id="149"/>
    </w:p>
    <w:p w:rsidR="006B3D78" w:rsidRDefault="006B3D78" w:rsidP="006B3D78">
      <w:pPr>
        <w:pStyle w:val="BodyText"/>
      </w:pPr>
      <w:r w:rsidRPr="0089323C">
        <w:t>The Better Public Services programme is an initiative to increase the efficiency and productivi</w:t>
      </w:r>
      <w:r w:rsidR="005B4673">
        <w:t>ty of the public services. As part of the programme</w:t>
      </w:r>
      <w:r w:rsidRPr="0089323C">
        <w:t xml:space="preserve"> the Government has set a target of increasing the proportion of 18-year-olds with an NCEA Level 2 or equivalent qualification to 85% by 2017, </w:t>
      </w:r>
      <w:r>
        <w:t xml:space="preserve">attained </w:t>
      </w:r>
      <w:r w:rsidRPr="0089323C">
        <w:t>either through school</w:t>
      </w:r>
      <w:r w:rsidRPr="0089323C">
        <w:rPr>
          <w:i/>
        </w:rPr>
        <w:t xml:space="preserve"> </w:t>
      </w:r>
      <w:r w:rsidRPr="009A47F5">
        <w:rPr>
          <w:b/>
        </w:rPr>
        <w:t>or</w:t>
      </w:r>
      <w:r w:rsidRPr="0089323C">
        <w:t xml:space="preserve"> through </w:t>
      </w:r>
      <w:r>
        <w:t>tertiary study</w:t>
      </w:r>
      <w:r w:rsidRPr="0089323C">
        <w:t xml:space="preserve">. </w:t>
      </w:r>
    </w:p>
    <w:p w:rsidR="006B3D78" w:rsidRPr="000813F7" w:rsidRDefault="006B3D78" w:rsidP="000813F7">
      <w:pPr>
        <w:pStyle w:val="BodyText"/>
        <w:rPr>
          <w:highlight w:val="yellow"/>
        </w:rPr>
      </w:pPr>
      <w:r w:rsidRPr="00650FA1">
        <w:t>Figure 1</w:t>
      </w:r>
      <w:r w:rsidR="00650FA1" w:rsidRPr="00650FA1">
        <w:t>6</w:t>
      </w:r>
      <w:r w:rsidRPr="00650FA1">
        <w:t xml:space="preserve"> shows</w:t>
      </w:r>
      <w:r w:rsidRPr="000813F7">
        <w:t xml:space="preserve"> actual 2011 and 2012 Level 2 attainment rates, 2011 forecasted attainment rates, and the 2011 calculations of the extra percentage of the total 18-year-old projected population that would need to achieve Level 2 to hit the 85% target. It is predicted that, in 2017, an extra 3.8% of 18-year-olds would need to achieve to reach this target, over and above the forecast improvement. This equates to around an extra 2,200 students.</w:t>
      </w:r>
    </w:p>
    <w:p w:rsidR="006B3D78" w:rsidRPr="00EC3ABC" w:rsidRDefault="006B3D78" w:rsidP="006B3D78">
      <w:pPr>
        <w:pStyle w:val="FigureHeading"/>
      </w:pPr>
      <w:bookmarkStart w:id="152" w:name="_Toc367361593"/>
      <w:r w:rsidRPr="00EC3ABC">
        <w:t xml:space="preserve">BPS Target: </w:t>
      </w:r>
      <w:r>
        <w:t>Previously p</w:t>
      </w:r>
      <w:r w:rsidRPr="00EC3ABC">
        <w:t>redicted, required, and actual attainment rates o</w:t>
      </w:r>
      <w:r w:rsidR="008A3A70">
        <w:t>f 18-year-olds with at least a L</w:t>
      </w:r>
      <w:r w:rsidRPr="00EC3ABC">
        <w:t>evel 2 qualification</w:t>
      </w:r>
      <w:r w:rsidR="008A3A70">
        <w:t>, by ethnicity</w:t>
      </w:r>
      <w:r>
        <w:t>, 2011</w:t>
      </w:r>
      <w:r w:rsidR="00C54418">
        <w:t>–</w:t>
      </w:r>
      <w:r>
        <w:t>2017</w:t>
      </w:r>
      <w:bookmarkEnd w:id="152"/>
    </w:p>
    <w:p w:rsidR="006B3D78" w:rsidRPr="004278C3" w:rsidRDefault="00CE7310" w:rsidP="00FE1B3D">
      <w:pPr>
        <w:pStyle w:val="Figure"/>
        <w:rPr>
          <w:highlight w:val="yellow"/>
        </w:rPr>
      </w:pPr>
      <w:r>
        <w:rPr>
          <w:noProof/>
          <w:lang w:val="en-NZ"/>
        </w:rPr>
        <w:drawing>
          <wp:inline distT="0" distB="0" distL="0" distR="0">
            <wp:extent cx="5615940" cy="1894205"/>
            <wp:effectExtent l="19050" t="0" r="3810" b="0"/>
            <wp:docPr id="5" name="Picture 4" descr="Line graphs showing 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6_HR_v2.png"/>
                    <pic:cNvPicPr/>
                  </pic:nvPicPr>
                  <pic:blipFill>
                    <a:blip r:embed="rId40" cstate="print"/>
                    <a:stretch>
                      <a:fillRect/>
                    </a:stretch>
                  </pic:blipFill>
                  <pic:spPr>
                    <a:xfrm>
                      <a:off x="0" y="0"/>
                      <a:ext cx="5615940" cy="1894205"/>
                    </a:xfrm>
                    <a:prstGeom prst="rect">
                      <a:avLst/>
                    </a:prstGeom>
                  </pic:spPr>
                </pic:pic>
              </a:graphicData>
            </a:graphic>
          </wp:inline>
        </w:drawing>
      </w:r>
    </w:p>
    <w:p w:rsidR="006B3D78" w:rsidRPr="00EC3ABC" w:rsidRDefault="006B3D78" w:rsidP="006B3D78">
      <w:pPr>
        <w:pStyle w:val="TableFootnote"/>
        <w:rPr>
          <w:lang w:val="en-NZ"/>
        </w:rPr>
      </w:pPr>
      <w:r w:rsidRPr="00EC3ABC">
        <w:rPr>
          <w:b/>
        </w:rPr>
        <w:t>Note:</w:t>
      </w:r>
      <w:r w:rsidRPr="00EC3ABC">
        <w:rPr>
          <w:b/>
        </w:rPr>
        <w:br/>
      </w:r>
      <w:r w:rsidRPr="00EC3ABC">
        <w:rPr>
          <w:lang w:val="en-NZ"/>
        </w:rPr>
        <w:t>For this analysis, total response ethnic group has been used,</w:t>
      </w:r>
    </w:p>
    <w:p w:rsidR="006B3D78" w:rsidRPr="000813F7" w:rsidRDefault="006B3D78" w:rsidP="000813F7">
      <w:pPr>
        <w:pStyle w:val="BodyText"/>
      </w:pPr>
      <w:r w:rsidRPr="000813F7">
        <w:t>In 2012, 77.2% of 18-year-olds had attained NCEA Level 2 or an equivalent</w:t>
      </w:r>
      <w:r w:rsidR="00FB6C8C">
        <w:t xml:space="preserve"> qualification. This represents</w:t>
      </w:r>
      <w:r w:rsidRPr="000813F7">
        <w:t xml:space="preserve"> an increase of 2.9 percentage points on the 2011 percentage (74.3%), exceeding the required growth rate of 1.8 percentage points needed to meet the 2017 target. This increase means that in order to stay on target,</w:t>
      </w:r>
      <w:r w:rsidR="00235FD2">
        <w:t xml:space="preserve"> </w:t>
      </w:r>
      <w:r w:rsidRPr="000813F7">
        <w:t>a growth rate of at least 0.7 of a percentage point is required in 2013; this equates to an additional 352 18-year-olds achieving NCEA Level 2 or above (compared to 2012 results).</w:t>
      </w:r>
      <w:r w:rsidR="00235FD2">
        <w:t xml:space="preserve"> </w:t>
      </w:r>
      <w:r w:rsidRPr="000813F7">
        <w:t xml:space="preserve">An estimated 92% of these students attained their qualification in a schooling setting and </w:t>
      </w:r>
      <w:r w:rsidR="00F0676E">
        <w:t>eight per cent</w:t>
      </w:r>
      <w:r w:rsidRPr="000813F7">
        <w:t xml:space="preserve"> completed this qualification in a tertiary setting. </w:t>
      </w:r>
    </w:p>
    <w:p w:rsidR="006B3D78" w:rsidRPr="000813F7" w:rsidRDefault="006B3D78" w:rsidP="000813F7">
      <w:pPr>
        <w:pStyle w:val="BodyText"/>
      </w:pPr>
      <w:r w:rsidRPr="000813F7">
        <w:t>The proportions of Pasifika (68.1%) and Māori (60.9%) 18-year-olds attaining NCEA Level 2 or above in 2012 were below the proportions required to reach the 85% target in 2017 (68.8% for Pasifika 18-year-olds and 61.8% for Māori 18-year-olds). Accelerated achievement was</w:t>
      </w:r>
      <w:r w:rsidR="005B4673" w:rsidRPr="000813F7">
        <w:t>, however,</w:t>
      </w:r>
      <w:r w:rsidRPr="000813F7">
        <w:t xml:space="preserve"> displayed by both ethnic groups</w:t>
      </w:r>
      <w:r w:rsidR="005B4673" w:rsidRPr="000813F7">
        <w:t xml:space="preserve">, </w:t>
      </w:r>
      <w:r w:rsidRPr="000813F7">
        <w:t xml:space="preserve">with the proportions achieving NCEA Level 2 or above in 2012 being higher than the proportions predicted based on </w:t>
      </w:r>
      <w:r w:rsidR="005B4673" w:rsidRPr="000813F7">
        <w:t>previous</w:t>
      </w:r>
      <w:r w:rsidRPr="000813F7">
        <w:t xml:space="preserve"> trends (66.5% for Pasifika and 58.5% for Māori); the proportion of Māori 18-year-olds attaining NCEA Level 2 or above increased by 3.8 percentage points between 2011 and 2012, and the proportion of Pasifika 18-year-olds increased by 2.6 percentage points over the same time period.</w:t>
      </w:r>
    </w:p>
    <w:p w:rsidR="005B4673" w:rsidRPr="000813F7" w:rsidRDefault="005B4673" w:rsidP="000813F7">
      <w:pPr>
        <w:pStyle w:val="BodyText"/>
      </w:pPr>
      <w:r w:rsidRPr="000813F7">
        <w:t>In mid-2012 a taskforce was set up by the Ministry to assist with the acceleration of student achievement towards the target of 85% of 18-year-olds achieving NCEA Level 2 or above by 2017. During 2012, a small pilot was run in secondary schools as a part of this work programme, aiming to implement strategies to accelerate achievement for underachieving students. The strategies included individual mentoring and academic coaching, quality information-sharing across the school, and help with study skills. Results were positive, with over 60% of supported Māori and Pasifika students achieving NCEA Level 2. This pilot has been extende</w:t>
      </w:r>
      <w:r w:rsidR="00FB6C8C">
        <w:t>d in 2013</w:t>
      </w:r>
      <w:r w:rsidRPr="000813F7">
        <w:t xml:space="preserve">, focusing on </w:t>
      </w:r>
      <w:r w:rsidR="00FB6C8C">
        <w:t xml:space="preserve">the </w:t>
      </w:r>
      <w:r w:rsidRPr="000813F7">
        <w:t xml:space="preserve">30% of schools that had over 70% of 16 and 17-year-old Māori and Pasifika students who did not achieve NCEA Level 2 in 2012. The work outlined in Chapter One that </w:t>
      </w:r>
      <w:r w:rsidR="00CD2568" w:rsidRPr="000813F7">
        <w:t>is being undertaken by the Youth Guarantee project also contributes to the Ministry’s efforts to accelerate achievement in order to reach the 2017 target.</w:t>
      </w:r>
    </w:p>
    <w:p w:rsidR="00CD2568" w:rsidRPr="000813F7" w:rsidRDefault="00CD2568" w:rsidP="000813F7">
      <w:pPr>
        <w:pStyle w:val="BodyText"/>
      </w:pPr>
      <w:r w:rsidRPr="000813F7">
        <w:t>Efforts in this area have also focused on family and whānau, with more than 3,600 parents and caregivers attending NCEA and the Whānau workshops since September 2011. These workshops, delivered in partnership by the New Zealand Qualifications Authority, the Ministry of Education and Careers New Zealand, explain to whānau how NCEA works, how their children can achieve it, and how they can most effectively help their children and work with their schools to raise achievement.</w:t>
      </w:r>
    </w:p>
    <w:p w:rsidR="006B3D78" w:rsidRPr="006F1969" w:rsidRDefault="006B3D78" w:rsidP="006B3D78">
      <w:pPr>
        <w:pStyle w:val="Heading2"/>
      </w:pPr>
      <w:bookmarkStart w:id="153" w:name="_Toc367361642"/>
      <w:r w:rsidRPr="006F1969">
        <w:t>School-leaver</w:t>
      </w:r>
      <w:bookmarkEnd w:id="150"/>
      <w:r w:rsidRPr="006F1969">
        <w:t xml:space="preserve"> qualifications</w:t>
      </w:r>
      <w:bookmarkEnd w:id="151"/>
      <w:r>
        <w:rPr>
          <w:rStyle w:val="FootnoteReference"/>
        </w:rPr>
        <w:footnoteReference w:id="17"/>
      </w:r>
      <w:bookmarkEnd w:id="153"/>
    </w:p>
    <w:p w:rsidR="006B3D78" w:rsidRPr="006F1969" w:rsidRDefault="006B3D78" w:rsidP="006B3D78">
      <w:pPr>
        <w:pStyle w:val="BodyText"/>
      </w:pPr>
      <w:r w:rsidRPr="006F1969">
        <w:t>People with higher levels of qualification are more likely to participate in the labour market, face lower risks of unemployment, have greater access to further training</w:t>
      </w:r>
      <w:r w:rsidR="00FB6C8C">
        <w:t>,</w:t>
      </w:r>
      <w:r w:rsidRPr="006F1969">
        <w:t xml:space="preserve"> and receive higher earnings on average.</w:t>
      </w:r>
    </w:p>
    <w:p w:rsidR="006B3D78" w:rsidRPr="009C0748" w:rsidRDefault="006B3D78" w:rsidP="002E741F">
      <w:pPr>
        <w:pStyle w:val="Heading3"/>
      </w:pPr>
      <w:bookmarkStart w:id="154" w:name="_Toc300319697"/>
      <w:r w:rsidRPr="009C0748">
        <w:t>School leavers with NCEA Level 1 or above</w:t>
      </w:r>
      <w:bookmarkEnd w:id="154"/>
    </w:p>
    <w:p w:rsidR="006B3D78" w:rsidRPr="004539BB" w:rsidRDefault="006B3D78" w:rsidP="006B3D78">
      <w:pPr>
        <w:pStyle w:val="BodyText"/>
      </w:pPr>
      <w:r w:rsidRPr="009C0748">
        <w:t xml:space="preserve">In 2012, 85.2% of all school leavers attained at least NCEA Level 1. </w:t>
      </w:r>
      <w:r>
        <w:t>This is just under one percentage point higher than the proportion of school leavers who attained at least NCEA Level 1 in 2011 (84.3%); s</w:t>
      </w:r>
      <w:r w:rsidRPr="004539BB">
        <w:t xml:space="preserve">ince 2009 </w:t>
      </w:r>
      <w:r>
        <w:t xml:space="preserve">(80.7%) </w:t>
      </w:r>
      <w:r w:rsidRPr="004539BB">
        <w:t>there has been an increase of 5.5% in school leavers who attain at least NCEA Level 1</w:t>
      </w:r>
      <w:r>
        <w:t>. Continuing a historic trend, f</w:t>
      </w:r>
      <w:r w:rsidRPr="009C0748">
        <w:t>emale school leavers (87.1%) achieved at a higher rate than their male counterparts did (83.4%). The total number of</w:t>
      </w:r>
      <w:r>
        <w:t xml:space="preserve"> school leavers recorded in 2012</w:t>
      </w:r>
      <w:r w:rsidRPr="009C0748">
        <w:t xml:space="preserve"> was 60,019.</w:t>
      </w:r>
    </w:p>
    <w:p w:rsidR="006B3D78" w:rsidRPr="009C0748" w:rsidRDefault="006B3D78" w:rsidP="006B3D78">
      <w:pPr>
        <w:pStyle w:val="Heading4"/>
      </w:pPr>
      <w:r w:rsidRPr="009C0748">
        <w:t>Ethnic group differences</w:t>
      </w:r>
    </w:p>
    <w:p w:rsidR="006B3D78" w:rsidRDefault="006B3D78" w:rsidP="006B3D78">
      <w:pPr>
        <w:pStyle w:val="BodyText"/>
      </w:pPr>
      <w:r w:rsidRPr="009C0748">
        <w:t>When looking at total responses for ethnic group, in 2012 Asian students had the highest proportion of school leavers attaining at least NCEA Level 1 (92.9%), which was 3.5 percentage points higher than the percentage of Pākehā/European (89.4%) students. Pasifika (78.8%) and M</w:t>
      </w:r>
      <w:r w:rsidRPr="009C0748">
        <w:rPr>
          <w:rFonts w:hint="eastAsia"/>
        </w:rPr>
        <w:t>ā</w:t>
      </w:r>
      <w:r w:rsidRPr="009C0748">
        <w:t>ori (70.5%) students had the lowest rates of achievement.</w:t>
      </w:r>
    </w:p>
    <w:p w:rsidR="006B3D78" w:rsidRPr="0060013A" w:rsidRDefault="006B3D78" w:rsidP="006B3D78">
      <w:pPr>
        <w:pStyle w:val="BodyText"/>
        <w:rPr>
          <w:highlight w:val="yellow"/>
        </w:rPr>
      </w:pPr>
      <w:r w:rsidRPr="009100B7">
        <w:t xml:space="preserve">Looking at the ethnic group trends, the largest proportional increase in those attaining at least NCEA Level 1 has been in Māori school leavers, with an increase of 11.3% between 2009 (63.3%) and 2012 (70.5%). Pasifika school leavers have also shown improvement, with an increase of 7.0% between 2009 (73.7%) and 2012 (78.8%). This can be compared to the European/Pākehā school leavers, who had a smaller proportional increase in NCEA Level1 achievement of 4.6% between 2009 (85.5%) and 2012 (89.4%). </w:t>
      </w:r>
      <w:r>
        <w:t>While this</w:t>
      </w:r>
      <w:r w:rsidRPr="009100B7">
        <w:t xml:space="preserve"> indicates that the disparities between the different ethnic groups are reducing, the disparity is still large for Māori and Pasifika students.</w:t>
      </w:r>
    </w:p>
    <w:p w:rsidR="00653C0C" w:rsidRDefault="00653C0C" w:rsidP="0096169F">
      <w:pPr>
        <w:pStyle w:val="BodyText"/>
      </w:pPr>
      <w:r>
        <w:br w:type="page"/>
      </w:r>
    </w:p>
    <w:p w:rsidR="006B3D78" w:rsidRPr="002A35BE" w:rsidRDefault="006B3D78" w:rsidP="006B3D78">
      <w:pPr>
        <w:pStyle w:val="BodyText"/>
      </w:pPr>
      <w:r>
        <w:t>In a 2011</w:t>
      </w:r>
      <w:r w:rsidR="00030453">
        <w:t xml:space="preserve">, </w:t>
      </w:r>
      <w:r>
        <w:t xml:space="preserve">mid-term review of </w:t>
      </w:r>
      <w:r>
        <w:rPr>
          <w:i/>
        </w:rPr>
        <w:t xml:space="preserve">Ka Hikitia </w:t>
      </w:r>
      <w:r w:rsidR="00A03482">
        <w:rPr>
          <w:rFonts w:cs="Arial"/>
          <w:i/>
        </w:rPr>
        <w:t>―</w:t>
      </w:r>
      <w:r>
        <w:rPr>
          <w:i/>
        </w:rPr>
        <w:t xml:space="preserve"> Managing for Success</w:t>
      </w:r>
      <w:r>
        <w:t xml:space="preserve"> a target was set to reduce the percentage of Māori students leaving secondary school without a qualification from 34% in 2010 to 24% in 2015. Progress was made against this target in 2012, with 29.5% of Māori students leaving school without a qualification, a reduction of 1.1 percentage points compared to the proportion in 2011 (30.6%). </w:t>
      </w:r>
    </w:p>
    <w:p w:rsidR="006B3D78" w:rsidRDefault="006B3D78" w:rsidP="006B3D78">
      <w:pPr>
        <w:pStyle w:val="FigureHeading"/>
      </w:pPr>
      <w:bookmarkStart w:id="155" w:name="_Toc304214677"/>
      <w:bookmarkStart w:id="156" w:name="_Toc367361594"/>
      <w:r w:rsidRPr="007B2357">
        <w:t>P</w:t>
      </w:r>
      <w:r w:rsidR="008A3A70">
        <w:t>roportion</w:t>
      </w:r>
      <w:r w:rsidRPr="007B2357">
        <w:t xml:space="preserve"> of school leavers with NCEA Level 1 or above, by total response </w:t>
      </w:r>
      <w:r w:rsidR="008A3A70">
        <w:t>ethnicity</w:t>
      </w:r>
      <w:r w:rsidRPr="007B2357">
        <w:t>, 20</w:t>
      </w:r>
      <w:bookmarkEnd w:id="155"/>
      <w:r>
        <w:t>09</w:t>
      </w:r>
      <w:r w:rsidR="00C54418">
        <w:t>–</w:t>
      </w:r>
      <w:r>
        <w:t>2012</w:t>
      </w:r>
      <w:bookmarkEnd w:id="156"/>
    </w:p>
    <w:p w:rsidR="006B3D78" w:rsidRPr="008A6837" w:rsidRDefault="00F32AF8" w:rsidP="00FE1B3D">
      <w:pPr>
        <w:pStyle w:val="Figure"/>
      </w:pPr>
      <w:r>
        <w:rPr>
          <w:noProof/>
          <w:lang w:val="en-NZ"/>
        </w:rPr>
        <w:drawing>
          <wp:inline distT="0" distB="0" distL="0" distR="0">
            <wp:extent cx="5615940" cy="1894205"/>
            <wp:effectExtent l="19050" t="0" r="3810" b="0"/>
            <wp:docPr id="66" name="Picture 65" descr="Line graph showing Figu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7_HR.png"/>
                    <pic:cNvPicPr/>
                  </pic:nvPicPr>
                  <pic:blipFill>
                    <a:blip r:embed="rId41" cstate="print"/>
                    <a:stretch>
                      <a:fillRect/>
                    </a:stretch>
                  </pic:blipFill>
                  <pic:spPr>
                    <a:xfrm>
                      <a:off x="0" y="0"/>
                      <a:ext cx="5615940" cy="1894205"/>
                    </a:xfrm>
                    <a:prstGeom prst="rect">
                      <a:avLst/>
                    </a:prstGeom>
                  </pic:spPr>
                </pic:pic>
              </a:graphicData>
            </a:graphic>
          </wp:inline>
        </w:drawing>
      </w:r>
    </w:p>
    <w:p w:rsidR="006B3D78" w:rsidRPr="007B2357" w:rsidRDefault="006B3D78" w:rsidP="006B3D78">
      <w:pPr>
        <w:pStyle w:val="TableFootnote"/>
      </w:pPr>
      <w:r w:rsidRPr="007B2357">
        <w:rPr>
          <w:b/>
        </w:rPr>
        <w:t>Note:</w:t>
      </w:r>
      <w:r w:rsidR="00F219DB">
        <w:t xml:space="preserve"> </w:t>
      </w:r>
      <w:r w:rsidR="00F219DB">
        <w:br/>
        <w:t>For this indicator student</w:t>
      </w:r>
      <w:r w:rsidRPr="007B2357">
        <w:t xml:space="preserve">s who identified in more than one ethnic group have been counted in each ethnic group. </w:t>
      </w:r>
      <w:r w:rsidRPr="007B2357">
        <w:br/>
        <w:t>MELAA = Middle Eastern Latin American and African.</w:t>
      </w:r>
    </w:p>
    <w:p w:rsidR="006B3D78" w:rsidRPr="00DA261A" w:rsidRDefault="006B3D78" w:rsidP="006B3D78">
      <w:pPr>
        <w:pStyle w:val="Heading4"/>
      </w:pPr>
      <w:r w:rsidRPr="00DA261A">
        <w:t>Socio-economic differences</w:t>
      </w:r>
    </w:p>
    <w:p w:rsidR="006B3D78" w:rsidRPr="00DA261A" w:rsidRDefault="006B3D78" w:rsidP="006B3D78">
      <w:pPr>
        <w:pStyle w:val="BodyText"/>
      </w:pPr>
      <w:r w:rsidRPr="00DA261A">
        <w:t>There is a positive correlation between the socio-economic mix of the school and the percentage of school leavers attaining at least an NCEA Level 1 qualification. Schools in the lowest deciles (1 and 2) draw their students from communities with the highest degree of socio-economic disadva</w:t>
      </w:r>
      <w:r w:rsidR="00F219DB">
        <w:t>ntage. In 2012, 95.4% of student</w:t>
      </w:r>
      <w:r w:rsidRPr="00DA261A">
        <w:t>s from schools in the highest deciles (deciles 9 and 10) left school with at least an NCEA Level 1 qualification compared to 73.7% in the lowest two deciles. This is a difference of 29.4%. The gap has closed from a difference in achievement of 35.5% between the highest and lowest deciles in 2009.</w:t>
      </w:r>
    </w:p>
    <w:p w:rsidR="006B3D78" w:rsidRPr="003C7063" w:rsidRDefault="006B3D78" w:rsidP="006B3D78">
      <w:pPr>
        <w:pStyle w:val="Heading4"/>
      </w:pPr>
      <w:r w:rsidRPr="003C7063">
        <w:t>NCEA Level 1 Literacy and Numeracy</w:t>
      </w:r>
    </w:p>
    <w:p w:rsidR="006B3D78" w:rsidRDefault="006B3D78" w:rsidP="006B3D78">
      <w:pPr>
        <w:pStyle w:val="BodyText"/>
      </w:pPr>
      <w:r w:rsidRPr="00230054">
        <w:t>In 2012, 87.8% of all school leavers achieved NCEA Level 1 literacy and numeracy. Consistent with previous years, female school leavers (89.5%) achieved at a higher rate than their male counterparts (86.3%).</w:t>
      </w:r>
    </w:p>
    <w:p w:rsidR="006B3D78" w:rsidRDefault="006B3D78" w:rsidP="006B3D78">
      <w:pPr>
        <w:pStyle w:val="BodyText"/>
      </w:pPr>
      <w:r w:rsidRPr="00230054">
        <w:t>Asian students had the highest proportion of school leavers achieving NCEA Level 1 literacy and numeracy, with 94.0% in 2012, which was 2.4 percentage points higher than the proportion of European/Pākehā (91.6%).</w:t>
      </w:r>
      <w:r w:rsidR="00235FD2">
        <w:t xml:space="preserve"> </w:t>
      </w:r>
      <w:r w:rsidRPr="00230054">
        <w:t>Pasifika (82.5%) and M</w:t>
      </w:r>
      <w:r w:rsidRPr="00230054">
        <w:rPr>
          <w:rFonts w:hint="eastAsia"/>
        </w:rPr>
        <w:t>ā</w:t>
      </w:r>
      <w:r w:rsidRPr="00230054">
        <w:t>ori (75.1%) students had the lowest proportions achieving, however the gap in achievement rates has been decreasing slightly over time for both groups.</w:t>
      </w:r>
    </w:p>
    <w:p w:rsidR="006B3D78" w:rsidRPr="00E24D72" w:rsidRDefault="006B3D78" w:rsidP="006B3D78">
      <w:pPr>
        <w:pStyle w:val="BodyText"/>
      </w:pPr>
      <w:r>
        <w:t xml:space="preserve">A key target in the </w:t>
      </w:r>
      <w:r>
        <w:rPr>
          <w:i/>
        </w:rPr>
        <w:t>Pasifika Education Plan 2013</w:t>
      </w:r>
      <w:r w:rsidR="00C54418">
        <w:rPr>
          <w:i/>
        </w:rPr>
        <w:t>–</w:t>
      </w:r>
      <w:r>
        <w:rPr>
          <w:i/>
        </w:rPr>
        <w:t>2017</w:t>
      </w:r>
      <w:r>
        <w:t xml:space="preserve"> is to increase the proportion of Pasifika school leavers leaving with NCEA Level 1 literacy and numeracy qualifications from 80% in 2010 to 95% in 2017. In 2012, 82.5% of Pasifika school leavers attained NCEA Level 1 literacy and numeracy, which is </w:t>
      </w:r>
      <w:r w:rsidR="00A03482">
        <w:t xml:space="preserve">two per cent </w:t>
      </w:r>
      <w:r>
        <w:t>higher than the proportion in 2010 (80.8%), but only 0.1 of a percentage point higher than the proportion in 2011 (82.4%). In comparison, the proportion of non-Pasifika school leavers achieving NCEA Level 1 literacy and numeracy was 88.5% in 2012, a 1.4% increase on the proportion in 2010 (87.3%). The current trend suggests that achievement will need to be accelerated for Pasifika school leavers in order to meet the 95% target in 2017.</w:t>
      </w:r>
    </w:p>
    <w:p w:rsidR="006B3D78" w:rsidRPr="00EF7101" w:rsidRDefault="006B3D78" w:rsidP="006B3D78">
      <w:pPr>
        <w:pStyle w:val="BodyText"/>
      </w:pPr>
      <w:r w:rsidRPr="00230054">
        <w:t>A clear positive correlation can be seen between the socio-economic mix of the school the student attended and the percentage of school leavers achieving NCEA Level 1 litera</w:t>
      </w:r>
      <w:r>
        <w:t>cy and numeracy.</w:t>
      </w:r>
      <w:r w:rsidR="00235FD2">
        <w:t xml:space="preserve"> </w:t>
      </w:r>
      <w:r>
        <w:t>In 2012, 96.6</w:t>
      </w:r>
      <w:r w:rsidRPr="00230054">
        <w:t>% of students from schools in deciles 9 and 10 left school achieving NCEA Level 1 literacy and numeracy.</w:t>
      </w:r>
      <w:r w:rsidR="00235FD2">
        <w:t xml:space="preserve"> </w:t>
      </w:r>
      <w:r w:rsidRPr="00230054">
        <w:t>This was 23.4% higher than deciles 1 and 2 (78.3%).</w:t>
      </w:r>
    </w:p>
    <w:p w:rsidR="006B3D78" w:rsidRPr="004D71E2" w:rsidRDefault="006B3D78" w:rsidP="006B3D78">
      <w:pPr>
        <w:pStyle w:val="FigureHeading"/>
        <w:rPr>
          <w:noProof/>
        </w:rPr>
      </w:pPr>
      <w:bookmarkStart w:id="157" w:name="_Toc304214678"/>
      <w:bookmarkStart w:id="158" w:name="_Toc367361595"/>
      <w:r w:rsidRPr="004D71E2">
        <w:rPr>
          <w:noProof/>
        </w:rPr>
        <w:t>P</w:t>
      </w:r>
      <w:r w:rsidR="008A3A70">
        <w:rPr>
          <w:noProof/>
        </w:rPr>
        <w:t>roportion</w:t>
      </w:r>
      <w:r w:rsidRPr="004D71E2">
        <w:rPr>
          <w:noProof/>
        </w:rPr>
        <w:t xml:space="preserve"> of school leavers with NCEA Level 1 literacy and numeracy, by total resp</w:t>
      </w:r>
      <w:r w:rsidR="008A3A70">
        <w:rPr>
          <w:noProof/>
        </w:rPr>
        <w:t>onse ethnicity</w:t>
      </w:r>
      <w:r w:rsidRPr="004D71E2">
        <w:rPr>
          <w:noProof/>
        </w:rPr>
        <w:t xml:space="preserve">, </w:t>
      </w:r>
      <w:bookmarkEnd w:id="157"/>
      <w:r w:rsidRPr="004D71E2">
        <w:rPr>
          <w:noProof/>
        </w:rPr>
        <w:t>2012</w:t>
      </w:r>
      <w:bookmarkEnd w:id="158"/>
    </w:p>
    <w:p w:rsidR="006B3D78" w:rsidRPr="003731AA" w:rsidRDefault="00F32AF8" w:rsidP="00FE1B3D">
      <w:pPr>
        <w:pStyle w:val="Figure"/>
        <w:rPr>
          <w:highlight w:val="yellow"/>
        </w:rPr>
      </w:pPr>
      <w:r>
        <w:rPr>
          <w:noProof/>
          <w:lang w:val="en-NZ"/>
        </w:rPr>
        <w:drawing>
          <wp:inline distT="0" distB="0" distL="0" distR="0">
            <wp:extent cx="5615940" cy="1565275"/>
            <wp:effectExtent l="19050" t="0" r="3810" b="0"/>
            <wp:docPr id="69" name="Picture 68" descr="Bar graph showing 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8_HR.png"/>
                    <pic:cNvPicPr/>
                  </pic:nvPicPr>
                  <pic:blipFill>
                    <a:blip r:embed="rId42" cstate="print"/>
                    <a:stretch>
                      <a:fillRect/>
                    </a:stretch>
                  </pic:blipFill>
                  <pic:spPr>
                    <a:xfrm>
                      <a:off x="0" y="0"/>
                      <a:ext cx="5615940" cy="1565275"/>
                    </a:xfrm>
                    <a:prstGeom prst="rect">
                      <a:avLst/>
                    </a:prstGeom>
                  </pic:spPr>
                </pic:pic>
              </a:graphicData>
            </a:graphic>
          </wp:inline>
        </w:drawing>
      </w:r>
    </w:p>
    <w:p w:rsidR="006B3D78" w:rsidRPr="004D71E2" w:rsidRDefault="006B3D78" w:rsidP="006B3D78">
      <w:pPr>
        <w:pStyle w:val="TableFootnote"/>
      </w:pPr>
      <w:r w:rsidRPr="004D71E2">
        <w:rPr>
          <w:b/>
        </w:rPr>
        <w:t>Note:</w:t>
      </w:r>
      <w:r w:rsidRPr="004D71E2">
        <w:t xml:space="preserve"> </w:t>
      </w:r>
      <w:r w:rsidRPr="004D71E2">
        <w:br/>
        <w:t>For this indicator, students who identified in more than one ethnic group have been counted in each ethnic group.</w:t>
      </w:r>
    </w:p>
    <w:p w:rsidR="006B3D78" w:rsidRPr="006B0E4B" w:rsidRDefault="006B3D78" w:rsidP="002E741F">
      <w:pPr>
        <w:pStyle w:val="Heading3"/>
      </w:pPr>
      <w:r w:rsidRPr="006B0E4B">
        <w:t>School leavers with NCEA Level 2 or a higher qualification</w:t>
      </w:r>
      <w:r>
        <w:rPr>
          <w:rStyle w:val="FootnoteReference"/>
        </w:rPr>
        <w:footnoteReference w:id="18"/>
      </w:r>
    </w:p>
    <w:p w:rsidR="006B3D78" w:rsidRPr="0060013A" w:rsidRDefault="006B3D78" w:rsidP="006B3D78">
      <w:pPr>
        <w:pStyle w:val="BodyText"/>
        <w:rPr>
          <w:highlight w:val="yellow"/>
        </w:rPr>
      </w:pPr>
      <w:r w:rsidRPr="006B0E4B">
        <w:t xml:space="preserve">A formal school qualification at Level 2 or above is a benchmark that young adults need to achieve to have a basic prerequisite for further education and training and for many entry-level jobs. In 2012, 74.3% of school leavers attained at least NCEA Level 2, </w:t>
      </w:r>
      <w:r>
        <w:t>a 1.2 percentage point increase on the proportion of school leavers achieving at this level in 2011 (72.4%). The proportion of school leavers attaining at least NCEA Level 2 in 2012 was also 10.2% higher than the 2009 figure (</w:t>
      </w:r>
      <w:r w:rsidRPr="006B0E4B">
        <w:t>67.5</w:t>
      </w:r>
      <w:r w:rsidRPr="00211714">
        <w:t>%). Sixty-six per cent of school leavers with NCEA Level 2 or above also achieved a University Entrance standard.</w:t>
      </w:r>
    </w:p>
    <w:p w:rsidR="006B3D78" w:rsidRPr="008C37BC" w:rsidRDefault="006B3D78" w:rsidP="006B3D78">
      <w:pPr>
        <w:pStyle w:val="Heading4"/>
      </w:pPr>
      <w:r w:rsidRPr="008C37BC">
        <w:t>Ethnic group differences</w:t>
      </w:r>
    </w:p>
    <w:p w:rsidR="006B3D78" w:rsidRDefault="006B3D78" w:rsidP="006B3D78">
      <w:pPr>
        <w:pStyle w:val="BodyText"/>
      </w:pPr>
      <w:r w:rsidRPr="008C37BC">
        <w:t>Using total response ethnicity, Asian students had the highest proportion of school leavers attaining at least NCEA Level 2 in 2012 (87.0%), which was seven percentage points higher than European/Pākehā (79.6%). There is a substantial gap between these and the proportion of Pasifika (64.8%) and Māori (54.6%) school leavers attaining at least NCEA Level 2.</w:t>
      </w:r>
      <w:r>
        <w:t xml:space="preserve"> The largest proportional increases in those attaining at least NCEA Level 2 has been in Māori school leavers, with an increase of 19.3% between 2009 (45.7%) and 2012, and Pasifika school leavers, with an increase of 14.6% between 2009 (56.5%) and 2012. In comparison, European/Pākehā school leaver had a proportional increase of 9.5% between 2009 (72.7%) and 2012.</w:t>
      </w:r>
    </w:p>
    <w:p w:rsidR="006B3D78" w:rsidRPr="0060013A" w:rsidRDefault="006B3D78" w:rsidP="006B3D78">
      <w:pPr>
        <w:pStyle w:val="BodyText"/>
        <w:rPr>
          <w:highlight w:val="yellow"/>
        </w:rPr>
      </w:pPr>
      <w:r w:rsidRPr="00D010A1">
        <w:t>The gap between the proportion</w:t>
      </w:r>
      <w:r w:rsidR="00FB6C8C">
        <w:t>s</w:t>
      </w:r>
      <w:r w:rsidRPr="00D010A1">
        <w:t xml:space="preserve"> of Māori and non-Māori school leavers with NCEA Level 2 or above is slowly closing; but greater, and faster, improvement is required for Māori </w:t>
      </w:r>
      <w:r>
        <w:t>students</w:t>
      </w:r>
      <w:r w:rsidRPr="00D010A1">
        <w:t xml:space="preserve">. </w:t>
      </w:r>
      <w:r w:rsidRPr="00F81BAB">
        <w:rPr>
          <w:i/>
        </w:rPr>
        <w:t xml:space="preserve">Ka Hikitia </w:t>
      </w:r>
      <w:r w:rsidR="00A03482">
        <w:rPr>
          <w:rFonts w:cs="Arial"/>
          <w:i/>
        </w:rPr>
        <w:t>―</w:t>
      </w:r>
      <w:r w:rsidRPr="00F81BAB">
        <w:rPr>
          <w:i/>
        </w:rPr>
        <w:t xml:space="preserve"> Managing for Success 2008</w:t>
      </w:r>
      <w:r w:rsidR="00C54418">
        <w:rPr>
          <w:i/>
        </w:rPr>
        <w:t>–</w:t>
      </w:r>
      <w:r w:rsidRPr="00F81BAB">
        <w:rPr>
          <w:i/>
        </w:rPr>
        <w:t xml:space="preserve">2012 </w:t>
      </w:r>
      <w:r>
        <w:t xml:space="preserve">identified a need </w:t>
      </w:r>
      <w:r w:rsidRPr="00F81BAB">
        <w:t>to increase the proportion of Māori school leavers with NCEA Level 2</w:t>
      </w:r>
      <w:r>
        <w:t xml:space="preserve">; a 2011 mid-term review of </w:t>
      </w:r>
      <w:r>
        <w:rPr>
          <w:i/>
        </w:rPr>
        <w:t>Ka Hikitia</w:t>
      </w:r>
      <w:r>
        <w:t xml:space="preserve"> set a target to increase the proportion of Māori students leaving schools with NCEA Level 2 or above from 48% in 2010 to 65% in 2015</w:t>
      </w:r>
      <w:r w:rsidRPr="00F81BAB">
        <w:t xml:space="preserve">. </w:t>
      </w:r>
      <w:r>
        <w:t>Progress was made towards</w:t>
      </w:r>
      <w:r w:rsidRPr="00F81BAB">
        <w:t xml:space="preserve"> this target in 2012 (54.6%</w:t>
      </w:r>
      <w:r>
        <w:t xml:space="preserve"> of Māori school leavers attained NCEA Level 2 or above, compared with 52.2% in 2011). P</w:t>
      </w:r>
      <w:r w:rsidRPr="00F81BAB">
        <w:t xml:space="preserve">rogress was </w:t>
      </w:r>
      <w:r>
        <w:t xml:space="preserve">also </w:t>
      </w:r>
      <w:r w:rsidRPr="00F81BAB">
        <w:t xml:space="preserve">made in reducing the disparity between Māori and non-Māori school leavers. </w:t>
      </w:r>
      <w:r w:rsidRPr="00D010A1">
        <w:t>In 2009, non-Māori school leavers were 59.2% more likely to obtain NCEA Level 2 or above than Māori school leavers (45.7% for Māori school leavers and 72.8% for non-Māori school leavers). In 2012, achievement levels have increased for both groups, to 54.6% for Māori school leavers and 79.5% for non-Māori school leavers, but the non-Māori leavers were still 45.7% more likely to achieve Level 2 or above.</w:t>
      </w:r>
    </w:p>
    <w:p w:rsidR="006B3D78" w:rsidRDefault="006B3D78" w:rsidP="00066FE6">
      <w:pPr>
        <w:pStyle w:val="FigureHeading"/>
      </w:pPr>
      <w:bookmarkStart w:id="159" w:name="_Toc367361596"/>
      <w:r w:rsidRPr="004F5ED0">
        <w:t>P</w:t>
      </w:r>
      <w:r w:rsidR="00E60110">
        <w:t>roportion</w:t>
      </w:r>
      <w:r w:rsidRPr="004F5ED0">
        <w:t xml:space="preserve"> of school leavers with NCEA Level 2 or above, by total response ethnic</w:t>
      </w:r>
      <w:r w:rsidR="00E60110">
        <w:t>ity</w:t>
      </w:r>
      <w:r w:rsidRPr="004F5ED0">
        <w:t>, 2009</w:t>
      </w:r>
      <w:r w:rsidR="00C54418">
        <w:t>–</w:t>
      </w:r>
      <w:r w:rsidRPr="004F5ED0">
        <w:t>2012</w:t>
      </w:r>
      <w:bookmarkEnd w:id="159"/>
    </w:p>
    <w:p w:rsidR="00653C0C" w:rsidRDefault="00F32AF8" w:rsidP="00653C0C">
      <w:pPr>
        <w:pStyle w:val="TableFootnote"/>
      </w:pPr>
      <w:r>
        <w:rPr>
          <w:noProof/>
          <w:lang w:val="en-NZ" w:eastAsia="en-NZ"/>
        </w:rPr>
        <w:drawing>
          <wp:inline distT="0" distB="0" distL="0" distR="0">
            <wp:extent cx="5615940" cy="1894205"/>
            <wp:effectExtent l="19050" t="0" r="3810" b="0"/>
            <wp:docPr id="78" name="Picture 77" descr="Line showing 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19_HR.png"/>
                    <pic:cNvPicPr/>
                  </pic:nvPicPr>
                  <pic:blipFill>
                    <a:blip r:embed="rId43" cstate="print"/>
                    <a:stretch>
                      <a:fillRect/>
                    </a:stretch>
                  </pic:blipFill>
                  <pic:spPr>
                    <a:xfrm>
                      <a:off x="0" y="0"/>
                      <a:ext cx="5615940" cy="1894205"/>
                    </a:xfrm>
                    <a:prstGeom prst="rect">
                      <a:avLst/>
                    </a:prstGeom>
                  </pic:spPr>
                </pic:pic>
              </a:graphicData>
            </a:graphic>
          </wp:inline>
        </w:drawing>
      </w:r>
    </w:p>
    <w:p w:rsidR="006B3D78" w:rsidRPr="00653C0C" w:rsidRDefault="006B3D78" w:rsidP="00653C0C">
      <w:pPr>
        <w:pStyle w:val="TableFootnote"/>
      </w:pPr>
      <w:r w:rsidRPr="00653C0C">
        <w:rPr>
          <w:b/>
        </w:rPr>
        <w:t>Note:</w:t>
      </w:r>
      <w:r w:rsidRPr="00653C0C">
        <w:t xml:space="preserve"> </w:t>
      </w:r>
      <w:r w:rsidRPr="00653C0C">
        <w:br/>
        <w:t>For this indicator, students who identified in more than one ethnic group have been counted in each ethnic group.</w:t>
      </w:r>
    </w:p>
    <w:p w:rsidR="006B3D78" w:rsidRPr="0060013A" w:rsidRDefault="006B3D78" w:rsidP="006B3D78">
      <w:pPr>
        <w:pStyle w:val="BodyText"/>
        <w:rPr>
          <w:highlight w:val="yellow"/>
        </w:rPr>
      </w:pPr>
      <w:r w:rsidRPr="009B57E0">
        <w:t>The gap between the proportion</w:t>
      </w:r>
      <w:r w:rsidR="00FB6C8C">
        <w:t>s</w:t>
      </w:r>
      <w:r w:rsidRPr="009B57E0">
        <w:t xml:space="preserve"> of Pasifika and non-Pasifika school leavers with NCEA Level 2</w:t>
      </w:r>
      <w:r w:rsidR="00FB6C8C">
        <w:t xml:space="preserve"> or above is also closing</w:t>
      </w:r>
      <w:r w:rsidRPr="009B57E0">
        <w:t>. In 2009 non-P</w:t>
      </w:r>
      <w:r>
        <w:t>asifika school leavers were 22</w:t>
      </w:r>
      <w:r w:rsidRPr="009B57E0">
        <w:t>% more likely to obtain NCEA Level 2 or above than Pasifika school</w:t>
      </w:r>
      <w:r>
        <w:t xml:space="preserve"> leavers, compared with 17</w:t>
      </w:r>
      <w:r w:rsidRPr="009B57E0">
        <w:t>% more likely in 2012.The proporti</w:t>
      </w:r>
      <w:r w:rsidR="00F219DB">
        <w:t>on of Pasifika student</w:t>
      </w:r>
      <w:r w:rsidRPr="009B57E0">
        <w:t>s attaining NCEA Level 2 was 56.5% in 2009, 60.2% in 2010, 63.6% in 2011 and 64.8% in 2012.</w:t>
      </w:r>
    </w:p>
    <w:p w:rsidR="006B3D78" w:rsidRDefault="006B3D78" w:rsidP="006B3D78">
      <w:pPr>
        <w:pStyle w:val="BodyText"/>
      </w:pPr>
      <w:r w:rsidRPr="00986263">
        <w:t>In 2012 ERO released its third report on improving educati</w:t>
      </w:r>
      <w:r w:rsidR="00F219DB">
        <w:t>on outcomes for Pasifika student</w:t>
      </w:r>
      <w:r w:rsidRPr="00986263">
        <w:t>s. This report related to data collected from a sample of schools in late 2010 and early 2011. They found results consistent with reports in 2009 and 2010, with little progress made over the period. Although some schools had positive practices relating to Pasifika outcomes, there was a lack of system-wide chang</w:t>
      </w:r>
      <w:r w:rsidR="00F219DB">
        <w:t>e to respond to Pasifika student</w:t>
      </w:r>
      <w:r w:rsidRPr="00986263">
        <w:t xml:space="preserve">s. The majority of schools sampled did not have specific plans in place to engage with Pasifika parents or communities (ERO, 2012a). </w:t>
      </w:r>
    </w:p>
    <w:p w:rsidR="008662DE" w:rsidRDefault="008662DE" w:rsidP="00FE462B">
      <w:pPr>
        <w:pStyle w:val="FigureHeading"/>
      </w:pPr>
      <w:bookmarkStart w:id="160" w:name="_Toc367361597"/>
      <w:r w:rsidRPr="006E5BA4">
        <w:t>P</w:t>
      </w:r>
      <w:r>
        <w:t>roportion</w:t>
      </w:r>
      <w:r w:rsidRPr="006E5BA4">
        <w:t xml:space="preserve"> of school leavers with NCEA Level 2 or above, by gender, </w:t>
      </w:r>
      <w:r>
        <w:t>2009</w:t>
      </w:r>
      <w:r w:rsidR="00C54418">
        <w:t>–</w:t>
      </w:r>
      <w:r w:rsidRPr="006E5BA4">
        <w:t>2012</w:t>
      </w:r>
      <w:bookmarkEnd w:id="160"/>
    </w:p>
    <w:p w:rsidR="008662DE" w:rsidRDefault="00F32AF8" w:rsidP="00FE1B3D">
      <w:pPr>
        <w:pStyle w:val="Figure"/>
      </w:pPr>
      <w:r>
        <w:rPr>
          <w:noProof/>
          <w:lang w:val="en-NZ"/>
        </w:rPr>
        <w:drawing>
          <wp:inline distT="0" distB="0" distL="0" distR="0">
            <wp:extent cx="5615940" cy="1835150"/>
            <wp:effectExtent l="19050" t="0" r="3810" b="0"/>
            <wp:docPr id="79" name="Picture 78" descr="Bar graph showing 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0_HR.png"/>
                    <pic:cNvPicPr/>
                  </pic:nvPicPr>
                  <pic:blipFill>
                    <a:blip r:embed="rId44" cstate="print"/>
                    <a:stretch>
                      <a:fillRect/>
                    </a:stretch>
                  </pic:blipFill>
                  <pic:spPr>
                    <a:xfrm>
                      <a:off x="0" y="0"/>
                      <a:ext cx="5615940" cy="1835150"/>
                    </a:xfrm>
                    <a:prstGeom prst="rect">
                      <a:avLst/>
                    </a:prstGeom>
                  </pic:spPr>
                </pic:pic>
              </a:graphicData>
            </a:graphic>
          </wp:inline>
        </w:drawing>
      </w:r>
    </w:p>
    <w:p w:rsidR="00FE462B" w:rsidRPr="005D16DF" w:rsidRDefault="00FE462B" w:rsidP="005D16DF">
      <w:pPr>
        <w:pStyle w:val="TableFootnote"/>
        <w:spacing w:after="40"/>
        <w:rPr>
          <w:bCs w:val="0"/>
        </w:rPr>
      </w:pPr>
    </w:p>
    <w:p w:rsidR="00E60110" w:rsidRDefault="00E60110" w:rsidP="00E60110">
      <w:pPr>
        <w:pStyle w:val="Heading4"/>
      </w:pPr>
      <w:r w:rsidRPr="006E1591">
        <w:t>Gender differences</w:t>
      </w:r>
    </w:p>
    <w:p w:rsidR="006B3D78" w:rsidRPr="006E1591" w:rsidRDefault="006B3D78" w:rsidP="006B3D78">
      <w:pPr>
        <w:pStyle w:val="BodyText"/>
      </w:pPr>
      <w:r w:rsidRPr="006E1591">
        <w:t xml:space="preserve">Female school leavers (78.2%) achieved at a higher rate than their male counterparts (70.6%), being 11% more likely to attain at least NCEA Level 2. </w:t>
      </w:r>
    </w:p>
    <w:p w:rsidR="006B3D78" w:rsidRPr="001F0089" w:rsidRDefault="006B3D78" w:rsidP="006B3D78">
      <w:pPr>
        <w:pStyle w:val="Heading4"/>
      </w:pPr>
      <w:r w:rsidRPr="001F0089">
        <w:t>Socio-economic differences</w:t>
      </w:r>
    </w:p>
    <w:p w:rsidR="006B3D78" w:rsidRPr="0060013A" w:rsidRDefault="006B3D78" w:rsidP="006B3D78">
      <w:pPr>
        <w:pStyle w:val="BodyText"/>
        <w:rPr>
          <w:highlight w:val="yellow"/>
        </w:rPr>
      </w:pPr>
      <w:r w:rsidRPr="001F0089">
        <w:t>In 2012, 89.6% of students from schools in the highest deciles (deciles 9 and 10) left school with at least NCEA Level 2. This was 54% higher than the lowest two decile</w:t>
      </w:r>
      <w:r w:rsidR="00FB6C8C">
        <w:t>s (58.1%). This difference is</w:t>
      </w:r>
      <w:r w:rsidRPr="001F0089">
        <w:t xml:space="preserve"> a decrease from 2009 when there was a difference of 70% between the two highest and two lowest deciles.</w:t>
      </w:r>
    </w:p>
    <w:p w:rsidR="006B3D78" w:rsidRPr="00930D31" w:rsidRDefault="006B3D78" w:rsidP="002E741F">
      <w:pPr>
        <w:pStyle w:val="Heading3"/>
      </w:pPr>
      <w:r w:rsidRPr="00930D31">
        <w:t xml:space="preserve">School leavers </w:t>
      </w:r>
      <w:r w:rsidRPr="00930D31" w:rsidDel="00570EBD">
        <w:t>a</w:t>
      </w:r>
      <w:r w:rsidRPr="00930D31">
        <w:t>chieving University Entrance standard</w:t>
      </w:r>
    </w:p>
    <w:p w:rsidR="006B3D78" w:rsidRPr="0060013A" w:rsidRDefault="006B3D78" w:rsidP="006B3D78">
      <w:pPr>
        <w:pStyle w:val="BodyText"/>
        <w:rPr>
          <w:highlight w:val="yellow"/>
        </w:rPr>
      </w:pPr>
      <w:r w:rsidRPr="00930D31">
        <w:t>Students leaving school having achieved University Entrance requirements and/or attaining NCEA Level 3 or above can be considered to have successfully completed their final year of schooling</w:t>
      </w:r>
      <w:r w:rsidRPr="004D1DA2">
        <w:t>. In 2012, 48.7% of school leavers achieved at least a University Entrance standard, an increase from 46.0% in 2011.</w:t>
      </w:r>
    </w:p>
    <w:p w:rsidR="006B3D78" w:rsidRPr="00FC5865" w:rsidRDefault="006B3D78" w:rsidP="006B3D78">
      <w:pPr>
        <w:pStyle w:val="BodyText"/>
      </w:pPr>
      <w:r w:rsidRPr="00FC5865">
        <w:t xml:space="preserve">One of the aims of the </w:t>
      </w:r>
      <w:r w:rsidRPr="00FC5865">
        <w:rPr>
          <w:i/>
        </w:rPr>
        <w:t>Tertiary Education Strategy 2010–2015</w:t>
      </w:r>
      <w:r w:rsidRPr="00FC5865">
        <w:t xml:space="preserve"> (Ministry of Education, 2010b) is to increase the number of under-25-year-olds achieving degree-level qualifications, particularly those from Māori and Pasifika ethnic groups. Achieving this goal depends on school leavers gaining University Entrance requirements and eligible students choosing to progress to tertiary study and completing their qualifications.</w:t>
      </w:r>
      <w:r w:rsidR="00FB6C8C">
        <w:t xml:space="preserve"> </w:t>
      </w:r>
      <w:r w:rsidRPr="00FC5865">
        <w:t xml:space="preserve">A recent study (Engler, 2010) found that 70% of school leavers with at least NCEA Level 3 chose to go to bachelor-level study, 13% of leavers chose to study below bachelor level, and the remainder did not continue on to tertiary study in </w:t>
      </w:r>
      <w:r w:rsidR="00476CA3">
        <w:t>New Zealand. In general, student</w:t>
      </w:r>
      <w:r w:rsidRPr="00FC5865">
        <w:t>s with higher school achievement</w:t>
      </w:r>
      <w:r w:rsidRPr="00FC5865">
        <w:rPr>
          <w:rStyle w:val="FootnoteReference"/>
          <w:rFonts w:cs="Arial"/>
          <w:szCs w:val="16"/>
        </w:rPr>
        <w:footnoteReference w:id="19"/>
      </w:r>
      <w:r w:rsidRPr="00FC5865">
        <w:t xml:space="preserve"> were more likely to progress to bachelor-level study, but higher-achieving Māori and Pasifika</w:t>
      </w:r>
      <w:r w:rsidRPr="00FC5865">
        <w:rPr>
          <w:rStyle w:val="FootnoteReference"/>
          <w:rFonts w:cs="Arial"/>
          <w:szCs w:val="16"/>
        </w:rPr>
        <w:footnoteReference w:id="20"/>
      </w:r>
      <w:r w:rsidR="00476CA3">
        <w:t xml:space="preserve"> students and student</w:t>
      </w:r>
      <w:r w:rsidRPr="00FC5865">
        <w:t>s from low-decile schools were less likely to progress to bachelor-level study.</w:t>
      </w:r>
    </w:p>
    <w:p w:rsidR="006B3D78" w:rsidRPr="00FC5865" w:rsidRDefault="006B3D78" w:rsidP="006B3D78">
      <w:pPr>
        <w:pStyle w:val="Heading4"/>
      </w:pPr>
      <w:r w:rsidRPr="00FC5865">
        <w:t>Ethnic group differences</w:t>
      </w:r>
    </w:p>
    <w:p w:rsidR="006B3D78" w:rsidRPr="00464816" w:rsidRDefault="006B3D78" w:rsidP="006B3D78">
      <w:pPr>
        <w:pStyle w:val="BodyText"/>
        <w:rPr>
          <w:highlight w:val="yellow"/>
        </w:rPr>
      </w:pPr>
      <w:r w:rsidRPr="00FC5865">
        <w:t>In 2012, using total response ethnicity, Asian students had the highest proportion of school leavers achieving a University Entrance standard (70.3%), which was 30% higher than that of Pākehā</w:t>
      </w:r>
      <w:r w:rsidR="00A03482">
        <w:t>/</w:t>
      </w:r>
      <w:r w:rsidR="00A03482" w:rsidRPr="00FC5865">
        <w:t>European</w:t>
      </w:r>
      <w:r w:rsidRPr="00FC5865">
        <w:t xml:space="preserve"> students (54%). Pasifika (33.2%) and Māori (26.7%) students had the lowest proportions</w:t>
      </w:r>
      <w:r>
        <w:t xml:space="preserve"> achieving the standard</w:t>
      </w:r>
      <w:r w:rsidRPr="00FC5865">
        <w:t>.</w:t>
      </w:r>
      <w:r w:rsidRPr="00464816">
        <w:t xml:space="preserve"> </w:t>
      </w:r>
      <w:r>
        <w:t>The proportion of Māori school leavers qualified to attend university increased by 39.6% between 2009 (19.1%) and 2012. In comparison</w:t>
      </w:r>
      <w:r w:rsidRPr="00C41DC6">
        <w:t xml:space="preserve">, the proportion of non-Māori school leavers qualified to attend university increased by 14.6% over the same time period (47.5% in 2009 and 54.4% in 2012). Despite this, the disparity in achievement was still large in 2012, with non-Māori school leavers being </w:t>
      </w:r>
      <w:r>
        <w:t>just over twice as</w:t>
      </w:r>
      <w:r w:rsidRPr="00C41DC6">
        <w:t xml:space="preserve"> likely to be qualified to attend university as Māori school leavers</w:t>
      </w:r>
      <w:r>
        <w:t>.</w:t>
      </w:r>
    </w:p>
    <w:p w:rsidR="006B3D78" w:rsidRPr="0060013A" w:rsidRDefault="006B3D78" w:rsidP="006B3D78">
      <w:pPr>
        <w:pStyle w:val="BodyText"/>
        <w:rPr>
          <w:highlight w:val="yellow"/>
        </w:rPr>
      </w:pPr>
      <w:r w:rsidRPr="00464816">
        <w:t>A 2011 mid-term review of</w:t>
      </w:r>
      <w:r>
        <w:rPr>
          <w:i/>
        </w:rPr>
        <w:t xml:space="preserve"> </w:t>
      </w:r>
      <w:r w:rsidRPr="00E6142E">
        <w:rPr>
          <w:i/>
        </w:rPr>
        <w:t>Ka Hikitia</w:t>
      </w:r>
      <w:r w:rsidR="00C54418">
        <w:rPr>
          <w:i/>
        </w:rPr>
        <w:t xml:space="preserve"> </w:t>
      </w:r>
      <w:r w:rsidR="00C54418">
        <w:rPr>
          <w:rFonts w:cs="Arial"/>
          <w:i/>
        </w:rPr>
        <w:t>―</w:t>
      </w:r>
      <w:r w:rsidRPr="00E6142E">
        <w:rPr>
          <w:i/>
        </w:rPr>
        <w:t xml:space="preserve"> Managing for Success</w:t>
      </w:r>
      <w:r>
        <w:rPr>
          <w:i/>
        </w:rPr>
        <w:t xml:space="preserve"> </w:t>
      </w:r>
      <w:r w:rsidRPr="00E6142E">
        <w:t xml:space="preserve">set a target to increase the proportion of Māori school leavers qualified to attend university from </w:t>
      </w:r>
      <w:r>
        <w:t>20% in 2010</w:t>
      </w:r>
      <w:r w:rsidRPr="00E6142E">
        <w:t xml:space="preserve"> to </w:t>
      </w:r>
      <w:r>
        <w:t>26% by 2015</w:t>
      </w:r>
      <w:r w:rsidRPr="00E6142E">
        <w:t xml:space="preserve">. </w:t>
      </w:r>
      <w:r>
        <w:t xml:space="preserve">The proportion of Māori school leavers qualified to attend university in 2012 (26.7%) was 2.7 percentage points higher than the proportion in 2011 (24.0%), indicating that progress is being made towards the 2015 target. </w:t>
      </w:r>
    </w:p>
    <w:p w:rsidR="006B3D78" w:rsidRDefault="006B3D78" w:rsidP="006B3D78">
      <w:pPr>
        <w:pStyle w:val="FigureHeading"/>
      </w:pPr>
      <w:bookmarkStart w:id="161" w:name="_Toc304214680"/>
      <w:bookmarkStart w:id="162" w:name="_Toc367361598"/>
      <w:r w:rsidRPr="004747E9">
        <w:t>P</w:t>
      </w:r>
      <w:r w:rsidR="00D504B1">
        <w:t>roportion</w:t>
      </w:r>
      <w:r w:rsidRPr="004747E9">
        <w:t xml:space="preserve"> of school leavers with University Entrance standard</w:t>
      </w:r>
      <w:r w:rsidR="00D504B1">
        <w:t>, by total response ethnicity</w:t>
      </w:r>
      <w:r w:rsidRPr="004747E9">
        <w:t>, 20</w:t>
      </w:r>
      <w:bookmarkEnd w:id="161"/>
      <w:r w:rsidRPr="004747E9">
        <w:t>09</w:t>
      </w:r>
      <w:r w:rsidR="00C54418">
        <w:t>–</w:t>
      </w:r>
      <w:r w:rsidRPr="004747E9">
        <w:t>2012</w:t>
      </w:r>
      <w:bookmarkEnd w:id="162"/>
    </w:p>
    <w:p w:rsidR="005D16DF" w:rsidRPr="005D16DF" w:rsidRDefault="00F32AF8" w:rsidP="00FE1B3D">
      <w:pPr>
        <w:pStyle w:val="Figure"/>
      </w:pPr>
      <w:r>
        <w:rPr>
          <w:noProof/>
          <w:lang w:val="en-NZ"/>
        </w:rPr>
        <w:drawing>
          <wp:inline distT="0" distB="0" distL="0" distR="0">
            <wp:extent cx="5615940" cy="1894205"/>
            <wp:effectExtent l="19050" t="0" r="3810" b="0"/>
            <wp:docPr id="80" name="Picture 79" descr="Line graph showing 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1_HR.png"/>
                    <pic:cNvPicPr/>
                  </pic:nvPicPr>
                  <pic:blipFill>
                    <a:blip r:embed="rId45" cstate="print"/>
                    <a:stretch>
                      <a:fillRect/>
                    </a:stretch>
                  </pic:blipFill>
                  <pic:spPr>
                    <a:xfrm>
                      <a:off x="0" y="0"/>
                      <a:ext cx="5615940" cy="1894205"/>
                    </a:xfrm>
                    <a:prstGeom prst="rect">
                      <a:avLst/>
                    </a:prstGeom>
                  </pic:spPr>
                </pic:pic>
              </a:graphicData>
            </a:graphic>
          </wp:inline>
        </w:drawing>
      </w:r>
    </w:p>
    <w:p w:rsidR="006B3D78" w:rsidRPr="004747E9" w:rsidRDefault="006B3D78" w:rsidP="006B3D78">
      <w:pPr>
        <w:pStyle w:val="TableFootnote"/>
      </w:pPr>
      <w:r w:rsidRPr="004747E9">
        <w:rPr>
          <w:b/>
        </w:rPr>
        <w:t>Note:</w:t>
      </w:r>
      <w:r w:rsidRPr="004747E9">
        <w:t xml:space="preserve"> </w:t>
      </w:r>
      <w:r w:rsidRPr="004747E9">
        <w:br/>
      </w:r>
      <w:r w:rsidR="008B0C02">
        <w:t>For this indicator, student</w:t>
      </w:r>
      <w:r w:rsidRPr="004747E9">
        <w:t>s who identified in more than one ethnic group have been counted in each ethnic group.</w:t>
      </w:r>
    </w:p>
    <w:p w:rsidR="006B3D78" w:rsidRPr="0060013A" w:rsidRDefault="006B3D78" w:rsidP="006B3D78">
      <w:pPr>
        <w:pStyle w:val="BodyText"/>
        <w:rPr>
          <w:highlight w:val="yellow"/>
        </w:rPr>
      </w:pPr>
      <w:r w:rsidRPr="0045671E">
        <w:t xml:space="preserve">A key target in the </w:t>
      </w:r>
      <w:r w:rsidRPr="0045671E">
        <w:rPr>
          <w:i/>
        </w:rPr>
        <w:t xml:space="preserve">Pasifika Education Plan 2013–2017 </w:t>
      </w:r>
      <w:r w:rsidRPr="0045671E">
        <w:t>is to increase the proportion of Pasifika students leaving school with a University Entrance standard</w:t>
      </w:r>
      <w:r w:rsidR="005B7C6B">
        <w:t>,</w:t>
      </w:r>
      <w:r w:rsidRPr="0045671E">
        <w:t xml:space="preserve"> to achieve at least parity with non-Pasifika school leavers in 2017. </w:t>
      </w:r>
      <w:r>
        <w:t>In 2012, 33.2% of Pasifika school leavers were qualified to attend university, compared with 50.5% of non-Pasifika school leavers, meaning that non-Pasifika school leavers were 1.5 times more likely to achieve a University Entrance standard than Pasifika school leavers. This disparity in achievement has reduced in recent years, from a 20.8 percentage point difference in 2009 (23.2% Pasifika and 44.0% non-Pasifika) to a 17.3 percentage point difference in 2012. This is largely due to a greater improvement for Pasifika in the proportion of school leavers qualified to attend university from 2009 to 2012; a 43% increase for Pasifika, and a 14.9% increase for non-Pasifika.</w:t>
      </w:r>
    </w:p>
    <w:p w:rsidR="006B3D78" w:rsidRPr="0053026D" w:rsidRDefault="006B3D78" w:rsidP="006B3D78">
      <w:pPr>
        <w:pStyle w:val="Heading4"/>
      </w:pPr>
      <w:r w:rsidRPr="0053026D">
        <w:t>Gender differences</w:t>
      </w:r>
    </w:p>
    <w:p w:rsidR="006B3D78" w:rsidRPr="0053026D" w:rsidRDefault="006B3D78" w:rsidP="006B3D78">
      <w:pPr>
        <w:pStyle w:val="BodyText"/>
      </w:pPr>
      <w:r w:rsidRPr="0053026D">
        <w:t>A higher proportion of female school leavers gained a University Entrance standard i</w:t>
      </w:r>
      <w:r w:rsidR="005B7C6B">
        <w:t>n 2012 than male school leavers:</w:t>
      </w:r>
      <w:r w:rsidRPr="0053026D">
        <w:t xml:space="preserve"> 56.3% of females compared to 41.4% of males. This achievement gap has been consistently increasing annually; a difference of 12 percentage points was found in 2009, increasing to a difference of 15 percentage points in 2012.</w:t>
      </w:r>
    </w:p>
    <w:p w:rsidR="006B3D78" w:rsidRPr="006F1F06" w:rsidRDefault="006B3D78" w:rsidP="006B3D78">
      <w:pPr>
        <w:pStyle w:val="FigureHeading"/>
      </w:pPr>
      <w:bookmarkStart w:id="163" w:name="_Toc367361599"/>
      <w:r w:rsidRPr="006F1F06">
        <w:t>P</w:t>
      </w:r>
      <w:r w:rsidR="00D504B1">
        <w:t>roportion</w:t>
      </w:r>
      <w:r w:rsidRPr="006F1F06">
        <w:t xml:space="preserve"> of school leavers with University Entrance standard, by gender, 2</w:t>
      </w:r>
      <w:r>
        <w:t>009</w:t>
      </w:r>
      <w:r w:rsidR="00C54418">
        <w:t>–</w:t>
      </w:r>
      <w:r>
        <w:t xml:space="preserve"> 2012</w:t>
      </w:r>
      <w:bookmarkEnd w:id="163"/>
    </w:p>
    <w:p w:rsidR="006B3D78" w:rsidRDefault="00F32AF8" w:rsidP="00FE1B3D">
      <w:pPr>
        <w:pStyle w:val="Figure"/>
        <w:rPr>
          <w:highlight w:val="yellow"/>
        </w:rPr>
      </w:pPr>
      <w:r>
        <w:rPr>
          <w:noProof/>
          <w:lang w:val="en-NZ"/>
        </w:rPr>
        <w:drawing>
          <wp:inline distT="0" distB="0" distL="0" distR="0">
            <wp:extent cx="5615940" cy="1835150"/>
            <wp:effectExtent l="19050" t="0" r="3810" b="0"/>
            <wp:docPr id="81" name="Picture 80" descr="Bar graph showing 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2_HR.png"/>
                    <pic:cNvPicPr/>
                  </pic:nvPicPr>
                  <pic:blipFill>
                    <a:blip r:embed="rId46" cstate="print"/>
                    <a:stretch>
                      <a:fillRect/>
                    </a:stretch>
                  </pic:blipFill>
                  <pic:spPr>
                    <a:xfrm>
                      <a:off x="0" y="0"/>
                      <a:ext cx="5615940" cy="1835150"/>
                    </a:xfrm>
                    <a:prstGeom prst="rect">
                      <a:avLst/>
                    </a:prstGeom>
                  </pic:spPr>
                </pic:pic>
              </a:graphicData>
            </a:graphic>
          </wp:inline>
        </w:drawing>
      </w:r>
    </w:p>
    <w:p w:rsidR="007F6E7A" w:rsidRPr="007F6E7A" w:rsidRDefault="007F6E7A" w:rsidP="007F6E7A">
      <w:pPr>
        <w:pStyle w:val="TableFootnote"/>
        <w:spacing w:after="40"/>
        <w:rPr>
          <w:bCs w:val="0"/>
          <w:highlight w:val="yellow"/>
        </w:rPr>
      </w:pPr>
    </w:p>
    <w:p w:rsidR="006B3D78" w:rsidRPr="004257A9" w:rsidRDefault="006B3D78" w:rsidP="006B3D78">
      <w:pPr>
        <w:pStyle w:val="Heading4"/>
      </w:pPr>
      <w:r w:rsidRPr="004257A9">
        <w:t>Socio-economic differences</w:t>
      </w:r>
    </w:p>
    <w:p w:rsidR="006B3D78" w:rsidRPr="004257A9" w:rsidRDefault="006B3D78" w:rsidP="006B3D78">
      <w:pPr>
        <w:pStyle w:val="BodyText"/>
      </w:pPr>
      <w:r w:rsidRPr="004257A9">
        <w:t>In 2012, students from schools in the highest deciles (9 and 10) were 2.6 times more likely to leave school having achieved a University Entrance standard compared with students from schools in the lowest decile schools. Their achievement rates were 70.6% and 26.9%, respectively. This gap has dropped slightly from 2009, when students from the higher deciles were 3.1 times more</w:t>
      </w:r>
      <w:r w:rsidR="005B7C6B">
        <w:t xml:space="preserve"> likely to achieve the standard</w:t>
      </w:r>
      <w:r w:rsidRPr="004257A9">
        <w:t xml:space="preserve"> than students from the lowest deciles.</w:t>
      </w:r>
    </w:p>
    <w:p w:rsidR="006B3D78" w:rsidRPr="004257A9" w:rsidRDefault="006B3D78" w:rsidP="006B3D78">
      <w:pPr>
        <w:pStyle w:val="Heading-Wheretofindmore"/>
      </w:pPr>
      <w:r w:rsidRPr="004257A9">
        <w:t>Where to find out more</w:t>
      </w:r>
    </w:p>
    <w:p w:rsidR="006B3D78" w:rsidRPr="0060013A" w:rsidRDefault="006869EE" w:rsidP="00FE1B3D">
      <w:pPr>
        <w:pStyle w:val="Figure"/>
        <w:rPr>
          <w:highlight w:val="yellow"/>
        </w:rPr>
      </w:pPr>
      <w:r>
        <w:rPr>
          <w:noProof/>
          <w:lang w:val="en-NZ"/>
        </w:rPr>
        <w:drawing>
          <wp:inline distT="0" distB="0" distL="0" distR="0">
            <wp:extent cx="5613952" cy="774128"/>
            <wp:effectExtent l="19050" t="0" r="5798" b="0"/>
            <wp:docPr id="22" name="Picture 21" descr="Find out more - Chapter 4_school leavers (si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out more - Chapter 4_school leavers (single).png"/>
                    <pic:cNvPicPr/>
                  </pic:nvPicPr>
                  <pic:blipFill>
                    <a:blip r:embed="rId47" cstate="print"/>
                    <a:stretch>
                      <a:fillRect/>
                    </a:stretch>
                  </pic:blipFill>
                  <pic:spPr>
                    <a:xfrm>
                      <a:off x="0" y="0"/>
                      <a:ext cx="5613952" cy="774128"/>
                    </a:xfrm>
                    <a:prstGeom prst="rect">
                      <a:avLst/>
                    </a:prstGeom>
                  </pic:spPr>
                </pic:pic>
              </a:graphicData>
            </a:graphic>
          </wp:inline>
        </w:drawing>
      </w:r>
    </w:p>
    <w:p w:rsidR="006B3D78" w:rsidRPr="007610C6" w:rsidRDefault="006B3D78" w:rsidP="006B3D78">
      <w:pPr>
        <w:pStyle w:val="Heading2"/>
      </w:pPr>
      <w:bookmarkStart w:id="164" w:name="_Toc300319676"/>
      <w:bookmarkStart w:id="165" w:name="_Toc303511367"/>
      <w:r w:rsidRPr="0060013A">
        <w:rPr>
          <w:highlight w:val="yellow"/>
        </w:rPr>
        <w:br w:type="page"/>
      </w:r>
      <w:bookmarkStart w:id="166" w:name="_Toc367361643"/>
      <w:r w:rsidRPr="007610C6">
        <w:t xml:space="preserve">Māori </w:t>
      </w:r>
      <w:r w:rsidRPr="007610C6" w:rsidDel="00570EBD">
        <w:t>l</w:t>
      </w:r>
      <w:r w:rsidRPr="007610C6">
        <w:t xml:space="preserve">anguage in </w:t>
      </w:r>
      <w:r w:rsidRPr="007610C6" w:rsidDel="00570EBD">
        <w:t>e</w:t>
      </w:r>
      <w:r w:rsidRPr="007610C6">
        <w:t>ducation</w:t>
      </w:r>
      <w:bookmarkEnd w:id="164"/>
      <w:bookmarkEnd w:id="165"/>
      <w:bookmarkEnd w:id="166"/>
    </w:p>
    <w:p w:rsidR="006B3D78" w:rsidRPr="007610C6" w:rsidRDefault="006B3D78" w:rsidP="006B3D78">
      <w:pPr>
        <w:pStyle w:val="BodyText"/>
      </w:pPr>
      <w:r w:rsidRPr="007610C6">
        <w:t>Students learn te reo Māori by participating either in Māori language cl</w:t>
      </w:r>
      <w:r w:rsidR="005B7C6B">
        <w:t>asses in English medium schools</w:t>
      </w:r>
      <w:r w:rsidRPr="007610C6">
        <w:t xml:space="preserve"> or in Māori medium education where they learn in immersion settings. </w:t>
      </w:r>
    </w:p>
    <w:p w:rsidR="006B3D78" w:rsidRPr="007610C6" w:rsidRDefault="006B3D78" w:rsidP="002E741F">
      <w:pPr>
        <w:pStyle w:val="Heading3"/>
      </w:pPr>
      <w:r w:rsidRPr="007610C6">
        <w:t>Enrolments in Māori medium education</w:t>
      </w:r>
    </w:p>
    <w:p w:rsidR="006B3D78" w:rsidRPr="007610C6" w:rsidRDefault="006B3D78" w:rsidP="006B3D78">
      <w:pPr>
        <w:pStyle w:val="BodyText"/>
      </w:pPr>
      <w:r w:rsidRPr="007610C6">
        <w:t xml:space="preserve">Students can be taught with varying levels of the curriculum in te reo Māori. For the purposes of this analysis, Māori medium education is defined as students taught in Māori between 51% and 100% of the time. Two levels of Māori language learning are included in this definition (Levels 1–2, see Table 7). The number of </w:t>
      </w:r>
      <w:r>
        <w:t>students</w:t>
      </w:r>
      <w:r w:rsidRPr="007610C6">
        <w:t xml:space="preserve"> in each level of learning in Māori medium education has fluctuated over the last decade</w:t>
      </w:r>
      <w:r>
        <w:t>, with the number of students involved in Māori medium education in 2012 increasing by 1.5% compared to 2011. Of the 16,792 students engaged in Māori medium education in 2012, 97.4% identified as Māori. As at 1 July 2012, 276 schools offered Māori medium education.</w:t>
      </w:r>
    </w:p>
    <w:p w:rsidR="006B3D78" w:rsidRPr="00B70F34" w:rsidRDefault="006B3D78" w:rsidP="006B3D78">
      <w:pPr>
        <w:pStyle w:val="TableHeading"/>
      </w:pPr>
      <w:bookmarkStart w:id="167" w:name="_Toc304217625"/>
      <w:bookmarkStart w:id="168" w:name="_Toc304449804"/>
      <w:bookmarkStart w:id="169" w:name="_Toc367361575"/>
      <w:r w:rsidRPr="00B70F34">
        <w:t>All students i</w:t>
      </w:r>
      <w:r w:rsidR="00D504B1">
        <w:t xml:space="preserve">nvolved in Levels 1–4a of Māori </w:t>
      </w:r>
      <w:r w:rsidRPr="00B70F34">
        <w:t xml:space="preserve">language </w:t>
      </w:r>
      <w:r w:rsidR="00D504B1">
        <w:t>education</w:t>
      </w:r>
      <w:r w:rsidRPr="00B70F34">
        <w:t>, 2003–201</w:t>
      </w:r>
      <w:bookmarkEnd w:id="167"/>
      <w:bookmarkEnd w:id="168"/>
      <w:r w:rsidRPr="00B70F34">
        <w:t>2</w:t>
      </w:r>
      <w:bookmarkEnd w:id="169"/>
    </w:p>
    <w:tbl>
      <w:tblPr>
        <w:tblW w:w="8947"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ayout w:type="fixed"/>
        <w:tblLook w:val="04A0"/>
      </w:tblPr>
      <w:tblGrid>
        <w:gridCol w:w="1357"/>
        <w:gridCol w:w="759"/>
        <w:gridCol w:w="759"/>
        <w:gridCol w:w="759"/>
        <w:gridCol w:w="759"/>
        <w:gridCol w:w="759"/>
        <w:gridCol w:w="759"/>
        <w:gridCol w:w="759"/>
        <w:gridCol w:w="759"/>
        <w:gridCol w:w="759"/>
        <w:gridCol w:w="759"/>
      </w:tblGrid>
      <w:tr w:rsidR="006B3D78" w:rsidRPr="00B70F34" w:rsidTr="007F6E7A">
        <w:trPr>
          <w:cantSplit/>
        </w:trPr>
        <w:tc>
          <w:tcPr>
            <w:tcW w:w="1357"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rPr>
                <w:b/>
              </w:rPr>
            </w:pPr>
            <w:r w:rsidRPr="00B70F34">
              <w:rPr>
                <w:b/>
              </w:rPr>
              <w:t>Level of learning</w:t>
            </w:r>
          </w:p>
        </w:tc>
        <w:tc>
          <w:tcPr>
            <w:tcW w:w="759"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jc w:val="center"/>
              <w:rPr>
                <w:b/>
              </w:rPr>
            </w:pPr>
            <w:r w:rsidRPr="00B70F34">
              <w:rPr>
                <w:b/>
              </w:rPr>
              <w:t>2003</w:t>
            </w:r>
          </w:p>
        </w:tc>
        <w:tc>
          <w:tcPr>
            <w:tcW w:w="759"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jc w:val="center"/>
              <w:rPr>
                <w:b/>
              </w:rPr>
            </w:pPr>
            <w:r w:rsidRPr="00B70F34">
              <w:rPr>
                <w:b/>
              </w:rPr>
              <w:t>2004</w:t>
            </w:r>
          </w:p>
        </w:tc>
        <w:tc>
          <w:tcPr>
            <w:tcW w:w="759"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jc w:val="center"/>
              <w:rPr>
                <w:b/>
              </w:rPr>
            </w:pPr>
            <w:r w:rsidRPr="00B70F34">
              <w:rPr>
                <w:b/>
              </w:rPr>
              <w:t>2005</w:t>
            </w:r>
          </w:p>
        </w:tc>
        <w:tc>
          <w:tcPr>
            <w:tcW w:w="759"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jc w:val="center"/>
              <w:rPr>
                <w:b/>
              </w:rPr>
            </w:pPr>
            <w:r w:rsidRPr="00B70F34">
              <w:rPr>
                <w:b/>
              </w:rPr>
              <w:t>2006</w:t>
            </w:r>
          </w:p>
        </w:tc>
        <w:tc>
          <w:tcPr>
            <w:tcW w:w="759"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jc w:val="center"/>
              <w:rPr>
                <w:b/>
              </w:rPr>
            </w:pPr>
            <w:r w:rsidRPr="00B70F34">
              <w:rPr>
                <w:b/>
              </w:rPr>
              <w:t>2007</w:t>
            </w:r>
          </w:p>
        </w:tc>
        <w:tc>
          <w:tcPr>
            <w:tcW w:w="759"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jc w:val="center"/>
              <w:rPr>
                <w:b/>
              </w:rPr>
            </w:pPr>
            <w:r w:rsidRPr="00B70F34">
              <w:rPr>
                <w:b/>
              </w:rPr>
              <w:t>2008</w:t>
            </w:r>
          </w:p>
        </w:tc>
        <w:tc>
          <w:tcPr>
            <w:tcW w:w="759"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jc w:val="center"/>
              <w:rPr>
                <w:b/>
              </w:rPr>
            </w:pPr>
            <w:r w:rsidRPr="00B70F34">
              <w:rPr>
                <w:b/>
              </w:rPr>
              <w:t>2009</w:t>
            </w:r>
          </w:p>
        </w:tc>
        <w:tc>
          <w:tcPr>
            <w:tcW w:w="759"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jc w:val="center"/>
              <w:rPr>
                <w:b/>
              </w:rPr>
            </w:pPr>
            <w:r w:rsidRPr="00B70F34">
              <w:rPr>
                <w:b/>
              </w:rPr>
              <w:t>2010</w:t>
            </w:r>
          </w:p>
        </w:tc>
        <w:tc>
          <w:tcPr>
            <w:tcW w:w="759"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jc w:val="center"/>
              <w:rPr>
                <w:b/>
              </w:rPr>
            </w:pPr>
            <w:r w:rsidRPr="00B70F34">
              <w:rPr>
                <w:b/>
              </w:rPr>
              <w:t>2011</w:t>
            </w:r>
          </w:p>
        </w:tc>
        <w:tc>
          <w:tcPr>
            <w:tcW w:w="759" w:type="dxa"/>
            <w:tcBorders>
              <w:top w:val="single" w:sz="4" w:space="0" w:color="DBE2D1"/>
              <w:left w:val="single" w:sz="4" w:space="0" w:color="DBE2D1"/>
              <w:bottom w:val="single" w:sz="4" w:space="0" w:color="DBE2D1"/>
              <w:right w:val="single" w:sz="4" w:space="0" w:color="DBE2D1"/>
            </w:tcBorders>
            <w:shd w:val="clear" w:color="auto" w:fill="DBE2D1"/>
            <w:noWrap/>
            <w:hideMark/>
          </w:tcPr>
          <w:p w:rsidR="006B3D78" w:rsidRPr="00B70F34" w:rsidRDefault="006B3D78" w:rsidP="00DC392D">
            <w:pPr>
              <w:pStyle w:val="TableText"/>
              <w:jc w:val="center"/>
              <w:rPr>
                <w:b/>
              </w:rPr>
            </w:pPr>
            <w:r w:rsidRPr="00B70F34">
              <w:rPr>
                <w:b/>
              </w:rPr>
              <w:t>2012</w:t>
            </w:r>
          </w:p>
        </w:tc>
      </w:tr>
      <w:tr w:rsidR="006B3D78" w:rsidRPr="00B70F34" w:rsidTr="007F6E7A">
        <w:trPr>
          <w:cantSplit/>
        </w:trPr>
        <w:tc>
          <w:tcPr>
            <w:tcW w:w="1357" w:type="dxa"/>
            <w:tcBorders>
              <w:top w:val="single" w:sz="4" w:space="0" w:color="DBE2D1"/>
            </w:tcBorders>
            <w:shd w:val="clear" w:color="auto" w:fill="EDF0E7"/>
            <w:noWrap/>
            <w:hideMark/>
          </w:tcPr>
          <w:p w:rsidR="006B3D78" w:rsidRPr="00B70F34" w:rsidRDefault="006B3D78" w:rsidP="00DC392D">
            <w:pPr>
              <w:pStyle w:val="TableText"/>
            </w:pPr>
            <w:r w:rsidRPr="00B70F34">
              <w:t>Level 1: 81</w:t>
            </w:r>
            <w:r w:rsidR="00C54418">
              <w:t>–</w:t>
            </w:r>
            <w:r w:rsidRPr="00B70F34">
              <w:t>100%</w:t>
            </w:r>
          </w:p>
        </w:tc>
        <w:tc>
          <w:tcPr>
            <w:tcW w:w="759" w:type="dxa"/>
            <w:tcBorders>
              <w:top w:val="single" w:sz="4" w:space="0" w:color="DBE2D1"/>
            </w:tcBorders>
            <w:shd w:val="clear" w:color="auto" w:fill="EDF0E7"/>
            <w:noWrap/>
            <w:hideMark/>
          </w:tcPr>
          <w:p w:rsidR="006B3D78" w:rsidRPr="00B70F34" w:rsidRDefault="006B3D78" w:rsidP="00D64960">
            <w:pPr>
              <w:pStyle w:val="TableText"/>
              <w:jc w:val="center"/>
            </w:pPr>
            <w:r w:rsidRPr="00B70F34">
              <w:t>12,209</w:t>
            </w:r>
          </w:p>
        </w:tc>
        <w:tc>
          <w:tcPr>
            <w:tcW w:w="759" w:type="dxa"/>
            <w:tcBorders>
              <w:top w:val="single" w:sz="4" w:space="0" w:color="DBE2D1"/>
            </w:tcBorders>
            <w:shd w:val="clear" w:color="auto" w:fill="EDF0E7"/>
            <w:noWrap/>
            <w:hideMark/>
          </w:tcPr>
          <w:p w:rsidR="006B3D78" w:rsidRPr="00B70F34" w:rsidRDefault="006B3D78" w:rsidP="00D64960">
            <w:pPr>
              <w:pStyle w:val="TableText"/>
              <w:jc w:val="center"/>
            </w:pPr>
            <w:r w:rsidRPr="00B70F34">
              <w:t>12,580</w:t>
            </w:r>
          </w:p>
        </w:tc>
        <w:tc>
          <w:tcPr>
            <w:tcW w:w="759" w:type="dxa"/>
            <w:tcBorders>
              <w:top w:val="single" w:sz="4" w:space="0" w:color="DBE2D1"/>
            </w:tcBorders>
            <w:shd w:val="clear" w:color="auto" w:fill="EDF0E7"/>
            <w:noWrap/>
            <w:hideMark/>
          </w:tcPr>
          <w:p w:rsidR="006B3D78" w:rsidRPr="00B70F34" w:rsidRDefault="006B3D78" w:rsidP="00D64960">
            <w:pPr>
              <w:pStyle w:val="TableText"/>
              <w:jc w:val="center"/>
            </w:pPr>
            <w:r w:rsidRPr="00B70F34">
              <w:t>12,755</w:t>
            </w:r>
          </w:p>
        </w:tc>
        <w:tc>
          <w:tcPr>
            <w:tcW w:w="759" w:type="dxa"/>
            <w:tcBorders>
              <w:top w:val="single" w:sz="4" w:space="0" w:color="DBE2D1"/>
            </w:tcBorders>
            <w:shd w:val="clear" w:color="auto" w:fill="EDF0E7"/>
            <w:noWrap/>
            <w:hideMark/>
          </w:tcPr>
          <w:p w:rsidR="006B3D78" w:rsidRPr="00B70F34" w:rsidRDefault="006B3D78" w:rsidP="00D64960">
            <w:pPr>
              <w:pStyle w:val="TableText"/>
              <w:jc w:val="center"/>
            </w:pPr>
            <w:r w:rsidRPr="00B70F34">
              <w:t>12,235</w:t>
            </w:r>
          </w:p>
        </w:tc>
        <w:tc>
          <w:tcPr>
            <w:tcW w:w="759" w:type="dxa"/>
            <w:tcBorders>
              <w:top w:val="single" w:sz="4" w:space="0" w:color="DBE2D1"/>
            </w:tcBorders>
            <w:shd w:val="clear" w:color="auto" w:fill="EDF0E7"/>
            <w:noWrap/>
            <w:hideMark/>
          </w:tcPr>
          <w:p w:rsidR="006B3D78" w:rsidRPr="00B70F34" w:rsidRDefault="006B3D78" w:rsidP="00D64960">
            <w:pPr>
              <w:pStyle w:val="TableText"/>
              <w:jc w:val="center"/>
            </w:pPr>
            <w:r w:rsidRPr="00B70F34">
              <w:t>11,991</w:t>
            </w:r>
          </w:p>
        </w:tc>
        <w:tc>
          <w:tcPr>
            <w:tcW w:w="759" w:type="dxa"/>
            <w:tcBorders>
              <w:top w:val="single" w:sz="4" w:space="0" w:color="DBE2D1"/>
            </w:tcBorders>
            <w:shd w:val="clear" w:color="auto" w:fill="EDF0E7"/>
            <w:noWrap/>
            <w:hideMark/>
          </w:tcPr>
          <w:p w:rsidR="006B3D78" w:rsidRPr="00B70F34" w:rsidRDefault="006B3D78" w:rsidP="00D64960">
            <w:pPr>
              <w:pStyle w:val="TableText"/>
              <w:jc w:val="center"/>
            </w:pPr>
            <w:r w:rsidRPr="00B70F34">
              <w:t>11,774</w:t>
            </w:r>
          </w:p>
        </w:tc>
        <w:tc>
          <w:tcPr>
            <w:tcW w:w="759" w:type="dxa"/>
            <w:tcBorders>
              <w:top w:val="single" w:sz="4" w:space="0" w:color="DBE2D1"/>
            </w:tcBorders>
            <w:shd w:val="clear" w:color="auto" w:fill="EDF0E7"/>
            <w:noWrap/>
            <w:hideMark/>
          </w:tcPr>
          <w:p w:rsidR="006B3D78" w:rsidRPr="00B70F34" w:rsidRDefault="006B3D78" w:rsidP="00D64960">
            <w:pPr>
              <w:pStyle w:val="TableText"/>
              <w:jc w:val="center"/>
            </w:pPr>
            <w:r w:rsidRPr="00B70F34">
              <w:t>11,634</w:t>
            </w:r>
          </w:p>
        </w:tc>
        <w:tc>
          <w:tcPr>
            <w:tcW w:w="759" w:type="dxa"/>
            <w:tcBorders>
              <w:top w:val="single" w:sz="4" w:space="0" w:color="DBE2D1"/>
            </w:tcBorders>
            <w:shd w:val="clear" w:color="auto" w:fill="EDF0E7"/>
            <w:noWrap/>
            <w:hideMark/>
          </w:tcPr>
          <w:p w:rsidR="006B3D78" w:rsidRPr="00B70F34" w:rsidRDefault="006B3D78" w:rsidP="00D64960">
            <w:pPr>
              <w:pStyle w:val="TableText"/>
              <w:jc w:val="center"/>
            </w:pPr>
            <w:r w:rsidRPr="00B70F34">
              <w:t>11,738</w:t>
            </w:r>
          </w:p>
        </w:tc>
        <w:tc>
          <w:tcPr>
            <w:tcW w:w="759" w:type="dxa"/>
            <w:tcBorders>
              <w:top w:val="single" w:sz="4" w:space="0" w:color="DBE2D1"/>
            </w:tcBorders>
            <w:shd w:val="clear" w:color="auto" w:fill="EDF0E7"/>
            <w:noWrap/>
            <w:hideMark/>
          </w:tcPr>
          <w:p w:rsidR="006B3D78" w:rsidRPr="00B70F34" w:rsidRDefault="006B3D78" w:rsidP="00D64960">
            <w:pPr>
              <w:pStyle w:val="TableText"/>
              <w:jc w:val="center"/>
            </w:pPr>
            <w:r w:rsidRPr="00B70F34">
              <w:t>11,818</w:t>
            </w:r>
          </w:p>
        </w:tc>
        <w:tc>
          <w:tcPr>
            <w:tcW w:w="759" w:type="dxa"/>
            <w:tcBorders>
              <w:top w:val="single" w:sz="4" w:space="0" w:color="DBE2D1"/>
            </w:tcBorders>
            <w:shd w:val="clear" w:color="auto" w:fill="EDF0E7"/>
            <w:noWrap/>
            <w:hideMark/>
          </w:tcPr>
          <w:p w:rsidR="006B3D78" w:rsidRPr="00B70F34" w:rsidRDefault="006B3D78" w:rsidP="00D64960">
            <w:pPr>
              <w:pStyle w:val="TableText"/>
              <w:jc w:val="center"/>
            </w:pPr>
            <w:r w:rsidRPr="00B70F34">
              <w:t>11,816</w:t>
            </w:r>
          </w:p>
        </w:tc>
      </w:tr>
      <w:tr w:rsidR="006B3D78" w:rsidRPr="00B70F34" w:rsidTr="007F6E7A">
        <w:trPr>
          <w:cantSplit/>
        </w:trPr>
        <w:tc>
          <w:tcPr>
            <w:tcW w:w="1357" w:type="dxa"/>
            <w:shd w:val="clear" w:color="auto" w:fill="EDF0E7"/>
            <w:noWrap/>
            <w:hideMark/>
          </w:tcPr>
          <w:p w:rsidR="006B3D78" w:rsidRPr="00B70F34" w:rsidRDefault="006B3D78" w:rsidP="00DC392D">
            <w:pPr>
              <w:pStyle w:val="TableText"/>
            </w:pPr>
            <w:r w:rsidRPr="00B70F34">
              <w:t>Level 2: 51</w:t>
            </w:r>
            <w:r w:rsidR="00C54418">
              <w:t>–</w:t>
            </w:r>
            <w:r w:rsidRPr="00B70F34">
              <w:t>80%</w:t>
            </w:r>
          </w:p>
        </w:tc>
        <w:tc>
          <w:tcPr>
            <w:tcW w:w="759" w:type="dxa"/>
            <w:shd w:val="clear" w:color="auto" w:fill="EDF0E7"/>
            <w:noWrap/>
            <w:hideMark/>
          </w:tcPr>
          <w:p w:rsidR="006B3D78" w:rsidRPr="00B70F34" w:rsidRDefault="006B3D78" w:rsidP="00D64960">
            <w:pPr>
              <w:pStyle w:val="TableText"/>
              <w:jc w:val="center"/>
            </w:pPr>
            <w:r w:rsidRPr="00B70F34">
              <w:t>4,658</w:t>
            </w:r>
          </w:p>
        </w:tc>
        <w:tc>
          <w:tcPr>
            <w:tcW w:w="759" w:type="dxa"/>
            <w:shd w:val="clear" w:color="auto" w:fill="EDF0E7"/>
            <w:noWrap/>
            <w:hideMark/>
          </w:tcPr>
          <w:p w:rsidR="006B3D78" w:rsidRPr="00B70F34" w:rsidRDefault="006B3D78" w:rsidP="00D64960">
            <w:pPr>
              <w:pStyle w:val="TableText"/>
              <w:jc w:val="center"/>
            </w:pPr>
            <w:r w:rsidRPr="00B70F34">
              <w:t>5,360</w:t>
            </w:r>
          </w:p>
        </w:tc>
        <w:tc>
          <w:tcPr>
            <w:tcW w:w="759" w:type="dxa"/>
            <w:shd w:val="clear" w:color="auto" w:fill="EDF0E7"/>
            <w:noWrap/>
            <w:hideMark/>
          </w:tcPr>
          <w:p w:rsidR="006B3D78" w:rsidRPr="00B70F34" w:rsidRDefault="006B3D78" w:rsidP="00D64960">
            <w:pPr>
              <w:pStyle w:val="TableText"/>
              <w:jc w:val="center"/>
            </w:pPr>
            <w:r w:rsidRPr="00B70F34">
              <w:t>5,119</w:t>
            </w:r>
          </w:p>
        </w:tc>
        <w:tc>
          <w:tcPr>
            <w:tcW w:w="759" w:type="dxa"/>
            <w:shd w:val="clear" w:color="auto" w:fill="EDF0E7"/>
            <w:noWrap/>
            <w:hideMark/>
          </w:tcPr>
          <w:p w:rsidR="006B3D78" w:rsidRPr="00B70F34" w:rsidRDefault="006B3D78" w:rsidP="00D64960">
            <w:pPr>
              <w:pStyle w:val="TableText"/>
              <w:jc w:val="center"/>
            </w:pPr>
            <w:r w:rsidRPr="00B70F34">
              <w:t>5,187</w:t>
            </w:r>
          </w:p>
        </w:tc>
        <w:tc>
          <w:tcPr>
            <w:tcW w:w="759" w:type="dxa"/>
            <w:shd w:val="clear" w:color="auto" w:fill="EDF0E7"/>
            <w:noWrap/>
            <w:hideMark/>
          </w:tcPr>
          <w:p w:rsidR="006B3D78" w:rsidRPr="00B70F34" w:rsidRDefault="006B3D78" w:rsidP="00D64960">
            <w:pPr>
              <w:pStyle w:val="TableText"/>
              <w:jc w:val="center"/>
            </w:pPr>
            <w:r w:rsidRPr="00B70F34">
              <w:t>5,424</w:t>
            </w:r>
          </w:p>
        </w:tc>
        <w:tc>
          <w:tcPr>
            <w:tcW w:w="759" w:type="dxa"/>
            <w:shd w:val="clear" w:color="auto" w:fill="EDF0E7"/>
            <w:noWrap/>
            <w:hideMark/>
          </w:tcPr>
          <w:p w:rsidR="006B3D78" w:rsidRPr="00B70F34" w:rsidRDefault="006B3D78" w:rsidP="00D64960">
            <w:pPr>
              <w:pStyle w:val="TableText"/>
              <w:jc w:val="center"/>
            </w:pPr>
            <w:r w:rsidRPr="00B70F34">
              <w:t>5,157</w:t>
            </w:r>
          </w:p>
        </w:tc>
        <w:tc>
          <w:tcPr>
            <w:tcW w:w="759" w:type="dxa"/>
            <w:shd w:val="clear" w:color="auto" w:fill="EDF0E7"/>
            <w:noWrap/>
            <w:hideMark/>
          </w:tcPr>
          <w:p w:rsidR="006B3D78" w:rsidRPr="00B70F34" w:rsidRDefault="006B3D78" w:rsidP="00D64960">
            <w:pPr>
              <w:pStyle w:val="TableText"/>
              <w:jc w:val="center"/>
            </w:pPr>
            <w:r w:rsidRPr="00B70F34">
              <w:t>5,161</w:t>
            </w:r>
          </w:p>
        </w:tc>
        <w:tc>
          <w:tcPr>
            <w:tcW w:w="759" w:type="dxa"/>
            <w:shd w:val="clear" w:color="auto" w:fill="EDF0E7"/>
            <w:noWrap/>
            <w:hideMark/>
          </w:tcPr>
          <w:p w:rsidR="006B3D78" w:rsidRPr="00B70F34" w:rsidRDefault="006B3D78" w:rsidP="00D64960">
            <w:pPr>
              <w:pStyle w:val="TableText"/>
              <w:jc w:val="center"/>
            </w:pPr>
            <w:r w:rsidRPr="00B70F34">
              <w:t>4,587</w:t>
            </w:r>
          </w:p>
        </w:tc>
        <w:tc>
          <w:tcPr>
            <w:tcW w:w="759" w:type="dxa"/>
            <w:shd w:val="clear" w:color="auto" w:fill="EDF0E7"/>
            <w:noWrap/>
            <w:hideMark/>
          </w:tcPr>
          <w:p w:rsidR="006B3D78" w:rsidRPr="00B70F34" w:rsidRDefault="006B3D78" w:rsidP="00D64960">
            <w:pPr>
              <w:pStyle w:val="TableText"/>
              <w:jc w:val="center"/>
            </w:pPr>
            <w:r w:rsidRPr="00B70F34">
              <w:t>4,729</w:t>
            </w:r>
          </w:p>
        </w:tc>
        <w:tc>
          <w:tcPr>
            <w:tcW w:w="759" w:type="dxa"/>
            <w:shd w:val="clear" w:color="auto" w:fill="EDF0E7"/>
            <w:noWrap/>
            <w:hideMark/>
          </w:tcPr>
          <w:p w:rsidR="006B3D78" w:rsidRPr="00B70F34" w:rsidRDefault="006B3D78" w:rsidP="00D64960">
            <w:pPr>
              <w:pStyle w:val="TableText"/>
              <w:jc w:val="center"/>
            </w:pPr>
            <w:r w:rsidRPr="00B70F34">
              <w:t>4,976</w:t>
            </w:r>
          </w:p>
        </w:tc>
      </w:tr>
      <w:tr w:rsidR="006B3D78" w:rsidRPr="00B70F34" w:rsidTr="007F6E7A">
        <w:trPr>
          <w:cantSplit/>
        </w:trPr>
        <w:tc>
          <w:tcPr>
            <w:tcW w:w="1357" w:type="dxa"/>
            <w:shd w:val="clear" w:color="auto" w:fill="EDF0E7"/>
            <w:noWrap/>
            <w:hideMark/>
          </w:tcPr>
          <w:p w:rsidR="006B3D78" w:rsidRPr="00B70F34" w:rsidRDefault="006B3D78" w:rsidP="00DC392D">
            <w:pPr>
              <w:pStyle w:val="TableText"/>
              <w:rPr>
                <w:b/>
              </w:rPr>
            </w:pPr>
            <w:r w:rsidRPr="00B70F34">
              <w:rPr>
                <w:b/>
              </w:rPr>
              <w:t>Sub-total</w:t>
            </w:r>
          </w:p>
        </w:tc>
        <w:tc>
          <w:tcPr>
            <w:tcW w:w="759" w:type="dxa"/>
            <w:shd w:val="clear" w:color="auto" w:fill="EDF0E7"/>
            <w:noWrap/>
            <w:hideMark/>
          </w:tcPr>
          <w:p w:rsidR="006B3D78" w:rsidRPr="00B70F34" w:rsidRDefault="006B3D78" w:rsidP="00DC392D">
            <w:pPr>
              <w:pStyle w:val="TableText"/>
              <w:jc w:val="center"/>
              <w:rPr>
                <w:b/>
              </w:rPr>
            </w:pPr>
            <w:r w:rsidRPr="00B70F34">
              <w:rPr>
                <w:b/>
              </w:rPr>
              <w:t>16,867</w:t>
            </w:r>
          </w:p>
        </w:tc>
        <w:tc>
          <w:tcPr>
            <w:tcW w:w="759" w:type="dxa"/>
            <w:shd w:val="clear" w:color="auto" w:fill="EDF0E7"/>
            <w:noWrap/>
            <w:hideMark/>
          </w:tcPr>
          <w:p w:rsidR="006B3D78" w:rsidRPr="00B70F34" w:rsidRDefault="006B3D78" w:rsidP="00DC392D">
            <w:pPr>
              <w:pStyle w:val="TableText"/>
              <w:jc w:val="center"/>
              <w:rPr>
                <w:b/>
              </w:rPr>
            </w:pPr>
            <w:r w:rsidRPr="00B70F34">
              <w:rPr>
                <w:b/>
              </w:rPr>
              <w:t>17,940</w:t>
            </w:r>
          </w:p>
        </w:tc>
        <w:tc>
          <w:tcPr>
            <w:tcW w:w="759" w:type="dxa"/>
            <w:shd w:val="clear" w:color="auto" w:fill="EDF0E7"/>
            <w:noWrap/>
            <w:hideMark/>
          </w:tcPr>
          <w:p w:rsidR="006B3D78" w:rsidRPr="00B70F34" w:rsidRDefault="006B3D78" w:rsidP="00DC392D">
            <w:pPr>
              <w:pStyle w:val="TableText"/>
              <w:jc w:val="center"/>
              <w:rPr>
                <w:b/>
              </w:rPr>
            </w:pPr>
            <w:r w:rsidRPr="00B70F34">
              <w:rPr>
                <w:b/>
              </w:rPr>
              <w:t>17,874</w:t>
            </w:r>
          </w:p>
        </w:tc>
        <w:tc>
          <w:tcPr>
            <w:tcW w:w="759" w:type="dxa"/>
            <w:shd w:val="clear" w:color="auto" w:fill="EDF0E7"/>
            <w:noWrap/>
            <w:hideMark/>
          </w:tcPr>
          <w:p w:rsidR="006B3D78" w:rsidRPr="00B70F34" w:rsidRDefault="006B3D78" w:rsidP="00DC392D">
            <w:pPr>
              <w:pStyle w:val="TableText"/>
              <w:jc w:val="center"/>
              <w:rPr>
                <w:b/>
              </w:rPr>
            </w:pPr>
            <w:r w:rsidRPr="00B70F34">
              <w:rPr>
                <w:b/>
              </w:rPr>
              <w:t>17,422</w:t>
            </w:r>
          </w:p>
        </w:tc>
        <w:tc>
          <w:tcPr>
            <w:tcW w:w="759" w:type="dxa"/>
            <w:shd w:val="clear" w:color="auto" w:fill="EDF0E7"/>
            <w:noWrap/>
            <w:hideMark/>
          </w:tcPr>
          <w:p w:rsidR="006B3D78" w:rsidRPr="00B70F34" w:rsidRDefault="006B3D78" w:rsidP="00DC392D">
            <w:pPr>
              <w:pStyle w:val="TableText"/>
              <w:jc w:val="center"/>
              <w:rPr>
                <w:b/>
              </w:rPr>
            </w:pPr>
            <w:r w:rsidRPr="00B70F34">
              <w:rPr>
                <w:b/>
              </w:rPr>
              <w:t>17,415</w:t>
            </w:r>
          </w:p>
        </w:tc>
        <w:tc>
          <w:tcPr>
            <w:tcW w:w="759" w:type="dxa"/>
            <w:shd w:val="clear" w:color="auto" w:fill="EDF0E7"/>
            <w:noWrap/>
            <w:hideMark/>
          </w:tcPr>
          <w:p w:rsidR="006B3D78" w:rsidRPr="00B70F34" w:rsidRDefault="006B3D78" w:rsidP="00DC392D">
            <w:pPr>
              <w:pStyle w:val="TableText"/>
              <w:jc w:val="center"/>
              <w:rPr>
                <w:b/>
              </w:rPr>
            </w:pPr>
            <w:r w:rsidRPr="00B70F34">
              <w:rPr>
                <w:b/>
              </w:rPr>
              <w:t>16,931</w:t>
            </w:r>
          </w:p>
        </w:tc>
        <w:tc>
          <w:tcPr>
            <w:tcW w:w="759" w:type="dxa"/>
            <w:shd w:val="clear" w:color="auto" w:fill="EDF0E7"/>
            <w:noWrap/>
            <w:hideMark/>
          </w:tcPr>
          <w:p w:rsidR="006B3D78" w:rsidRPr="00B70F34" w:rsidRDefault="006B3D78" w:rsidP="00DC392D">
            <w:pPr>
              <w:pStyle w:val="TableText"/>
              <w:jc w:val="center"/>
              <w:rPr>
                <w:b/>
              </w:rPr>
            </w:pPr>
            <w:r w:rsidRPr="00B70F34">
              <w:rPr>
                <w:b/>
              </w:rPr>
              <w:t>16,795</w:t>
            </w:r>
          </w:p>
        </w:tc>
        <w:tc>
          <w:tcPr>
            <w:tcW w:w="759" w:type="dxa"/>
            <w:shd w:val="clear" w:color="auto" w:fill="EDF0E7"/>
            <w:noWrap/>
            <w:hideMark/>
          </w:tcPr>
          <w:p w:rsidR="006B3D78" w:rsidRPr="00B70F34" w:rsidRDefault="006B3D78" w:rsidP="00DC392D">
            <w:pPr>
              <w:pStyle w:val="TableText"/>
              <w:jc w:val="center"/>
              <w:rPr>
                <w:b/>
              </w:rPr>
            </w:pPr>
            <w:r w:rsidRPr="00B70F34">
              <w:rPr>
                <w:b/>
              </w:rPr>
              <w:t>16,325</w:t>
            </w:r>
          </w:p>
        </w:tc>
        <w:tc>
          <w:tcPr>
            <w:tcW w:w="759" w:type="dxa"/>
            <w:shd w:val="clear" w:color="auto" w:fill="EDF0E7"/>
            <w:noWrap/>
            <w:hideMark/>
          </w:tcPr>
          <w:p w:rsidR="006B3D78" w:rsidRPr="00B70F34" w:rsidRDefault="006B3D78" w:rsidP="00DC392D">
            <w:pPr>
              <w:pStyle w:val="TableText"/>
              <w:jc w:val="center"/>
              <w:rPr>
                <w:b/>
              </w:rPr>
            </w:pPr>
            <w:r w:rsidRPr="00B70F34">
              <w:rPr>
                <w:b/>
              </w:rPr>
              <w:t>16,547</w:t>
            </w:r>
          </w:p>
        </w:tc>
        <w:tc>
          <w:tcPr>
            <w:tcW w:w="759" w:type="dxa"/>
            <w:shd w:val="clear" w:color="auto" w:fill="EDF0E7"/>
            <w:noWrap/>
            <w:hideMark/>
          </w:tcPr>
          <w:p w:rsidR="006B3D78" w:rsidRPr="00B70F34" w:rsidRDefault="006B3D78" w:rsidP="00DC392D">
            <w:pPr>
              <w:pStyle w:val="TableText"/>
              <w:jc w:val="center"/>
              <w:rPr>
                <w:b/>
              </w:rPr>
            </w:pPr>
            <w:r w:rsidRPr="00B70F34">
              <w:rPr>
                <w:b/>
              </w:rPr>
              <w:t>16,792</w:t>
            </w:r>
          </w:p>
        </w:tc>
      </w:tr>
      <w:tr w:rsidR="006B3D78" w:rsidRPr="00B70F34" w:rsidTr="007F6E7A">
        <w:trPr>
          <w:cantSplit/>
        </w:trPr>
        <w:tc>
          <w:tcPr>
            <w:tcW w:w="1357" w:type="dxa"/>
            <w:shd w:val="clear" w:color="auto" w:fill="EDF0E7"/>
            <w:noWrap/>
            <w:hideMark/>
          </w:tcPr>
          <w:p w:rsidR="006B3D78" w:rsidRPr="00B70F34" w:rsidRDefault="006B3D78" w:rsidP="00DC392D">
            <w:pPr>
              <w:pStyle w:val="TableText"/>
            </w:pPr>
            <w:r w:rsidRPr="00B70F34">
              <w:t>Level 3: 31</w:t>
            </w:r>
            <w:r w:rsidR="00C54418">
              <w:t>–</w:t>
            </w:r>
            <w:r w:rsidRPr="00B70F34">
              <w:t>50%</w:t>
            </w:r>
          </w:p>
        </w:tc>
        <w:tc>
          <w:tcPr>
            <w:tcW w:w="759" w:type="dxa"/>
            <w:shd w:val="clear" w:color="auto" w:fill="EDF0E7"/>
            <w:noWrap/>
            <w:hideMark/>
          </w:tcPr>
          <w:p w:rsidR="006B3D78" w:rsidRPr="00B70F34" w:rsidRDefault="006B3D78" w:rsidP="00D64960">
            <w:pPr>
              <w:pStyle w:val="TableText"/>
              <w:jc w:val="center"/>
            </w:pPr>
            <w:r w:rsidRPr="00B70F34">
              <w:t>6,024</w:t>
            </w:r>
          </w:p>
        </w:tc>
        <w:tc>
          <w:tcPr>
            <w:tcW w:w="759" w:type="dxa"/>
            <w:shd w:val="clear" w:color="auto" w:fill="EDF0E7"/>
            <w:noWrap/>
            <w:hideMark/>
          </w:tcPr>
          <w:p w:rsidR="006B3D78" w:rsidRPr="00B70F34" w:rsidRDefault="006B3D78" w:rsidP="00D64960">
            <w:pPr>
              <w:pStyle w:val="TableText"/>
              <w:jc w:val="center"/>
            </w:pPr>
            <w:r w:rsidRPr="00B70F34">
              <w:t>5,345</w:t>
            </w:r>
          </w:p>
        </w:tc>
        <w:tc>
          <w:tcPr>
            <w:tcW w:w="759" w:type="dxa"/>
            <w:shd w:val="clear" w:color="auto" w:fill="EDF0E7"/>
            <w:noWrap/>
            <w:hideMark/>
          </w:tcPr>
          <w:p w:rsidR="006B3D78" w:rsidRPr="00B70F34" w:rsidRDefault="006B3D78" w:rsidP="00D64960">
            <w:pPr>
              <w:pStyle w:val="TableText"/>
              <w:jc w:val="center"/>
            </w:pPr>
            <w:r w:rsidRPr="00B70F34">
              <w:t>5,761</w:t>
            </w:r>
          </w:p>
        </w:tc>
        <w:tc>
          <w:tcPr>
            <w:tcW w:w="759" w:type="dxa"/>
            <w:shd w:val="clear" w:color="auto" w:fill="EDF0E7"/>
            <w:noWrap/>
            <w:hideMark/>
          </w:tcPr>
          <w:p w:rsidR="006B3D78" w:rsidRPr="00B70F34" w:rsidRDefault="006B3D78" w:rsidP="00D64960">
            <w:pPr>
              <w:pStyle w:val="TableText"/>
              <w:jc w:val="center"/>
            </w:pPr>
            <w:r w:rsidRPr="00B70F34">
              <w:t>5,450</w:t>
            </w:r>
          </w:p>
        </w:tc>
        <w:tc>
          <w:tcPr>
            <w:tcW w:w="759" w:type="dxa"/>
            <w:shd w:val="clear" w:color="auto" w:fill="EDF0E7"/>
            <w:noWrap/>
            <w:hideMark/>
          </w:tcPr>
          <w:p w:rsidR="006B3D78" w:rsidRPr="00B70F34" w:rsidRDefault="006B3D78" w:rsidP="00D64960">
            <w:pPr>
              <w:pStyle w:val="TableText"/>
              <w:jc w:val="center"/>
            </w:pPr>
            <w:r w:rsidRPr="00B70F34">
              <w:t>5,154</w:t>
            </w:r>
          </w:p>
        </w:tc>
        <w:tc>
          <w:tcPr>
            <w:tcW w:w="759" w:type="dxa"/>
            <w:shd w:val="clear" w:color="auto" w:fill="EDF0E7"/>
            <w:noWrap/>
            <w:hideMark/>
          </w:tcPr>
          <w:p w:rsidR="006B3D78" w:rsidRPr="00B70F34" w:rsidRDefault="006B3D78" w:rsidP="00D64960">
            <w:pPr>
              <w:pStyle w:val="TableText"/>
              <w:jc w:val="center"/>
            </w:pPr>
            <w:r w:rsidRPr="00B70F34">
              <w:t>4,795</w:t>
            </w:r>
          </w:p>
        </w:tc>
        <w:tc>
          <w:tcPr>
            <w:tcW w:w="759" w:type="dxa"/>
            <w:shd w:val="clear" w:color="auto" w:fill="EDF0E7"/>
            <w:noWrap/>
            <w:hideMark/>
          </w:tcPr>
          <w:p w:rsidR="006B3D78" w:rsidRPr="00B70F34" w:rsidRDefault="006B3D78" w:rsidP="00D64960">
            <w:pPr>
              <w:pStyle w:val="TableText"/>
              <w:jc w:val="center"/>
            </w:pPr>
            <w:r w:rsidRPr="00B70F34">
              <w:t>4,649</w:t>
            </w:r>
          </w:p>
        </w:tc>
        <w:tc>
          <w:tcPr>
            <w:tcW w:w="759" w:type="dxa"/>
            <w:shd w:val="clear" w:color="auto" w:fill="EDF0E7"/>
            <w:noWrap/>
            <w:hideMark/>
          </w:tcPr>
          <w:p w:rsidR="006B3D78" w:rsidRPr="00B70F34" w:rsidRDefault="006B3D78" w:rsidP="00D64960">
            <w:pPr>
              <w:pStyle w:val="TableText"/>
              <w:jc w:val="center"/>
            </w:pPr>
            <w:r w:rsidRPr="00B70F34">
              <w:t>4,904</w:t>
            </w:r>
          </w:p>
        </w:tc>
        <w:tc>
          <w:tcPr>
            <w:tcW w:w="759" w:type="dxa"/>
            <w:shd w:val="clear" w:color="auto" w:fill="EDF0E7"/>
            <w:noWrap/>
            <w:hideMark/>
          </w:tcPr>
          <w:p w:rsidR="006B3D78" w:rsidRPr="00B70F34" w:rsidRDefault="006B3D78" w:rsidP="00D64960">
            <w:pPr>
              <w:pStyle w:val="TableText"/>
              <w:jc w:val="center"/>
            </w:pPr>
            <w:r w:rsidRPr="00B70F34">
              <w:t>4,807</w:t>
            </w:r>
          </w:p>
        </w:tc>
        <w:tc>
          <w:tcPr>
            <w:tcW w:w="759" w:type="dxa"/>
            <w:shd w:val="clear" w:color="auto" w:fill="EDF0E7"/>
            <w:noWrap/>
            <w:hideMark/>
          </w:tcPr>
          <w:p w:rsidR="006B3D78" w:rsidRPr="00B70F34" w:rsidRDefault="006B3D78" w:rsidP="00D64960">
            <w:pPr>
              <w:pStyle w:val="TableText"/>
              <w:jc w:val="center"/>
            </w:pPr>
            <w:r w:rsidRPr="00B70F34">
              <w:t>4,936</w:t>
            </w:r>
          </w:p>
        </w:tc>
      </w:tr>
      <w:tr w:rsidR="006B3D78" w:rsidRPr="0060013A" w:rsidTr="007F6E7A">
        <w:trPr>
          <w:cantSplit/>
        </w:trPr>
        <w:tc>
          <w:tcPr>
            <w:tcW w:w="1357" w:type="dxa"/>
            <w:shd w:val="clear" w:color="auto" w:fill="EDF0E7"/>
            <w:noWrap/>
            <w:hideMark/>
          </w:tcPr>
          <w:p w:rsidR="006B3D78" w:rsidRPr="00B70F34" w:rsidRDefault="006B3D78" w:rsidP="00DC392D">
            <w:pPr>
              <w:pStyle w:val="TableText"/>
            </w:pPr>
            <w:r w:rsidRPr="00B70F34">
              <w:t>Level 4(a): up to 30%</w:t>
            </w:r>
          </w:p>
        </w:tc>
        <w:tc>
          <w:tcPr>
            <w:tcW w:w="759" w:type="dxa"/>
            <w:shd w:val="clear" w:color="auto" w:fill="EDF0E7"/>
            <w:noWrap/>
            <w:hideMark/>
          </w:tcPr>
          <w:p w:rsidR="006B3D78" w:rsidRPr="00B70F34" w:rsidRDefault="006B3D78" w:rsidP="00D64960">
            <w:pPr>
              <w:pStyle w:val="TableText"/>
              <w:jc w:val="center"/>
            </w:pPr>
            <w:r w:rsidRPr="00B70F34">
              <w:t>6,191</w:t>
            </w:r>
          </w:p>
        </w:tc>
        <w:tc>
          <w:tcPr>
            <w:tcW w:w="759" w:type="dxa"/>
            <w:shd w:val="clear" w:color="auto" w:fill="EDF0E7"/>
            <w:noWrap/>
            <w:hideMark/>
          </w:tcPr>
          <w:p w:rsidR="006B3D78" w:rsidRPr="00B70F34" w:rsidRDefault="006B3D78" w:rsidP="00D64960">
            <w:pPr>
              <w:pStyle w:val="TableText"/>
              <w:jc w:val="center"/>
            </w:pPr>
            <w:r w:rsidRPr="00B70F34">
              <w:t>6,294</w:t>
            </w:r>
          </w:p>
        </w:tc>
        <w:tc>
          <w:tcPr>
            <w:tcW w:w="759" w:type="dxa"/>
            <w:shd w:val="clear" w:color="auto" w:fill="EDF0E7"/>
            <w:noWrap/>
            <w:hideMark/>
          </w:tcPr>
          <w:p w:rsidR="006B3D78" w:rsidRPr="00B70F34" w:rsidRDefault="006B3D78" w:rsidP="00D64960">
            <w:pPr>
              <w:pStyle w:val="TableText"/>
              <w:jc w:val="center"/>
            </w:pPr>
            <w:r w:rsidRPr="00B70F34">
              <w:t>5,279</w:t>
            </w:r>
          </w:p>
        </w:tc>
        <w:tc>
          <w:tcPr>
            <w:tcW w:w="759" w:type="dxa"/>
            <w:shd w:val="clear" w:color="auto" w:fill="EDF0E7"/>
            <w:noWrap/>
            <w:hideMark/>
          </w:tcPr>
          <w:p w:rsidR="006B3D78" w:rsidRPr="00B70F34" w:rsidRDefault="006B3D78" w:rsidP="00D64960">
            <w:pPr>
              <w:pStyle w:val="TableText"/>
              <w:jc w:val="center"/>
            </w:pPr>
            <w:r w:rsidRPr="00B70F34">
              <w:t>6,469</w:t>
            </w:r>
          </w:p>
        </w:tc>
        <w:tc>
          <w:tcPr>
            <w:tcW w:w="759" w:type="dxa"/>
            <w:shd w:val="clear" w:color="auto" w:fill="EDF0E7"/>
            <w:noWrap/>
            <w:hideMark/>
          </w:tcPr>
          <w:p w:rsidR="006B3D78" w:rsidRPr="00B70F34" w:rsidRDefault="006B3D78" w:rsidP="00D64960">
            <w:pPr>
              <w:pStyle w:val="TableText"/>
              <w:jc w:val="center"/>
            </w:pPr>
            <w:r w:rsidRPr="00B70F34">
              <w:t>5,926</w:t>
            </w:r>
          </w:p>
        </w:tc>
        <w:tc>
          <w:tcPr>
            <w:tcW w:w="759" w:type="dxa"/>
            <w:shd w:val="clear" w:color="auto" w:fill="EDF0E7"/>
            <w:noWrap/>
            <w:hideMark/>
          </w:tcPr>
          <w:p w:rsidR="006B3D78" w:rsidRPr="00B70F34" w:rsidRDefault="006B3D78" w:rsidP="00D64960">
            <w:pPr>
              <w:pStyle w:val="TableText"/>
              <w:jc w:val="center"/>
            </w:pPr>
            <w:r w:rsidRPr="00B70F34">
              <w:t>7,007</w:t>
            </w:r>
          </w:p>
        </w:tc>
        <w:tc>
          <w:tcPr>
            <w:tcW w:w="759" w:type="dxa"/>
            <w:shd w:val="clear" w:color="auto" w:fill="EDF0E7"/>
            <w:noWrap/>
            <w:hideMark/>
          </w:tcPr>
          <w:p w:rsidR="006B3D78" w:rsidRPr="00B70F34" w:rsidRDefault="006B3D78" w:rsidP="00D64960">
            <w:pPr>
              <w:pStyle w:val="TableText"/>
              <w:jc w:val="center"/>
            </w:pPr>
            <w:r w:rsidRPr="00B70F34">
              <w:t>6,727</w:t>
            </w:r>
          </w:p>
        </w:tc>
        <w:tc>
          <w:tcPr>
            <w:tcW w:w="759" w:type="dxa"/>
            <w:shd w:val="clear" w:color="auto" w:fill="EDF0E7"/>
            <w:noWrap/>
            <w:hideMark/>
          </w:tcPr>
          <w:p w:rsidR="006B3D78" w:rsidRPr="00B70F34" w:rsidRDefault="006B3D78" w:rsidP="00D64960">
            <w:pPr>
              <w:pStyle w:val="TableText"/>
              <w:jc w:val="center"/>
            </w:pPr>
            <w:r w:rsidRPr="00B70F34">
              <w:t>6,303</w:t>
            </w:r>
          </w:p>
        </w:tc>
        <w:tc>
          <w:tcPr>
            <w:tcW w:w="759" w:type="dxa"/>
            <w:shd w:val="clear" w:color="auto" w:fill="EDF0E7"/>
            <w:noWrap/>
            <w:hideMark/>
          </w:tcPr>
          <w:p w:rsidR="006B3D78" w:rsidRPr="00B70F34" w:rsidRDefault="006B3D78" w:rsidP="00D64960">
            <w:pPr>
              <w:pStyle w:val="TableText"/>
              <w:jc w:val="center"/>
            </w:pPr>
            <w:r w:rsidRPr="00B70F34">
              <w:t>5,640</w:t>
            </w:r>
          </w:p>
        </w:tc>
        <w:tc>
          <w:tcPr>
            <w:tcW w:w="759" w:type="dxa"/>
            <w:shd w:val="clear" w:color="auto" w:fill="EDF0E7"/>
            <w:noWrap/>
            <w:hideMark/>
          </w:tcPr>
          <w:p w:rsidR="006B3D78" w:rsidRPr="00B70F34" w:rsidRDefault="006B3D78" w:rsidP="00D64960">
            <w:pPr>
              <w:pStyle w:val="TableText"/>
              <w:jc w:val="center"/>
            </w:pPr>
            <w:r w:rsidRPr="00B70F34">
              <w:t>5,357</w:t>
            </w:r>
          </w:p>
        </w:tc>
      </w:tr>
    </w:tbl>
    <w:p w:rsidR="006B3D78" w:rsidRPr="004278C3" w:rsidRDefault="006B3D78" w:rsidP="004278C3">
      <w:pPr>
        <w:pStyle w:val="TableFootnote"/>
        <w:spacing w:after="40"/>
        <w:rPr>
          <w:bCs w:val="0"/>
          <w:highlight w:val="yellow"/>
        </w:rPr>
      </w:pPr>
    </w:p>
    <w:p w:rsidR="006B3D78" w:rsidRPr="00B70F34" w:rsidRDefault="006B3D78" w:rsidP="002E741F">
      <w:pPr>
        <w:pStyle w:val="Heading3"/>
      </w:pPr>
      <w:r w:rsidRPr="00B70F34">
        <w:t>Ka Hikitia</w:t>
      </w:r>
    </w:p>
    <w:p w:rsidR="006B3D78" w:rsidRPr="000813F7" w:rsidRDefault="006B3D78" w:rsidP="000813F7">
      <w:pPr>
        <w:pStyle w:val="BodyText"/>
      </w:pPr>
      <w:r w:rsidRPr="00A03482">
        <w:rPr>
          <w:i/>
        </w:rPr>
        <w:t xml:space="preserve">Ka Hikitia </w:t>
      </w:r>
      <w:r w:rsidR="00C54418" w:rsidRPr="00A03482">
        <w:rPr>
          <w:rFonts w:cs="Arial"/>
          <w:i/>
        </w:rPr>
        <w:t>―</w:t>
      </w:r>
      <w:r w:rsidRPr="00A03482">
        <w:rPr>
          <w:i/>
        </w:rPr>
        <w:t xml:space="preserve"> Managi</w:t>
      </w:r>
      <w:r w:rsidR="005B7C6B" w:rsidRPr="00A03482">
        <w:rPr>
          <w:i/>
        </w:rPr>
        <w:t>ng for Success (2008</w:t>
      </w:r>
      <w:r w:rsidR="00C54418" w:rsidRPr="00A03482">
        <w:rPr>
          <w:i/>
        </w:rPr>
        <w:t>–</w:t>
      </w:r>
      <w:r w:rsidR="005B7C6B" w:rsidRPr="00A03482">
        <w:rPr>
          <w:i/>
        </w:rPr>
        <w:t>2012)</w:t>
      </w:r>
      <w:r w:rsidR="00A03482" w:rsidRPr="00A03482">
        <w:t xml:space="preserve"> </w:t>
      </w:r>
      <w:r w:rsidR="005B7C6B">
        <w:t>set</w:t>
      </w:r>
      <w:r w:rsidRPr="000813F7">
        <w:t xml:space="preserve"> targets to monitor the achievement of goals for Māori language in education, as follows:</w:t>
      </w:r>
    </w:p>
    <w:p w:rsidR="006B3D78" w:rsidRPr="00B70F34" w:rsidRDefault="006B3D78" w:rsidP="006B3D78">
      <w:pPr>
        <w:pStyle w:val="BodyTextBullets"/>
      </w:pPr>
      <w:r w:rsidRPr="00B70F34">
        <w:rPr>
          <w:b/>
          <w:i/>
        </w:rPr>
        <w:t>Goal</w:t>
      </w:r>
      <w:r w:rsidRPr="00B70F34">
        <w:t>: increase the proportion of school leavers from Māori immersion and bilingual schools</w:t>
      </w:r>
      <w:r>
        <w:rPr>
          <w:rStyle w:val="FootnoteReference"/>
        </w:rPr>
        <w:footnoteReference w:id="21"/>
      </w:r>
      <w:r w:rsidRPr="00B70F34">
        <w:t xml:space="preserve"> with University Entrance or above from 39.4%</w:t>
      </w:r>
      <w:r w:rsidRPr="00B70F34">
        <w:rPr>
          <w:rStyle w:val="FootnoteReference"/>
        </w:rPr>
        <w:footnoteReference w:id="22"/>
      </w:r>
      <w:r w:rsidRPr="00B70F34">
        <w:t xml:space="preserve"> in 2006 to be equal to or better than the proportion of non-Māori English medium students by 2012.</w:t>
      </w:r>
    </w:p>
    <w:p w:rsidR="006B3D78" w:rsidRPr="00277A61" w:rsidRDefault="006B3D78" w:rsidP="00CF1F50">
      <w:pPr>
        <w:pStyle w:val="BodyTextBullets"/>
      </w:pPr>
      <w:r w:rsidRPr="00277A61">
        <w:rPr>
          <w:b/>
          <w:i/>
        </w:rPr>
        <w:t>Progress</w:t>
      </w:r>
      <w:r w:rsidRPr="00277A61">
        <w:t>: this goal was met in 2012, with the proportion of Māori students from Māori medium schools who left school qualified to attend university (55.5%) being equal to the proportion of non-Māori students from English medium schools (55.5%). It was also much higher than the proportion of Māori school leavers attaining a university entrance standard nationally (26.7%).</w:t>
      </w:r>
    </w:p>
    <w:p w:rsidR="006B3D78" w:rsidRDefault="006B3D78" w:rsidP="006B3D78">
      <w:pPr>
        <w:pStyle w:val="BodyTextBullets"/>
      </w:pPr>
      <w:r w:rsidRPr="00B70F34">
        <w:rPr>
          <w:b/>
          <w:i/>
        </w:rPr>
        <w:t>Goal</w:t>
      </w:r>
      <w:r w:rsidRPr="00B70F34">
        <w:t xml:space="preserve">: increase the proportion of all Year 11 students studying Te Reo Rangatira as a proportion of all </w:t>
      </w:r>
      <w:r w:rsidRPr="005B7C6B">
        <w:t xml:space="preserve">Year 11 students studying te reo (Te Reo Māori as well as Te Reo Rangatira) from 7.4% in 2006 to 10% by 2012. </w:t>
      </w:r>
    </w:p>
    <w:p w:rsidR="006B3D78" w:rsidRPr="00653C0C" w:rsidRDefault="006B3D78" w:rsidP="00653C0C">
      <w:pPr>
        <w:pStyle w:val="BodyTextBullets"/>
      </w:pPr>
      <w:r w:rsidRPr="00653C0C">
        <w:rPr>
          <w:b/>
          <w:i/>
        </w:rPr>
        <w:t>Progress</w:t>
      </w:r>
      <w:r w:rsidRPr="00653C0C">
        <w:t xml:space="preserve">: in 2012, there were </w:t>
      </w:r>
      <w:r w:rsidR="005B7C6B" w:rsidRPr="00653C0C">
        <w:t>21,245</w:t>
      </w:r>
      <w:r w:rsidRPr="00653C0C">
        <w:t xml:space="preserve"> students learning Te Reo Māori in English medium settings for at</w:t>
      </w:r>
      <w:r w:rsidRPr="0012346E">
        <w:t xml:space="preserve"> least t</w:t>
      </w:r>
      <w:r w:rsidR="005B7C6B">
        <w:t>hree hours per week</w:t>
      </w:r>
      <w:r w:rsidRPr="0012346E">
        <w:t>. This is an increase of 5.5% from 2011. The prop</w:t>
      </w:r>
      <w:r w:rsidR="008B0C02">
        <w:t>ortion of Year 11 te reo student</w:t>
      </w:r>
      <w:r w:rsidRPr="0012346E">
        <w:t xml:space="preserve">s studying Te Reo Rangatira increased from 5.9% in July 2011 to 6.3% in July 2012, </w:t>
      </w:r>
      <w:r w:rsidR="005B7C6B">
        <w:t xml:space="preserve">but </w:t>
      </w:r>
      <w:r w:rsidRPr="0012346E">
        <w:t xml:space="preserve">this still falls below both the </w:t>
      </w:r>
      <w:r w:rsidRPr="00653C0C">
        <w:rPr>
          <w:i/>
        </w:rPr>
        <w:t xml:space="preserve">Ka Hikitia </w:t>
      </w:r>
      <w:r>
        <w:t xml:space="preserve">target of 10% and </w:t>
      </w:r>
      <w:r w:rsidRPr="0012346E">
        <w:t>the proportion in 2006 (7.4%).</w:t>
      </w:r>
    </w:p>
    <w:p w:rsidR="006B3D78" w:rsidRPr="00CF1F50" w:rsidRDefault="006B3D78" w:rsidP="00CF1F50">
      <w:pPr>
        <w:pStyle w:val="BodyTextBullets"/>
      </w:pPr>
      <w:r w:rsidRPr="00CF1F50">
        <w:rPr>
          <w:b/>
          <w:i/>
        </w:rPr>
        <w:t>Goal:</w:t>
      </w:r>
      <w:r w:rsidRPr="00CF1F50">
        <w:t xml:space="preserve"> keep the current participation rate of all (primary and secondary) students engaged in Māori language education at 21%. </w:t>
      </w:r>
    </w:p>
    <w:p w:rsidR="006B3D78" w:rsidRPr="00CF1F50" w:rsidRDefault="006B3D78" w:rsidP="00030453">
      <w:pPr>
        <w:pStyle w:val="BodyTextBulletslast"/>
      </w:pPr>
      <w:r w:rsidRPr="00CF1F50">
        <w:rPr>
          <w:b/>
          <w:i/>
        </w:rPr>
        <w:t>Progress:</w:t>
      </w:r>
      <w:r w:rsidRPr="00CF1F50">
        <w:t xml:space="preserve"> the proportion of primary and secondary students engaged in Māori language education has increased from 19.8% in 2011 to 20.8% in 2012. This is the largest proportion of students engaged in Māori</w:t>
      </w:r>
      <w:r w:rsidR="005B7C6B">
        <w:t xml:space="preserve"> language education since 2006 but </w:t>
      </w:r>
      <w:r w:rsidRPr="00CF1F50">
        <w:t>it is still slightly below the Ka Hikitia target of 21%.</w:t>
      </w:r>
    </w:p>
    <w:p w:rsidR="006B3D78" w:rsidRPr="00DD06FF" w:rsidRDefault="006B3D78" w:rsidP="006B3D78">
      <w:pPr>
        <w:pStyle w:val="Heading2"/>
      </w:pPr>
      <w:bookmarkStart w:id="170" w:name="_Toc303511368"/>
      <w:bookmarkStart w:id="171" w:name="_Toc367361644"/>
      <w:r w:rsidRPr="00DD06FF">
        <w:t>Definitions</w:t>
      </w:r>
      <w:bookmarkEnd w:id="170"/>
      <w:bookmarkEnd w:id="171"/>
    </w:p>
    <w:tbl>
      <w:tblPr>
        <w:tblW w:w="8845"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000"/>
      </w:tblPr>
      <w:tblGrid>
        <w:gridCol w:w="1981"/>
        <w:gridCol w:w="6864"/>
      </w:tblGrid>
      <w:tr w:rsidR="006B3D78" w:rsidRPr="00DD06FF" w:rsidTr="007F6E7A">
        <w:tc>
          <w:tcPr>
            <w:tcW w:w="2122" w:type="dxa"/>
            <w:tcBorders>
              <w:bottom w:val="single" w:sz="4" w:space="0" w:color="FFFFFF"/>
            </w:tcBorders>
            <w:shd w:val="clear" w:color="auto" w:fill="DBE2D1"/>
          </w:tcPr>
          <w:p w:rsidR="006B3D78" w:rsidRPr="00DD06FF" w:rsidRDefault="006B3D78" w:rsidP="00DC392D">
            <w:pPr>
              <w:pStyle w:val="TableText"/>
            </w:pPr>
            <w:r w:rsidRPr="00DD06FF">
              <w:t>Kura kaupapa M</w:t>
            </w:r>
            <w:r w:rsidRPr="00571CBB">
              <w:t>ā</w:t>
            </w:r>
            <w:r w:rsidRPr="00DD06FF">
              <w:t>ori</w:t>
            </w:r>
          </w:p>
        </w:tc>
        <w:tc>
          <w:tcPr>
            <w:tcW w:w="7512" w:type="dxa"/>
            <w:tcBorders>
              <w:bottom w:val="single" w:sz="4" w:space="0" w:color="FFFFFF"/>
            </w:tcBorders>
            <w:shd w:val="clear" w:color="auto" w:fill="DBE2D1"/>
          </w:tcPr>
          <w:p w:rsidR="006B3D78" w:rsidRPr="00DD06FF" w:rsidRDefault="006B3D78" w:rsidP="00DC392D">
            <w:pPr>
              <w:pStyle w:val="TableText"/>
            </w:pPr>
            <w:r w:rsidRPr="00DD06FF">
              <w:t>Kura established under Section 155 of the Education Act 1989, as a kura supported by Te Rūnanganui o Ngā Kura Kaupapa Māori o Aotearoa with the learning programmes based on Te Aho Matua – M</w:t>
            </w:r>
            <w:r w:rsidRPr="00571CBB">
              <w:t>ā</w:t>
            </w:r>
            <w:r w:rsidRPr="00DD06FF">
              <w:t>ori philosophies.</w:t>
            </w:r>
          </w:p>
        </w:tc>
      </w:tr>
      <w:tr w:rsidR="006B3D78" w:rsidRPr="00DD06FF" w:rsidTr="007F6E7A">
        <w:tc>
          <w:tcPr>
            <w:tcW w:w="2122" w:type="dxa"/>
            <w:tcBorders>
              <w:bottom w:val="single" w:sz="4" w:space="0" w:color="FFFFFF"/>
            </w:tcBorders>
            <w:shd w:val="clear" w:color="auto" w:fill="EDF0E7"/>
          </w:tcPr>
          <w:p w:rsidR="006B3D78" w:rsidRPr="00DD06FF" w:rsidRDefault="006B3D78" w:rsidP="00DC392D">
            <w:pPr>
              <w:pStyle w:val="TableText"/>
            </w:pPr>
            <w:r w:rsidRPr="00DD06FF">
              <w:t>Kura M</w:t>
            </w:r>
            <w:r w:rsidRPr="00571CBB">
              <w:t>ā</w:t>
            </w:r>
            <w:r w:rsidRPr="00DD06FF">
              <w:t>ori</w:t>
            </w:r>
          </w:p>
        </w:tc>
        <w:tc>
          <w:tcPr>
            <w:tcW w:w="7512" w:type="dxa"/>
            <w:tcBorders>
              <w:bottom w:val="single" w:sz="4" w:space="0" w:color="FFFFFF"/>
            </w:tcBorders>
            <w:shd w:val="clear" w:color="auto" w:fill="EDF0E7"/>
          </w:tcPr>
          <w:p w:rsidR="006B3D78" w:rsidRPr="00DD06FF" w:rsidRDefault="006B3D78" w:rsidP="00DC392D">
            <w:pPr>
              <w:pStyle w:val="TableText"/>
            </w:pPr>
            <w:r w:rsidRPr="00DD06FF">
              <w:t xml:space="preserve">Kura established under </w:t>
            </w:r>
            <w:r w:rsidRPr="00DD06FF" w:rsidDel="006E4138">
              <w:t>S</w:t>
            </w:r>
            <w:r w:rsidRPr="00DD06FF">
              <w:t>ection 156 of the Education Act 1989, as a special character school delivering Māori medium education.</w:t>
            </w:r>
          </w:p>
        </w:tc>
      </w:tr>
      <w:tr w:rsidR="006B3D78" w:rsidRPr="00DD06FF" w:rsidTr="007F6E7A">
        <w:tc>
          <w:tcPr>
            <w:tcW w:w="2122" w:type="dxa"/>
            <w:tcBorders>
              <w:bottom w:val="single" w:sz="4" w:space="0" w:color="FFFFFF"/>
            </w:tcBorders>
            <w:shd w:val="clear" w:color="auto" w:fill="DBE2D1"/>
          </w:tcPr>
          <w:p w:rsidR="006B3D78" w:rsidRPr="00DD06FF" w:rsidRDefault="006B3D78" w:rsidP="00DC392D">
            <w:pPr>
              <w:pStyle w:val="TableText"/>
            </w:pPr>
            <w:r w:rsidRPr="00DD06FF">
              <w:t>Kura teina</w:t>
            </w:r>
          </w:p>
        </w:tc>
        <w:tc>
          <w:tcPr>
            <w:tcW w:w="7512" w:type="dxa"/>
            <w:tcBorders>
              <w:bottom w:val="single" w:sz="4" w:space="0" w:color="FFFFFF"/>
            </w:tcBorders>
            <w:shd w:val="clear" w:color="auto" w:fill="DBE2D1"/>
          </w:tcPr>
          <w:p w:rsidR="006B3D78" w:rsidRPr="00DD06FF" w:rsidRDefault="006B3D78" w:rsidP="00DC392D">
            <w:pPr>
              <w:pStyle w:val="TableText"/>
            </w:pPr>
            <w:r w:rsidRPr="00DD06FF">
              <w:t>Not fully an independent school established under Section 155 of the Education Act 1989, development/establishment stage, aligned to a kura Tuakana (a kura kaupapa Māori that acts as a mentor with primary responsibility for the kura teina).</w:t>
            </w:r>
          </w:p>
        </w:tc>
      </w:tr>
      <w:tr w:rsidR="006B3D78" w:rsidRPr="00DD06FF" w:rsidTr="007F6E7A">
        <w:tc>
          <w:tcPr>
            <w:tcW w:w="2122" w:type="dxa"/>
            <w:tcBorders>
              <w:bottom w:val="single" w:sz="4" w:space="0" w:color="FFFFFF"/>
            </w:tcBorders>
            <w:shd w:val="clear" w:color="auto" w:fill="EDF0E7"/>
          </w:tcPr>
          <w:p w:rsidR="006B3D78" w:rsidRPr="00DD06FF" w:rsidRDefault="006B3D78" w:rsidP="00DC392D">
            <w:pPr>
              <w:pStyle w:val="TableText"/>
            </w:pPr>
            <w:r w:rsidRPr="00DD06FF">
              <w:t>M</w:t>
            </w:r>
            <w:r w:rsidRPr="00571CBB">
              <w:t>ā</w:t>
            </w:r>
            <w:r w:rsidRPr="00DD06FF">
              <w:t>ori language education</w:t>
            </w:r>
          </w:p>
        </w:tc>
        <w:tc>
          <w:tcPr>
            <w:tcW w:w="7512" w:type="dxa"/>
            <w:tcBorders>
              <w:bottom w:val="single" w:sz="4" w:space="0" w:color="FFFFFF"/>
            </w:tcBorders>
            <w:shd w:val="clear" w:color="auto" w:fill="EDF0E7"/>
          </w:tcPr>
          <w:p w:rsidR="006B3D78" w:rsidRPr="00DD06FF" w:rsidRDefault="006B3D78" w:rsidP="00DC392D">
            <w:pPr>
              <w:pStyle w:val="TableText"/>
            </w:pPr>
            <w:r w:rsidRPr="00DD06FF">
              <w:t>All education that teaches Māori language skills and delivers education in and through te reo M</w:t>
            </w:r>
            <w:r w:rsidRPr="00571CBB">
              <w:t>ā</w:t>
            </w:r>
            <w:r w:rsidRPr="00DD06FF">
              <w:t>ori.</w:t>
            </w:r>
          </w:p>
        </w:tc>
      </w:tr>
      <w:tr w:rsidR="006B3D78" w:rsidRPr="00DD06FF" w:rsidTr="007F6E7A">
        <w:trPr>
          <w:trHeight w:val="70"/>
        </w:trPr>
        <w:tc>
          <w:tcPr>
            <w:tcW w:w="2122" w:type="dxa"/>
            <w:tcBorders>
              <w:bottom w:val="single" w:sz="4" w:space="0" w:color="FFFFFF"/>
            </w:tcBorders>
            <w:shd w:val="clear" w:color="auto" w:fill="DBE2D1"/>
          </w:tcPr>
          <w:p w:rsidR="006B3D78" w:rsidRPr="00DD06FF" w:rsidRDefault="006B3D78" w:rsidP="00DC392D">
            <w:pPr>
              <w:pStyle w:val="TableText"/>
            </w:pPr>
            <w:r w:rsidRPr="00DD06FF">
              <w:t>M</w:t>
            </w:r>
            <w:r w:rsidRPr="00571CBB">
              <w:t>ā</w:t>
            </w:r>
            <w:r w:rsidRPr="00DD06FF">
              <w:t>ori medium</w:t>
            </w:r>
          </w:p>
        </w:tc>
        <w:tc>
          <w:tcPr>
            <w:tcW w:w="7512" w:type="dxa"/>
            <w:tcBorders>
              <w:bottom w:val="single" w:sz="4" w:space="0" w:color="FFFFFF"/>
            </w:tcBorders>
            <w:shd w:val="clear" w:color="auto" w:fill="DBE2D1"/>
          </w:tcPr>
          <w:p w:rsidR="006B3D78" w:rsidRPr="00DD06FF" w:rsidRDefault="006B3D78" w:rsidP="00DC392D">
            <w:pPr>
              <w:pStyle w:val="TableText"/>
            </w:pPr>
            <w:r w:rsidRPr="00DD06FF">
              <w:t>Teaching that inclu</w:t>
            </w:r>
            <w:r w:rsidR="008B0C02">
              <w:t>des use of te reo Māori. Student</w:t>
            </w:r>
            <w:r w:rsidRPr="00DD06FF">
              <w:t xml:space="preserve">s are taught curriculum subjects in either both te reo Māori and English or in te reo Māori only. Māori medium includes all level one and two schools and classes. Level one and two classes teach through the medium of Māori from 51 to 100% of the time. </w:t>
            </w:r>
          </w:p>
        </w:tc>
      </w:tr>
      <w:tr w:rsidR="006B3D78" w:rsidRPr="00DD06FF" w:rsidTr="007F6E7A">
        <w:tc>
          <w:tcPr>
            <w:tcW w:w="2122" w:type="dxa"/>
            <w:shd w:val="clear" w:color="auto" w:fill="EDF0E7"/>
          </w:tcPr>
          <w:p w:rsidR="006B3D78" w:rsidRPr="00DD06FF" w:rsidRDefault="006B3D78" w:rsidP="00DC392D">
            <w:pPr>
              <w:pStyle w:val="TableText"/>
            </w:pPr>
            <w:r w:rsidRPr="00DD06FF">
              <w:t>Wharekura</w:t>
            </w:r>
          </w:p>
        </w:tc>
        <w:tc>
          <w:tcPr>
            <w:tcW w:w="7512" w:type="dxa"/>
            <w:shd w:val="clear" w:color="auto" w:fill="EDF0E7"/>
          </w:tcPr>
          <w:p w:rsidR="006B3D78" w:rsidRPr="00DD06FF" w:rsidRDefault="006B3D78" w:rsidP="00DC392D">
            <w:pPr>
              <w:pStyle w:val="TableText"/>
            </w:pPr>
            <w:r w:rsidRPr="00DD06FF">
              <w:t>Secondary level kura.</w:t>
            </w:r>
          </w:p>
        </w:tc>
      </w:tr>
    </w:tbl>
    <w:p w:rsidR="006B3D78" w:rsidRPr="00DD06FF" w:rsidRDefault="006B3D78" w:rsidP="006B3D78">
      <w:pPr>
        <w:pStyle w:val="Heading-Wheretofindmore"/>
      </w:pPr>
      <w:r w:rsidRPr="00DD06FF">
        <w:t>Where to find out more</w:t>
      </w:r>
    </w:p>
    <w:p w:rsidR="006B3D78" w:rsidRDefault="006869EE" w:rsidP="00FE1B3D">
      <w:pPr>
        <w:pStyle w:val="Figure"/>
      </w:pPr>
      <w:r>
        <w:rPr>
          <w:noProof/>
          <w:lang w:val="en-NZ"/>
        </w:rPr>
        <w:drawing>
          <wp:inline distT="0" distB="0" distL="0" distR="0">
            <wp:extent cx="5613952" cy="1188622"/>
            <wp:effectExtent l="19050" t="0" r="5798" b="0"/>
            <wp:docPr id="23" name="Picture 22" descr="Find out more - Chapter 4_Ma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out more - Chapter 4_Maori.png"/>
                    <pic:cNvPicPr/>
                  </pic:nvPicPr>
                  <pic:blipFill>
                    <a:blip r:embed="rId48" cstate="print"/>
                    <a:stretch>
                      <a:fillRect/>
                    </a:stretch>
                  </pic:blipFill>
                  <pic:spPr>
                    <a:xfrm>
                      <a:off x="0" y="0"/>
                      <a:ext cx="5613952" cy="1188622"/>
                    </a:xfrm>
                    <a:prstGeom prst="rect">
                      <a:avLst/>
                    </a:prstGeom>
                  </pic:spPr>
                </pic:pic>
              </a:graphicData>
            </a:graphic>
          </wp:inline>
        </w:drawing>
      </w:r>
    </w:p>
    <w:p w:rsidR="007F6E7A" w:rsidRDefault="007F6E7A" w:rsidP="007F6E7A"/>
    <w:p w:rsidR="007F6E7A" w:rsidRPr="00DD06FF" w:rsidRDefault="007F6E7A" w:rsidP="007F6E7A">
      <w:pPr>
        <w:sectPr w:rsidR="007F6E7A" w:rsidRPr="00DD06FF" w:rsidSect="00DC392D">
          <w:headerReference w:type="even" r:id="rId49"/>
          <w:headerReference w:type="default" r:id="rId50"/>
          <w:pgSz w:w="11906" w:h="16838"/>
          <w:pgMar w:top="1701" w:right="1361" w:bottom="1134" w:left="1701" w:header="709" w:footer="709" w:gutter="0"/>
          <w:cols w:space="567"/>
          <w:docGrid w:linePitch="360"/>
        </w:sectPr>
      </w:pPr>
    </w:p>
    <w:p w:rsidR="00E42E14" w:rsidRPr="0033706B" w:rsidRDefault="00E42E14" w:rsidP="008662DE">
      <w:pPr>
        <w:pStyle w:val="Heading1"/>
      </w:pPr>
      <w:bookmarkStart w:id="172" w:name="_Toc367361645"/>
      <w:r w:rsidRPr="0033706B">
        <w:t xml:space="preserve">Chapter 5: </w:t>
      </w:r>
      <w:r w:rsidR="008B0C02">
        <w:t>Student</w:t>
      </w:r>
      <w:r w:rsidRPr="0033706B">
        <w:t xml:space="preserve"> participation and engagement with learning</w:t>
      </w:r>
      <w:bookmarkEnd w:id="172"/>
    </w:p>
    <w:p w:rsidR="00E42E14" w:rsidRPr="0033706B" w:rsidRDefault="00E42E14" w:rsidP="007C70A4">
      <w:pPr>
        <w:pStyle w:val="BodyText"/>
      </w:pPr>
      <w:r w:rsidRPr="0033706B">
        <w:t>Schools must effectively involve students in learning to ensure their educational success. The Competent Learners @ 16 project (Wylie &amp; Hodgen, 2007) found that although both high- and low-achieving students had the same average attitudinal scores at age five, subsequent experiences of school and learning often had a significant impact on how positive different students felt about their schooling and future prospects.</w:t>
      </w:r>
    </w:p>
    <w:p w:rsidR="00E42E14" w:rsidRPr="009227DE" w:rsidRDefault="00E42E14" w:rsidP="007C70A4">
      <w:pPr>
        <w:pStyle w:val="BodyText"/>
        <w:rPr>
          <w:highlight w:val="yellow"/>
        </w:rPr>
      </w:pPr>
      <w:r w:rsidRPr="0033706B">
        <w:t>Students who become disengaged from school often begin to do so before the age of 12 (Wylie, Cameron, Twist, McDowell, &amp; Fisher, 2009). Disengagement accelerates at secondary school, particularly for Māori and Pasifika boys (Gibbs &amp; Poskitt, 2010), and lower engagement in learning and positivity about subjects is often reflected in lower rates of achievement.</w:t>
      </w:r>
    </w:p>
    <w:p w:rsidR="00E42E14" w:rsidRPr="009227DE" w:rsidRDefault="00E42E14" w:rsidP="008662DE">
      <w:pPr>
        <w:pStyle w:val="Heading2"/>
        <w:rPr>
          <w:highlight w:val="yellow"/>
        </w:rPr>
      </w:pPr>
      <w:bookmarkStart w:id="173" w:name="_Toc303511370"/>
      <w:bookmarkStart w:id="174" w:name="_Toc367361646"/>
      <w:bookmarkStart w:id="175" w:name="RANGE!B1:E29"/>
      <w:r w:rsidRPr="009227DE">
        <w:t>Youth</w:t>
      </w:r>
      <w:r w:rsidR="00537A3E">
        <w:t>s</w:t>
      </w:r>
      <w:r w:rsidRPr="009227DE">
        <w:t xml:space="preserve"> in Education Employment or Training</w:t>
      </w:r>
      <w:bookmarkEnd w:id="173"/>
      <w:bookmarkEnd w:id="174"/>
    </w:p>
    <w:p w:rsidR="00E42E14" w:rsidRDefault="00E42E14" w:rsidP="007C70A4">
      <w:pPr>
        <w:pStyle w:val="BodyText"/>
      </w:pPr>
      <w:r w:rsidRPr="006F5C9D">
        <w:t xml:space="preserve">Table 8 </w:t>
      </w:r>
      <w:r w:rsidR="00537A3E" w:rsidRPr="006F5C9D">
        <w:t>provides</w:t>
      </w:r>
      <w:r w:rsidR="00537A3E">
        <w:t xml:space="preserve"> information about</w:t>
      </w:r>
      <w:r w:rsidRPr="009227DE">
        <w:t xml:space="preserve"> senior secondary school aged young people at the transition period between secondary school and f</w:t>
      </w:r>
      <w:r w:rsidR="00E47635">
        <w:t>urther education or employment.</w:t>
      </w:r>
    </w:p>
    <w:p w:rsidR="00E42E14" w:rsidRPr="009227DE" w:rsidRDefault="00416B22" w:rsidP="00E42E14">
      <w:pPr>
        <w:pStyle w:val="TableHeading"/>
      </w:pPr>
      <w:bookmarkStart w:id="176" w:name="_Toc367361576"/>
      <w:bookmarkStart w:id="177" w:name="_Toc304217626"/>
      <w:bookmarkStart w:id="178" w:name="_Toc304449805"/>
      <w:r>
        <w:t>Youths in education, employment or training: 16-year-olds to 18-</w:t>
      </w:r>
      <w:r w:rsidR="00E42E14" w:rsidRPr="009227DE">
        <w:t>year-olds, 2012</w:t>
      </w:r>
      <w:bookmarkEnd w:id="176"/>
      <w:r w:rsidR="00E42E14" w:rsidRPr="009227DE">
        <w:t xml:space="preserve"> </w:t>
      </w:r>
      <w:bookmarkEnd w:id="177"/>
      <w:bookmarkEnd w:id="178"/>
    </w:p>
    <w:tbl>
      <w:tblPr>
        <w:tblW w:w="895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3793"/>
        <w:gridCol w:w="1722"/>
        <w:gridCol w:w="1722"/>
        <w:gridCol w:w="1722"/>
      </w:tblGrid>
      <w:tr w:rsidR="00E42E14" w:rsidRPr="007F6E7A" w:rsidTr="00030453">
        <w:trPr>
          <w:trHeight w:val="315"/>
        </w:trPr>
        <w:tc>
          <w:tcPr>
            <w:tcW w:w="3793" w:type="dxa"/>
            <w:tcBorders>
              <w:bottom w:val="single" w:sz="4" w:space="0" w:color="FFFFFF"/>
            </w:tcBorders>
            <w:shd w:val="clear" w:color="000000" w:fill="DBE2D1"/>
            <w:noWrap/>
            <w:vAlign w:val="bottom"/>
            <w:hideMark/>
          </w:tcPr>
          <w:p w:rsidR="00E42E14" w:rsidRPr="007F6E7A" w:rsidRDefault="00E42E14" w:rsidP="007F6E7A">
            <w:pPr>
              <w:pStyle w:val="TableText"/>
              <w:rPr>
                <w:b/>
              </w:rPr>
            </w:pPr>
            <w:r w:rsidRPr="007F6E7A">
              <w:rPr>
                <w:b/>
              </w:rPr>
              <w:t>Location/status</w:t>
            </w:r>
          </w:p>
        </w:tc>
        <w:tc>
          <w:tcPr>
            <w:tcW w:w="1722" w:type="dxa"/>
            <w:tcBorders>
              <w:bottom w:val="single" w:sz="4" w:space="0" w:color="FFFFFF"/>
            </w:tcBorders>
            <w:shd w:val="clear" w:color="000000" w:fill="DBE2D1"/>
            <w:vAlign w:val="bottom"/>
            <w:hideMark/>
          </w:tcPr>
          <w:p w:rsidR="00E42E14" w:rsidRPr="00CB51D4" w:rsidRDefault="00E42E14" w:rsidP="00CB51D4">
            <w:pPr>
              <w:pStyle w:val="TableText"/>
              <w:jc w:val="center"/>
              <w:rPr>
                <w:b/>
              </w:rPr>
            </w:pPr>
            <w:r w:rsidRPr="00CB51D4">
              <w:rPr>
                <w:b/>
              </w:rPr>
              <w:t>16 year-olds</w:t>
            </w:r>
          </w:p>
        </w:tc>
        <w:tc>
          <w:tcPr>
            <w:tcW w:w="1722" w:type="dxa"/>
            <w:tcBorders>
              <w:bottom w:val="single" w:sz="4" w:space="0" w:color="FFFFFF"/>
            </w:tcBorders>
            <w:shd w:val="clear" w:color="000000" w:fill="DBE2D1"/>
            <w:vAlign w:val="bottom"/>
            <w:hideMark/>
          </w:tcPr>
          <w:p w:rsidR="00E42E14" w:rsidRPr="00CB51D4" w:rsidRDefault="00E42E14" w:rsidP="00CB51D4">
            <w:pPr>
              <w:pStyle w:val="TableText"/>
              <w:jc w:val="center"/>
              <w:rPr>
                <w:b/>
              </w:rPr>
            </w:pPr>
            <w:r w:rsidRPr="00CB51D4">
              <w:rPr>
                <w:b/>
              </w:rPr>
              <w:t>17 year-olds</w:t>
            </w:r>
          </w:p>
        </w:tc>
        <w:tc>
          <w:tcPr>
            <w:tcW w:w="1722" w:type="dxa"/>
            <w:tcBorders>
              <w:bottom w:val="single" w:sz="4" w:space="0" w:color="FFFFFF"/>
            </w:tcBorders>
            <w:shd w:val="clear" w:color="000000" w:fill="DBE2D1"/>
            <w:vAlign w:val="bottom"/>
            <w:hideMark/>
          </w:tcPr>
          <w:p w:rsidR="00E42E14" w:rsidRPr="00CB51D4" w:rsidRDefault="00E42E14" w:rsidP="00CB51D4">
            <w:pPr>
              <w:pStyle w:val="TableText"/>
              <w:jc w:val="center"/>
              <w:rPr>
                <w:b/>
              </w:rPr>
            </w:pPr>
            <w:r w:rsidRPr="00CB51D4">
              <w:rPr>
                <w:b/>
              </w:rPr>
              <w:t>18 year-olds</w:t>
            </w:r>
          </w:p>
        </w:tc>
      </w:tr>
      <w:tr w:rsidR="00E42E14" w:rsidRPr="009227DE" w:rsidTr="00030453">
        <w:trPr>
          <w:trHeight w:val="300"/>
        </w:trPr>
        <w:tc>
          <w:tcPr>
            <w:tcW w:w="3793" w:type="dxa"/>
            <w:shd w:val="clear" w:color="auto" w:fill="EDF0E7"/>
            <w:noWrap/>
            <w:vAlign w:val="bottom"/>
            <w:hideMark/>
          </w:tcPr>
          <w:p w:rsidR="00E42E14" w:rsidRPr="009227DE" w:rsidRDefault="00E42E14" w:rsidP="007F6E7A">
            <w:pPr>
              <w:pStyle w:val="TableText"/>
            </w:pPr>
            <w:r w:rsidRPr="009227DE">
              <w:t>Secondary school (excl. STAR, Gateway)</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43,311</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35,607</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8,594</w:t>
            </w:r>
          </w:p>
        </w:tc>
      </w:tr>
      <w:tr w:rsidR="00E42E14" w:rsidRPr="009227DE" w:rsidTr="00030453">
        <w:trPr>
          <w:trHeight w:val="300"/>
        </w:trPr>
        <w:tc>
          <w:tcPr>
            <w:tcW w:w="3793" w:type="dxa"/>
            <w:shd w:val="clear" w:color="auto" w:fill="EDF0E7"/>
            <w:noWrap/>
            <w:vAlign w:val="bottom"/>
            <w:hideMark/>
          </w:tcPr>
          <w:p w:rsidR="00E42E14" w:rsidRPr="009227DE" w:rsidRDefault="00E42E14" w:rsidP="007F6E7A">
            <w:pPr>
              <w:pStyle w:val="TableText"/>
            </w:pPr>
            <w:r w:rsidRPr="009227DE">
              <w:t>Teen Parent Units</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67</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135</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123</w:t>
            </w:r>
          </w:p>
        </w:tc>
      </w:tr>
      <w:tr w:rsidR="00E42E14" w:rsidRPr="009227DE" w:rsidTr="00030453">
        <w:trPr>
          <w:trHeight w:val="300"/>
        </w:trPr>
        <w:tc>
          <w:tcPr>
            <w:tcW w:w="3793" w:type="dxa"/>
            <w:shd w:val="clear" w:color="auto" w:fill="EDF0E7"/>
            <w:noWrap/>
            <w:vAlign w:val="bottom"/>
            <w:hideMark/>
          </w:tcPr>
          <w:p w:rsidR="00E42E14" w:rsidRPr="009227DE" w:rsidRDefault="00E42E14" w:rsidP="007F6E7A">
            <w:pPr>
              <w:pStyle w:val="TableText"/>
            </w:pPr>
            <w:r w:rsidRPr="009227DE">
              <w:t>STAR</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3,003</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3,104</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680</w:t>
            </w:r>
          </w:p>
        </w:tc>
      </w:tr>
      <w:tr w:rsidR="00E42E14" w:rsidRPr="009227DE" w:rsidTr="00030453">
        <w:trPr>
          <w:trHeight w:val="300"/>
        </w:trPr>
        <w:tc>
          <w:tcPr>
            <w:tcW w:w="3793" w:type="dxa"/>
            <w:shd w:val="clear" w:color="auto" w:fill="EDF0E7"/>
            <w:noWrap/>
            <w:vAlign w:val="bottom"/>
            <w:hideMark/>
          </w:tcPr>
          <w:p w:rsidR="00E42E14" w:rsidRPr="009227DE" w:rsidRDefault="00E42E14" w:rsidP="007F6E7A">
            <w:pPr>
              <w:pStyle w:val="TableText"/>
            </w:pPr>
            <w:r w:rsidRPr="009227DE">
              <w:t>Gateway</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6,113</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5,104</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413</w:t>
            </w:r>
          </w:p>
        </w:tc>
      </w:tr>
      <w:tr w:rsidR="00E42E14" w:rsidRPr="009227DE" w:rsidTr="00030453">
        <w:trPr>
          <w:trHeight w:val="300"/>
        </w:trPr>
        <w:tc>
          <w:tcPr>
            <w:tcW w:w="3793" w:type="dxa"/>
            <w:tcBorders>
              <w:bottom w:val="single" w:sz="4" w:space="0" w:color="FFFFFF"/>
            </w:tcBorders>
            <w:shd w:val="clear" w:color="auto" w:fill="EDF0E7"/>
            <w:noWrap/>
            <w:vAlign w:val="bottom"/>
            <w:hideMark/>
          </w:tcPr>
          <w:p w:rsidR="00E42E14" w:rsidRPr="009227DE" w:rsidRDefault="00E42E14" w:rsidP="007F6E7A">
            <w:pPr>
              <w:pStyle w:val="TableText"/>
            </w:pPr>
            <w:r w:rsidRPr="009227DE">
              <w:t>Home schooling</w:t>
            </w: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rPr>
            </w:pPr>
            <w:r w:rsidRPr="00CB51D4">
              <w:rPr>
                <w:bCs w:val="0"/>
              </w:rPr>
              <w:t>369</w:t>
            </w: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rPr>
            </w:pPr>
            <w:r w:rsidRPr="00CB51D4">
              <w:rPr>
                <w:bCs w:val="0"/>
              </w:rPr>
              <w:t>229</w:t>
            </w: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rPr>
            </w:pPr>
            <w:r w:rsidRPr="00CB51D4">
              <w:rPr>
                <w:bCs w:val="0"/>
              </w:rPr>
              <w:t>142</w:t>
            </w:r>
          </w:p>
        </w:tc>
      </w:tr>
      <w:tr w:rsidR="00E42E14" w:rsidRPr="007F6E7A" w:rsidTr="00030453">
        <w:trPr>
          <w:trHeight w:val="300"/>
        </w:trPr>
        <w:tc>
          <w:tcPr>
            <w:tcW w:w="3793" w:type="dxa"/>
            <w:tcBorders>
              <w:bottom w:val="single" w:sz="4" w:space="0" w:color="FFFFFF"/>
            </w:tcBorders>
            <w:shd w:val="clear" w:color="000000" w:fill="DBE2D1"/>
            <w:noWrap/>
            <w:vAlign w:val="bottom"/>
            <w:hideMark/>
          </w:tcPr>
          <w:p w:rsidR="00E42E14" w:rsidRPr="007F6E7A" w:rsidRDefault="00E42E14" w:rsidP="00CB51D4">
            <w:pPr>
              <w:pStyle w:val="TableText"/>
            </w:pPr>
            <w:r w:rsidRPr="007F6E7A">
              <w:t xml:space="preserve">Total secondary </w:t>
            </w:r>
            <w:r w:rsidRPr="00CB51D4">
              <w:t>schooling</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52,863</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44,179</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9,952</w:t>
            </w:r>
          </w:p>
        </w:tc>
      </w:tr>
      <w:tr w:rsidR="00E42E14" w:rsidRPr="009227DE" w:rsidTr="00030453">
        <w:trPr>
          <w:trHeight w:val="300"/>
        </w:trPr>
        <w:tc>
          <w:tcPr>
            <w:tcW w:w="3793" w:type="dxa"/>
            <w:shd w:val="clear" w:color="auto" w:fill="EDF0E7"/>
            <w:noWrap/>
            <w:vAlign w:val="bottom"/>
            <w:hideMark/>
          </w:tcPr>
          <w:p w:rsidR="00E42E14" w:rsidRPr="00533DC4" w:rsidRDefault="00E42E14" w:rsidP="003731AA">
            <w:pPr>
              <w:pStyle w:val="TableText"/>
            </w:pPr>
          </w:p>
        </w:tc>
        <w:tc>
          <w:tcPr>
            <w:tcW w:w="1722" w:type="dxa"/>
            <w:shd w:val="clear" w:color="auto" w:fill="EDF0E7"/>
            <w:noWrap/>
            <w:vAlign w:val="bottom"/>
            <w:hideMark/>
          </w:tcPr>
          <w:p w:rsidR="00E42E14" w:rsidRPr="00CB51D4" w:rsidRDefault="00E42E14" w:rsidP="00CB51D4">
            <w:pPr>
              <w:pStyle w:val="TableText"/>
              <w:ind w:right="397"/>
              <w:jc w:val="right"/>
              <w:rPr>
                <w:bCs w:val="0"/>
              </w:rPr>
            </w:pPr>
          </w:p>
        </w:tc>
        <w:tc>
          <w:tcPr>
            <w:tcW w:w="1722" w:type="dxa"/>
            <w:shd w:val="clear" w:color="auto" w:fill="EDF0E7"/>
            <w:noWrap/>
            <w:vAlign w:val="bottom"/>
            <w:hideMark/>
          </w:tcPr>
          <w:p w:rsidR="00E42E14" w:rsidRPr="00CB51D4" w:rsidRDefault="00E42E14" w:rsidP="00CB51D4">
            <w:pPr>
              <w:pStyle w:val="TableText"/>
              <w:ind w:right="397"/>
              <w:jc w:val="right"/>
              <w:rPr>
                <w:bCs w:val="0"/>
              </w:rPr>
            </w:pPr>
          </w:p>
        </w:tc>
        <w:tc>
          <w:tcPr>
            <w:tcW w:w="1722" w:type="dxa"/>
            <w:shd w:val="clear" w:color="auto" w:fill="EDF0E7"/>
            <w:noWrap/>
            <w:vAlign w:val="bottom"/>
            <w:hideMark/>
          </w:tcPr>
          <w:p w:rsidR="00E42E14" w:rsidRPr="00CB51D4" w:rsidRDefault="00E42E14" w:rsidP="00CB51D4">
            <w:pPr>
              <w:pStyle w:val="TableText"/>
              <w:ind w:right="397"/>
              <w:jc w:val="right"/>
              <w:rPr>
                <w:bCs w:val="0"/>
              </w:rPr>
            </w:pPr>
          </w:p>
        </w:tc>
      </w:tr>
      <w:tr w:rsidR="00E42E14" w:rsidRPr="009227DE" w:rsidTr="00030453">
        <w:trPr>
          <w:trHeight w:val="300"/>
        </w:trPr>
        <w:tc>
          <w:tcPr>
            <w:tcW w:w="3793" w:type="dxa"/>
            <w:shd w:val="clear" w:color="auto" w:fill="EDF0E7"/>
            <w:noWrap/>
            <w:vAlign w:val="bottom"/>
            <w:hideMark/>
          </w:tcPr>
          <w:p w:rsidR="00E42E14" w:rsidRPr="003731AA" w:rsidRDefault="00E42E14" w:rsidP="003731AA">
            <w:pPr>
              <w:pStyle w:val="TableText"/>
            </w:pPr>
            <w:r w:rsidRPr="003731AA">
              <w:t>Youth Training</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3,616</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3,813</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689</w:t>
            </w:r>
          </w:p>
        </w:tc>
      </w:tr>
      <w:tr w:rsidR="00E42E14" w:rsidRPr="009227DE" w:rsidTr="00030453">
        <w:trPr>
          <w:trHeight w:val="300"/>
        </w:trPr>
        <w:tc>
          <w:tcPr>
            <w:tcW w:w="3793" w:type="dxa"/>
            <w:shd w:val="clear" w:color="auto" w:fill="EDF0E7"/>
            <w:noWrap/>
            <w:vAlign w:val="bottom"/>
            <w:hideMark/>
          </w:tcPr>
          <w:p w:rsidR="00E42E14" w:rsidRPr="003731AA" w:rsidRDefault="00E42E14" w:rsidP="003731AA">
            <w:pPr>
              <w:pStyle w:val="TableText"/>
            </w:pPr>
            <w:r w:rsidRPr="003731AA">
              <w:t>Skill enhancement/training opportunities</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8</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210</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1,303</w:t>
            </w:r>
          </w:p>
        </w:tc>
      </w:tr>
      <w:tr w:rsidR="00E42E14" w:rsidRPr="009227DE" w:rsidTr="00030453">
        <w:trPr>
          <w:trHeight w:val="300"/>
        </w:trPr>
        <w:tc>
          <w:tcPr>
            <w:tcW w:w="3793" w:type="dxa"/>
            <w:shd w:val="clear" w:color="auto" w:fill="EDF0E7"/>
            <w:noWrap/>
            <w:vAlign w:val="bottom"/>
            <w:hideMark/>
          </w:tcPr>
          <w:p w:rsidR="00E42E14" w:rsidRPr="003731AA" w:rsidRDefault="00E42E14" w:rsidP="003731AA">
            <w:pPr>
              <w:pStyle w:val="TableText"/>
            </w:pPr>
            <w:r w:rsidRPr="003731AA">
              <w:t>Workplace-Based Learning (excl. MA)</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880</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1,925</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3,115</w:t>
            </w:r>
          </w:p>
        </w:tc>
      </w:tr>
      <w:tr w:rsidR="00E42E14" w:rsidRPr="009227DE" w:rsidTr="00030453">
        <w:trPr>
          <w:trHeight w:val="300"/>
        </w:trPr>
        <w:tc>
          <w:tcPr>
            <w:tcW w:w="3793" w:type="dxa"/>
            <w:shd w:val="clear" w:color="auto" w:fill="EDF0E7"/>
            <w:noWrap/>
            <w:vAlign w:val="bottom"/>
            <w:hideMark/>
          </w:tcPr>
          <w:p w:rsidR="00E42E14" w:rsidRPr="003731AA" w:rsidRDefault="00E42E14" w:rsidP="003731AA">
            <w:pPr>
              <w:pStyle w:val="TableText"/>
            </w:pPr>
            <w:r w:rsidRPr="003731AA">
              <w:t>Modern Apprenticeships</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370</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1,149</w:t>
            </w:r>
          </w:p>
        </w:tc>
        <w:tc>
          <w:tcPr>
            <w:tcW w:w="1722" w:type="dxa"/>
            <w:shd w:val="clear" w:color="auto" w:fill="EDF0E7"/>
            <w:noWrap/>
            <w:vAlign w:val="bottom"/>
            <w:hideMark/>
          </w:tcPr>
          <w:p w:rsidR="00E42E14" w:rsidRPr="00CB51D4" w:rsidRDefault="00E42E14" w:rsidP="00CB51D4">
            <w:pPr>
              <w:pStyle w:val="TableText"/>
              <w:ind w:right="397"/>
              <w:jc w:val="right"/>
              <w:rPr>
                <w:bCs w:val="0"/>
              </w:rPr>
            </w:pPr>
            <w:r w:rsidRPr="00CB51D4">
              <w:rPr>
                <w:bCs w:val="0"/>
              </w:rPr>
              <w:t>2,087</w:t>
            </w:r>
          </w:p>
        </w:tc>
      </w:tr>
      <w:tr w:rsidR="00E42E14" w:rsidRPr="009227DE" w:rsidTr="00030453">
        <w:trPr>
          <w:trHeight w:val="300"/>
        </w:trPr>
        <w:tc>
          <w:tcPr>
            <w:tcW w:w="3793" w:type="dxa"/>
            <w:tcBorders>
              <w:bottom w:val="single" w:sz="4" w:space="0" w:color="FFFFFF"/>
            </w:tcBorders>
            <w:shd w:val="clear" w:color="auto" w:fill="EDF0E7"/>
            <w:noWrap/>
            <w:vAlign w:val="bottom"/>
            <w:hideMark/>
          </w:tcPr>
          <w:p w:rsidR="00E42E14" w:rsidRPr="003731AA" w:rsidRDefault="00E42E14" w:rsidP="003731AA">
            <w:pPr>
              <w:pStyle w:val="TableText"/>
            </w:pPr>
            <w:r w:rsidRPr="003731AA">
              <w:t>Tertiary (excl. Workplace-Based Learning)</w:t>
            </w: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rPr>
            </w:pPr>
            <w:r w:rsidRPr="00CB51D4">
              <w:rPr>
                <w:bCs w:val="0"/>
              </w:rPr>
              <w:t>971</w:t>
            </w: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rPr>
            </w:pPr>
            <w:r w:rsidRPr="00CB51D4">
              <w:rPr>
                <w:bCs w:val="0"/>
              </w:rPr>
              <w:t>3,069</w:t>
            </w: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rPr>
            </w:pPr>
            <w:r w:rsidRPr="00CB51D4">
              <w:rPr>
                <w:bCs w:val="0"/>
              </w:rPr>
              <w:t>21,246</w:t>
            </w:r>
          </w:p>
        </w:tc>
      </w:tr>
      <w:tr w:rsidR="00E42E14" w:rsidRPr="007F6E7A" w:rsidTr="00030453">
        <w:trPr>
          <w:trHeight w:val="300"/>
        </w:trPr>
        <w:tc>
          <w:tcPr>
            <w:tcW w:w="3793" w:type="dxa"/>
            <w:tcBorders>
              <w:bottom w:val="single" w:sz="4" w:space="0" w:color="FFFFFF"/>
            </w:tcBorders>
            <w:shd w:val="clear" w:color="000000" w:fill="DBE2D1"/>
            <w:noWrap/>
            <w:vAlign w:val="bottom"/>
            <w:hideMark/>
          </w:tcPr>
          <w:p w:rsidR="00E42E14" w:rsidRPr="00CB51D4" w:rsidRDefault="00E42E14" w:rsidP="00CB51D4">
            <w:pPr>
              <w:pStyle w:val="TableText"/>
            </w:pPr>
            <w:r w:rsidRPr="00CB51D4">
              <w:t>Total tertiary education</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5,845</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10,166</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28,440</w:t>
            </w:r>
          </w:p>
        </w:tc>
      </w:tr>
      <w:tr w:rsidR="00E42E14" w:rsidRPr="009227DE" w:rsidTr="00030453">
        <w:trPr>
          <w:trHeight w:val="300"/>
        </w:trPr>
        <w:tc>
          <w:tcPr>
            <w:tcW w:w="3793" w:type="dxa"/>
            <w:tcBorders>
              <w:bottom w:val="single" w:sz="4" w:space="0" w:color="FFFFFF"/>
            </w:tcBorders>
            <w:shd w:val="clear" w:color="auto" w:fill="EDF0E7"/>
            <w:noWrap/>
            <w:vAlign w:val="bottom"/>
            <w:hideMark/>
          </w:tcPr>
          <w:p w:rsidR="00E42E14" w:rsidRPr="00CB51D4" w:rsidRDefault="00E42E14" w:rsidP="00CB51D4">
            <w:pPr>
              <w:pStyle w:val="TableText"/>
              <w:rPr>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r>
      <w:tr w:rsidR="00E42E14" w:rsidRPr="007F6E7A" w:rsidTr="00030453">
        <w:trPr>
          <w:trHeight w:val="300"/>
        </w:trPr>
        <w:tc>
          <w:tcPr>
            <w:tcW w:w="3793" w:type="dxa"/>
            <w:tcBorders>
              <w:bottom w:val="single" w:sz="4" w:space="0" w:color="FFFFFF"/>
            </w:tcBorders>
            <w:shd w:val="clear" w:color="000000" w:fill="DBE2D1"/>
            <w:noWrap/>
            <w:vAlign w:val="bottom"/>
            <w:hideMark/>
          </w:tcPr>
          <w:p w:rsidR="00E42E14" w:rsidRPr="00CB51D4" w:rsidRDefault="00E42E14" w:rsidP="00CB51D4">
            <w:pPr>
              <w:pStyle w:val="TableText"/>
            </w:pPr>
            <w:r w:rsidRPr="00CB51D4">
              <w:t>Total in education and training</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58,708</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54,345</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38,392</w:t>
            </w:r>
          </w:p>
        </w:tc>
      </w:tr>
      <w:tr w:rsidR="00E42E14" w:rsidRPr="009227DE" w:rsidTr="00030453">
        <w:trPr>
          <w:trHeight w:val="300"/>
        </w:trPr>
        <w:tc>
          <w:tcPr>
            <w:tcW w:w="3793" w:type="dxa"/>
            <w:tcBorders>
              <w:bottom w:val="single" w:sz="4" w:space="0" w:color="FFFFFF"/>
            </w:tcBorders>
            <w:shd w:val="clear" w:color="auto" w:fill="EDF0E7"/>
            <w:noWrap/>
            <w:vAlign w:val="bottom"/>
            <w:hideMark/>
          </w:tcPr>
          <w:p w:rsidR="00E42E14" w:rsidRPr="00CB51D4" w:rsidRDefault="00E42E14" w:rsidP="00CB51D4">
            <w:pPr>
              <w:pStyle w:val="TableText"/>
              <w:rPr>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r>
      <w:tr w:rsidR="00E42E14" w:rsidRPr="007F6E7A" w:rsidTr="00030453">
        <w:trPr>
          <w:trHeight w:val="300"/>
        </w:trPr>
        <w:tc>
          <w:tcPr>
            <w:tcW w:w="3793" w:type="dxa"/>
            <w:tcBorders>
              <w:bottom w:val="single" w:sz="4" w:space="0" w:color="FFFFFF"/>
            </w:tcBorders>
            <w:shd w:val="clear" w:color="000000" w:fill="DBE2D1"/>
            <w:noWrap/>
            <w:vAlign w:val="bottom"/>
            <w:hideMark/>
          </w:tcPr>
          <w:p w:rsidR="00E42E14" w:rsidRPr="00CB51D4" w:rsidRDefault="00E42E14" w:rsidP="00CB51D4">
            <w:pPr>
              <w:pStyle w:val="TableText"/>
            </w:pPr>
            <w:r w:rsidRPr="00CB51D4">
              <w:t>Employed</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576</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4,229</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15,672</w:t>
            </w:r>
          </w:p>
        </w:tc>
      </w:tr>
      <w:tr w:rsidR="00E42E14" w:rsidRPr="009227DE" w:rsidTr="00030453">
        <w:trPr>
          <w:trHeight w:val="300"/>
        </w:trPr>
        <w:tc>
          <w:tcPr>
            <w:tcW w:w="3793" w:type="dxa"/>
            <w:tcBorders>
              <w:bottom w:val="single" w:sz="4" w:space="0" w:color="FFFFFF"/>
            </w:tcBorders>
            <w:shd w:val="clear" w:color="auto" w:fill="EDF0E7"/>
            <w:noWrap/>
            <w:vAlign w:val="bottom"/>
            <w:hideMark/>
          </w:tcPr>
          <w:p w:rsidR="00E42E14" w:rsidRPr="00CB51D4" w:rsidRDefault="00E42E14" w:rsidP="00CB51D4">
            <w:pPr>
              <w:pStyle w:val="TableText"/>
              <w:rPr>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r>
      <w:tr w:rsidR="00E42E14" w:rsidRPr="007F6E7A" w:rsidTr="00030453">
        <w:trPr>
          <w:trHeight w:val="300"/>
        </w:trPr>
        <w:tc>
          <w:tcPr>
            <w:tcW w:w="3793" w:type="dxa"/>
            <w:tcBorders>
              <w:bottom w:val="single" w:sz="4" w:space="0" w:color="FFFFFF"/>
            </w:tcBorders>
            <w:shd w:val="clear" w:color="000000" w:fill="DBE2D1"/>
            <w:noWrap/>
            <w:vAlign w:val="bottom"/>
            <w:hideMark/>
          </w:tcPr>
          <w:p w:rsidR="00E42E14" w:rsidRPr="00CB51D4" w:rsidRDefault="00E42E14" w:rsidP="00CB51D4">
            <w:pPr>
              <w:pStyle w:val="TableText"/>
            </w:pPr>
            <w:r w:rsidRPr="00CB51D4">
              <w:t>Not in Education Employment or Training (NEET)</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719</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3,081</w:t>
            </w:r>
          </w:p>
        </w:tc>
        <w:tc>
          <w:tcPr>
            <w:tcW w:w="1722" w:type="dxa"/>
            <w:tcBorders>
              <w:bottom w:val="single" w:sz="4" w:space="0" w:color="FFFFFF"/>
            </w:tcBorders>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8,122</w:t>
            </w:r>
          </w:p>
        </w:tc>
      </w:tr>
      <w:tr w:rsidR="00E42E14" w:rsidRPr="009227DE" w:rsidTr="00030453">
        <w:trPr>
          <w:trHeight w:val="300"/>
        </w:trPr>
        <w:tc>
          <w:tcPr>
            <w:tcW w:w="3793" w:type="dxa"/>
            <w:tcBorders>
              <w:bottom w:val="single" w:sz="4" w:space="0" w:color="FFFFFF"/>
            </w:tcBorders>
            <w:shd w:val="clear" w:color="auto" w:fill="EDF0E7"/>
            <w:noWrap/>
            <w:vAlign w:val="bottom"/>
            <w:hideMark/>
          </w:tcPr>
          <w:p w:rsidR="00E42E14" w:rsidRPr="00CB51D4" w:rsidRDefault="00E42E14" w:rsidP="00CB51D4">
            <w:pPr>
              <w:pStyle w:val="TableText"/>
              <w:rPr>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c>
          <w:tcPr>
            <w:tcW w:w="1722" w:type="dxa"/>
            <w:tcBorders>
              <w:bottom w:val="single" w:sz="4" w:space="0" w:color="FFFFFF"/>
            </w:tcBorders>
            <w:shd w:val="clear" w:color="auto" w:fill="EDF0E7"/>
            <w:noWrap/>
            <w:vAlign w:val="bottom"/>
            <w:hideMark/>
          </w:tcPr>
          <w:p w:rsidR="00E42E14" w:rsidRPr="00CB51D4" w:rsidRDefault="00E42E14" w:rsidP="00CB51D4">
            <w:pPr>
              <w:pStyle w:val="TableText"/>
              <w:ind w:right="397"/>
              <w:jc w:val="right"/>
              <w:rPr>
                <w:bCs w:val="0"/>
                <w:highlight w:val="yellow"/>
              </w:rPr>
            </w:pPr>
          </w:p>
        </w:tc>
      </w:tr>
      <w:tr w:rsidR="00E42E14" w:rsidRPr="007F6E7A" w:rsidTr="00030453">
        <w:trPr>
          <w:trHeight w:val="300"/>
        </w:trPr>
        <w:tc>
          <w:tcPr>
            <w:tcW w:w="3793" w:type="dxa"/>
            <w:shd w:val="clear" w:color="000000" w:fill="DBE2D1"/>
            <w:noWrap/>
            <w:vAlign w:val="bottom"/>
            <w:hideMark/>
          </w:tcPr>
          <w:p w:rsidR="00E42E14" w:rsidRPr="00CB51D4" w:rsidRDefault="00E42E14" w:rsidP="00CB51D4">
            <w:pPr>
              <w:pStyle w:val="TableText"/>
            </w:pPr>
            <w:r w:rsidRPr="00CB51D4">
              <w:t>Resident population (excl. long term study permits)</w:t>
            </w:r>
          </w:p>
        </w:tc>
        <w:tc>
          <w:tcPr>
            <w:tcW w:w="1722" w:type="dxa"/>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60,003</w:t>
            </w:r>
          </w:p>
        </w:tc>
        <w:tc>
          <w:tcPr>
            <w:tcW w:w="1722" w:type="dxa"/>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61,655</w:t>
            </w:r>
          </w:p>
        </w:tc>
        <w:tc>
          <w:tcPr>
            <w:tcW w:w="1722" w:type="dxa"/>
            <w:shd w:val="clear" w:color="000000" w:fill="DBE2D1"/>
            <w:noWrap/>
            <w:vAlign w:val="bottom"/>
            <w:hideMark/>
          </w:tcPr>
          <w:p w:rsidR="00E42E14" w:rsidRPr="00CB51D4" w:rsidRDefault="00E42E14" w:rsidP="00CB51D4">
            <w:pPr>
              <w:pStyle w:val="TableText"/>
              <w:ind w:right="397"/>
              <w:jc w:val="right"/>
              <w:rPr>
                <w:bCs w:val="0"/>
              </w:rPr>
            </w:pPr>
            <w:r w:rsidRPr="00CB51D4">
              <w:rPr>
                <w:bCs w:val="0"/>
              </w:rPr>
              <w:t>62,186</w:t>
            </w:r>
          </w:p>
        </w:tc>
      </w:tr>
    </w:tbl>
    <w:bookmarkEnd w:id="175"/>
    <w:p w:rsidR="00E42E14" w:rsidRPr="000813F7" w:rsidRDefault="00E42E14" w:rsidP="000813F7">
      <w:pPr>
        <w:pStyle w:val="TableFootnote"/>
      </w:pPr>
      <w:r w:rsidRPr="000813F7">
        <w:rPr>
          <w:b/>
        </w:rPr>
        <w:t>Notes:</w:t>
      </w:r>
      <w:r w:rsidRPr="000813F7">
        <w:rPr>
          <w:b/>
        </w:rPr>
        <w:br/>
      </w:r>
      <w:r w:rsidRPr="000813F7">
        <w:t>This NEET is calculated by multiplying the number of individuals not in education or training by the proportion of “not studying” who are unemployed.</w:t>
      </w:r>
      <w:bookmarkStart w:id="179" w:name="_Toc300319705"/>
      <w:bookmarkStart w:id="180" w:name="_Toc303511371"/>
      <w:bookmarkStart w:id="181" w:name="_Toc261938713"/>
      <w:bookmarkStart w:id="182" w:name="_Toc261938740"/>
      <w:bookmarkStart w:id="183" w:name="_Toc300319677"/>
      <w:r w:rsidRPr="000813F7">
        <w:t xml:space="preserve"> </w:t>
      </w:r>
      <w:r w:rsidRPr="000813F7">
        <w:br/>
        <w:t>This is not the Government’s official measure of NEET. It is an analysis based on census data provided by education services.</w:t>
      </w:r>
      <w:r w:rsidRPr="000813F7">
        <w:br/>
        <w:t>Employment and study status are sourced from the Household Labour Force Survey (HLFS).</w:t>
      </w:r>
      <w:r w:rsidRPr="000813F7">
        <w:br/>
        <w:t>STAR = Secondary Tertiary Alignment Resource.</w:t>
      </w:r>
    </w:p>
    <w:p w:rsidR="00D00FCF" w:rsidRDefault="00D00FCF" w:rsidP="0096169F">
      <w:pPr>
        <w:pStyle w:val="BodyText"/>
      </w:pPr>
      <w:r>
        <w:br w:type="page"/>
      </w:r>
    </w:p>
    <w:p w:rsidR="005D7FF2" w:rsidRPr="005D7FF2" w:rsidRDefault="005D7FF2" w:rsidP="007C70A4">
      <w:pPr>
        <w:pStyle w:val="BodyText"/>
      </w:pPr>
      <w:r>
        <w:t>In 2012, an estimated 82.4% of the 16</w:t>
      </w:r>
      <w:r w:rsidR="00C54418">
        <w:t>–</w:t>
      </w:r>
      <w:r>
        <w:t>18 year-old population in New Zealand was in either secondary or tertiary education or training, while 11.1% were employed and 6.5% were not in education, employment or training. This represents an increase of 0.9 of a percentage point in the proportion of 16</w:t>
      </w:r>
      <w:r w:rsidR="00C54418">
        <w:t>–</w:t>
      </w:r>
      <w:r>
        <w:t>18 year-olds in education or training compared with 2011 (81.5%), and an increase of 0.7 of a percentage point in the proportion in employment compared with 2011 (10.5%).</w:t>
      </w:r>
      <w:r w:rsidR="00235FD2">
        <w:t xml:space="preserve"> </w:t>
      </w:r>
      <w:r>
        <w:t>Correspondingly, the proportion of 16</w:t>
      </w:r>
      <w:r w:rsidR="00C54418">
        <w:t>–</w:t>
      </w:r>
      <w:r>
        <w:t>18 year-olds not in education, employment or training in 2012 (6.5%) was 1.5 percentage points less than the proportion in 2011 (8.0%). The largest shift in the proportion not in education, employment or training was displayed by the 17-year-old age group, reducing from 6.9% in 2011 to 5.0% in 2012.</w:t>
      </w:r>
    </w:p>
    <w:p w:rsidR="00E42E14" w:rsidRPr="009227DE" w:rsidRDefault="00E42E14" w:rsidP="008662DE">
      <w:pPr>
        <w:pStyle w:val="Heading2"/>
      </w:pPr>
      <w:bookmarkStart w:id="184" w:name="_Toc367361647"/>
      <w:r w:rsidRPr="009227DE">
        <w:t>Non-enrolled students</w:t>
      </w:r>
      <w:bookmarkEnd w:id="179"/>
      <w:bookmarkEnd w:id="180"/>
      <w:bookmarkEnd w:id="184"/>
    </w:p>
    <w:p w:rsidR="00E42E14" w:rsidRPr="009227DE" w:rsidRDefault="00E42E14" w:rsidP="007C70A4">
      <w:pPr>
        <w:pStyle w:val="BodyText"/>
      </w:pPr>
      <w:r w:rsidRPr="009227DE">
        <w:t>The Ministry of Education is responsible for upholding the Education Act 1989, which states that attendance at school is compulsory for New Zealand citizens and residents from age 6 until they turn 16.</w:t>
      </w:r>
    </w:p>
    <w:p w:rsidR="00E42E14" w:rsidRPr="009227DE" w:rsidRDefault="00E42E14" w:rsidP="007C70A4">
      <w:pPr>
        <w:pStyle w:val="BodyText"/>
      </w:pPr>
      <w:r w:rsidRPr="009227DE">
        <w:t>When a student of compulsory school age has left a school and has not enrolled in another school with</w:t>
      </w:r>
      <w:r>
        <w:t xml:space="preserve">in 20 consecutive school days, </w:t>
      </w:r>
      <w:r w:rsidRPr="009227DE">
        <w:t xml:space="preserve">the Ministry </w:t>
      </w:r>
      <w:r>
        <w:t xml:space="preserve">is notified </w:t>
      </w:r>
      <w:r w:rsidRPr="009227DE">
        <w:t>via the school student enrolment register (ENROL). The Ministry, along with an external contracted provider, then works to locate these students and, where necessary, assist their return to education. Staff work alongside students, their families, schools and other agencies to discuss and facilitate a return to education.</w:t>
      </w:r>
    </w:p>
    <w:p w:rsidR="00E42E14" w:rsidRPr="009227DE" w:rsidRDefault="005D7FF2" w:rsidP="007C70A4">
      <w:pPr>
        <w:pStyle w:val="BodyText"/>
      </w:pPr>
      <w:r>
        <w:t>In 2012</w:t>
      </w:r>
      <w:r w:rsidR="00E42E14" w:rsidRPr="009227DE">
        <w:t xml:space="preserve"> there were 3,209 cases of non-enrolment investigated and closed by the Ministry. These cases were caused by 3,051 students, with 148 students having two episodes and five students having thre</w:t>
      </w:r>
      <w:r w:rsidR="008A5825">
        <w:t xml:space="preserve">e episodes. Of the 3,209 cases, </w:t>
      </w:r>
      <w:r w:rsidR="00E42E14" w:rsidRPr="009227DE">
        <w:t xml:space="preserve">2,483 were resolved </w:t>
      </w:r>
      <w:r w:rsidR="008A5825">
        <w:t>by</w:t>
      </w:r>
      <w:r w:rsidR="00E42E14" w:rsidRPr="009227DE">
        <w:t xml:space="preserve"> students returning to school, 620 by enrolling </w:t>
      </w:r>
      <w:r w:rsidR="008A5825">
        <w:t>students</w:t>
      </w:r>
      <w:r w:rsidR="00E42E14" w:rsidRPr="009227DE">
        <w:t xml:space="preserve"> at an alternative education centre and 106 by granting </w:t>
      </w:r>
      <w:r w:rsidR="008A5825">
        <w:t>student</w:t>
      </w:r>
      <w:r w:rsidR="00E42E14" w:rsidRPr="009227DE">
        <w:t xml:space="preserve">s an early leaving exemption. </w:t>
      </w:r>
    </w:p>
    <w:p w:rsidR="00E42E14" w:rsidRPr="009227DE" w:rsidRDefault="00E42E14" w:rsidP="00E42E14">
      <w:pPr>
        <w:pStyle w:val="FigureHeading"/>
      </w:pPr>
      <w:bookmarkStart w:id="185" w:name="_Toc304214682"/>
      <w:bookmarkStart w:id="186" w:name="_Toc367361600"/>
      <w:r w:rsidRPr="009227DE">
        <w:t>Age-standardised non-enrolment rates per</w:t>
      </w:r>
      <w:r w:rsidR="00416B22">
        <w:t xml:space="preserve"> 1,000 students, by ethnicity</w:t>
      </w:r>
      <w:r w:rsidRPr="009227DE">
        <w:t>, 2006–201</w:t>
      </w:r>
      <w:bookmarkEnd w:id="185"/>
      <w:r w:rsidRPr="009227DE">
        <w:t>2</w:t>
      </w:r>
      <w:bookmarkEnd w:id="186"/>
    </w:p>
    <w:p w:rsidR="00E42E14" w:rsidRDefault="00F32AF8" w:rsidP="00FE1B3D">
      <w:pPr>
        <w:pStyle w:val="Figure"/>
        <w:rPr>
          <w:highlight w:val="yellow"/>
        </w:rPr>
      </w:pPr>
      <w:r>
        <w:rPr>
          <w:noProof/>
          <w:lang w:val="en-NZ"/>
        </w:rPr>
        <w:drawing>
          <wp:inline distT="0" distB="0" distL="0" distR="0">
            <wp:extent cx="5615940" cy="1868170"/>
            <wp:effectExtent l="19050" t="0" r="3810" b="0"/>
            <wp:docPr id="82" name="Picture 81" descr="Line graph showing 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3_HR.png"/>
                    <pic:cNvPicPr/>
                  </pic:nvPicPr>
                  <pic:blipFill>
                    <a:blip r:embed="rId51" cstate="print"/>
                    <a:stretch>
                      <a:fillRect/>
                    </a:stretch>
                  </pic:blipFill>
                  <pic:spPr>
                    <a:xfrm>
                      <a:off x="0" y="0"/>
                      <a:ext cx="5615940" cy="1868170"/>
                    </a:xfrm>
                    <a:prstGeom prst="rect">
                      <a:avLst/>
                    </a:prstGeom>
                  </pic:spPr>
                </pic:pic>
              </a:graphicData>
            </a:graphic>
          </wp:inline>
        </w:drawing>
      </w:r>
    </w:p>
    <w:p w:rsidR="00CB51D4" w:rsidRPr="00CB51D4" w:rsidRDefault="00CB51D4" w:rsidP="00CB51D4">
      <w:pPr>
        <w:pStyle w:val="TableFootnote"/>
        <w:spacing w:after="40"/>
        <w:rPr>
          <w:bCs w:val="0"/>
          <w:highlight w:val="yellow"/>
          <w:lang w:eastAsia="en-NZ"/>
        </w:rPr>
      </w:pPr>
    </w:p>
    <w:p w:rsidR="00E42E14" w:rsidRPr="006F5C9D" w:rsidRDefault="00E42E14" w:rsidP="00EF4FB7">
      <w:pPr>
        <w:pStyle w:val="Heading4"/>
      </w:pPr>
      <w:r w:rsidRPr="00CF1F50">
        <w:t>Ethnic group differences</w:t>
      </w:r>
      <w:r w:rsidRPr="009227DE">
        <w:rPr>
          <w:vertAlign w:val="superscript"/>
        </w:rPr>
        <w:footnoteReference w:id="23"/>
      </w:r>
    </w:p>
    <w:p w:rsidR="00E42E14" w:rsidRPr="009227DE" w:rsidRDefault="00E42E14" w:rsidP="00E42E14">
      <w:pPr>
        <w:rPr>
          <w:noProof/>
        </w:rPr>
      </w:pPr>
      <w:r w:rsidRPr="009227DE">
        <w:t>T</w:t>
      </w:r>
      <w:r w:rsidR="00607A5B">
        <w:t>he age-standardised rate was</w:t>
      </w:r>
      <w:r w:rsidRPr="009227DE">
        <w:t xml:space="preserve"> highest for Māori students (14.3 non-enrolments per 1,000 students). The age-standardised rate for Pasifika students (8.8 per 1,000 students) was lower than for Māori students but higher than for European/Pākehā students (2.1 per 1,000 students).</w:t>
      </w:r>
      <w:r w:rsidR="00235FD2">
        <w:t xml:space="preserve"> </w:t>
      </w:r>
      <w:r w:rsidRPr="009227DE">
        <w:t>The age-standardised rate for Asian students was 1.1 non-enrolments per 1,000 students.</w:t>
      </w:r>
      <w:r w:rsidRPr="009227DE">
        <w:rPr>
          <w:noProof/>
        </w:rPr>
        <w:t xml:space="preserve"> </w:t>
      </w:r>
    </w:p>
    <w:p w:rsidR="00E42E14" w:rsidRPr="00CF1F50" w:rsidRDefault="00E42E14" w:rsidP="00CF1F50">
      <w:pPr>
        <w:pStyle w:val="Heading4"/>
      </w:pPr>
      <w:r w:rsidRPr="00CF1F50">
        <w:t>Gender differences</w:t>
      </w:r>
    </w:p>
    <w:p w:rsidR="00E42E14" w:rsidRPr="009227DE" w:rsidRDefault="008A5825" w:rsidP="00571CBB">
      <w:pPr>
        <w:pStyle w:val="BodyText"/>
      </w:pPr>
      <w:r>
        <w:t>For the first time since 2006</w:t>
      </w:r>
      <w:r w:rsidR="00E42E14" w:rsidRPr="009227DE">
        <w:t xml:space="preserve"> there was no difference in rates between male and female students.</w:t>
      </w:r>
      <w:r w:rsidR="00235FD2">
        <w:t xml:space="preserve"> </w:t>
      </w:r>
      <w:r w:rsidR="00E42E14" w:rsidRPr="009227DE">
        <w:t>The age-standardised rate was 5.5 non-enrolments per 1,000 students for both genders. Historically, males have tended to have a slightly higher rate than females.</w:t>
      </w:r>
    </w:p>
    <w:p w:rsidR="00E42E14" w:rsidRPr="00CF1F50" w:rsidRDefault="00E42E14" w:rsidP="00CF1F50">
      <w:pPr>
        <w:pStyle w:val="Heading4"/>
      </w:pPr>
      <w:r w:rsidRPr="00CF1F50">
        <w:t>Socio-economic differences</w:t>
      </w:r>
    </w:p>
    <w:p w:rsidR="00E42E14" w:rsidRPr="009227DE" w:rsidRDefault="00E42E14" w:rsidP="00E42E14">
      <w:bookmarkStart w:id="187" w:name="_Toc302801083"/>
      <w:bookmarkStart w:id="188" w:name="_Toc302801154"/>
      <w:bookmarkStart w:id="189" w:name="_Toc302910610"/>
      <w:bookmarkStart w:id="190" w:name="_Toc302801085"/>
      <w:bookmarkStart w:id="191" w:name="_Toc302801156"/>
      <w:bookmarkStart w:id="192" w:name="_Toc302910612"/>
      <w:bookmarkStart w:id="193" w:name="_Toc302801086"/>
      <w:bookmarkStart w:id="194" w:name="_Toc302801157"/>
      <w:bookmarkStart w:id="195" w:name="_Toc302910613"/>
      <w:bookmarkEnd w:id="187"/>
      <w:bookmarkEnd w:id="188"/>
      <w:bookmarkEnd w:id="189"/>
      <w:bookmarkEnd w:id="190"/>
      <w:bookmarkEnd w:id="191"/>
      <w:bookmarkEnd w:id="192"/>
      <w:bookmarkEnd w:id="193"/>
      <w:bookmarkEnd w:id="194"/>
      <w:bookmarkEnd w:id="195"/>
      <w:r w:rsidRPr="009227DE">
        <w:t xml:space="preserve">Schools in the lowest quintile (deciles 1 and 2) draw their </w:t>
      </w:r>
      <w:r w:rsidR="008A5825">
        <w:t>student</w:t>
      </w:r>
      <w:r w:rsidRPr="009227DE">
        <w:t>s from communities with the highest degree of socio-economic disadvantage.</w:t>
      </w:r>
      <w:r w:rsidR="00235FD2">
        <w:t xml:space="preserve"> </w:t>
      </w:r>
      <w:r w:rsidRPr="009227DE">
        <w:t xml:space="preserve">In 2012, </w:t>
      </w:r>
      <w:r w:rsidR="00767BCE">
        <w:t>students who</w:t>
      </w:r>
      <w:r w:rsidR="00D274F8">
        <w:t>se most recent enrolment was in a</w:t>
      </w:r>
      <w:r w:rsidR="00767BCE">
        <w:t xml:space="preserve"> </w:t>
      </w:r>
      <w:r w:rsidR="008A5825">
        <w:t>quintile</w:t>
      </w:r>
      <w:r w:rsidR="00D274F8">
        <w:t xml:space="preserve"> 1 school</w:t>
      </w:r>
      <w:r w:rsidRPr="009227DE">
        <w:t xml:space="preserve"> were 16 times more likely to be reported non-enrolled than </w:t>
      </w:r>
      <w:r w:rsidR="008A5825">
        <w:t>student</w:t>
      </w:r>
      <w:r w:rsidRPr="009227DE">
        <w:t>s from quintile 5 schools.</w:t>
      </w:r>
      <w:r w:rsidR="00235FD2">
        <w:t xml:space="preserve"> </w:t>
      </w:r>
      <w:r w:rsidRPr="009227DE">
        <w:t>In 2012, 66% of non-enrolment notifications were from schools of quintile 1 or 2.</w:t>
      </w:r>
    </w:p>
    <w:p w:rsidR="00E42E14" w:rsidRPr="004278C3" w:rsidRDefault="00E42E14" w:rsidP="004278C3">
      <w:pPr>
        <w:pStyle w:val="Heading3"/>
      </w:pPr>
      <w:r w:rsidRPr="004278C3">
        <w:t>Achievement</w:t>
      </w:r>
    </w:p>
    <w:p w:rsidR="00E42E14" w:rsidRPr="009227DE" w:rsidRDefault="00E42E14" w:rsidP="00E42E14">
      <w:r w:rsidRPr="009227DE">
        <w:t>Achievement results for 2012 show that 15</w:t>
      </w:r>
      <w:r w:rsidR="00767BCE">
        <w:t>-</w:t>
      </w:r>
      <w:r w:rsidRPr="009227DE">
        <w:t xml:space="preserve"> and 16-year-old students with a non-enrolment notification between 2010 and 2012 were less likely to meet the NCEA Level 1 literacy and numeracy requirements.</w:t>
      </w:r>
      <w:r w:rsidR="00235FD2">
        <w:t xml:space="preserve"> </w:t>
      </w:r>
    </w:p>
    <w:p w:rsidR="00E42E14" w:rsidRPr="009227DE" w:rsidRDefault="00767BCE" w:rsidP="00E42E14">
      <w:pPr>
        <w:rPr>
          <w:highlight w:val="yellow"/>
        </w:rPr>
      </w:pPr>
      <w:r>
        <w:t xml:space="preserve">Of </w:t>
      </w:r>
      <w:r w:rsidRPr="009227DE">
        <w:t>the</w:t>
      </w:r>
      <w:r w:rsidR="00E42E14" w:rsidRPr="009227DE">
        <w:t xml:space="preserve"> 4,334 15-year-old students with a non-enrolment history whose achievement data could be obtained, 88% did not meet the NCEA Level 1 literacy and numeracy requirements</w:t>
      </w:r>
      <w:r>
        <w:t>,</w:t>
      </w:r>
      <w:r w:rsidR="00E42E14" w:rsidRPr="009227DE">
        <w:t xml:space="preserve"> compared to 26% of 15-year-old student</w:t>
      </w:r>
      <w:r>
        <w:t>s who maintained school presence</w:t>
      </w:r>
      <w:r w:rsidR="00E42E14" w:rsidRPr="009227DE">
        <w:t>.</w:t>
      </w:r>
      <w:r w:rsidR="00235FD2">
        <w:t xml:space="preserve"> </w:t>
      </w:r>
      <w:r w:rsidR="00E42E14" w:rsidRPr="009227DE">
        <w:t>A similar gap in performance was observed in the 16-year-old students.</w:t>
      </w:r>
    </w:p>
    <w:p w:rsidR="00E42E14" w:rsidRPr="009227DE" w:rsidRDefault="00E42E14" w:rsidP="00E42E14">
      <w:pPr>
        <w:pStyle w:val="FigureHeading"/>
      </w:pPr>
      <w:bookmarkStart w:id="196" w:name="_Toc304214686"/>
      <w:bookmarkStart w:id="197" w:name="_Toc367361601"/>
      <w:r w:rsidRPr="009227DE">
        <w:t>P</w:t>
      </w:r>
      <w:r w:rsidR="00FD1AB7">
        <w:t>roportion</w:t>
      </w:r>
      <w:r w:rsidRPr="009227DE">
        <w:t xml:space="preserve"> of 15</w:t>
      </w:r>
      <w:r w:rsidR="00EF4FB7">
        <w:t>-</w:t>
      </w:r>
      <w:r w:rsidRPr="009227DE">
        <w:t xml:space="preserve"> and 16-year-old students who did not meet NCEA Level 1 literacy and numeracy requirements, 2010</w:t>
      </w:r>
      <w:r w:rsidR="00C54418">
        <w:t>–</w:t>
      </w:r>
      <w:r w:rsidRPr="009227DE">
        <w:t>201</w:t>
      </w:r>
      <w:bookmarkEnd w:id="196"/>
      <w:r w:rsidRPr="009227DE">
        <w:t>2</w:t>
      </w:r>
      <w:bookmarkEnd w:id="197"/>
    </w:p>
    <w:p w:rsidR="00E42E14" w:rsidRPr="009227DE" w:rsidRDefault="00F32AF8" w:rsidP="00FE1B3D">
      <w:pPr>
        <w:pStyle w:val="Figure"/>
        <w:rPr>
          <w:highlight w:val="yellow"/>
        </w:rPr>
      </w:pPr>
      <w:r>
        <w:rPr>
          <w:noProof/>
          <w:lang w:val="en-NZ"/>
        </w:rPr>
        <w:drawing>
          <wp:inline distT="0" distB="0" distL="0" distR="0">
            <wp:extent cx="5615940" cy="1915795"/>
            <wp:effectExtent l="19050" t="0" r="3810" b="0"/>
            <wp:docPr id="83" name="Picture 82" descr="Bar graph showing 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4_HR.png"/>
                    <pic:cNvPicPr/>
                  </pic:nvPicPr>
                  <pic:blipFill>
                    <a:blip r:embed="rId52" cstate="print"/>
                    <a:stretch>
                      <a:fillRect/>
                    </a:stretch>
                  </pic:blipFill>
                  <pic:spPr>
                    <a:xfrm>
                      <a:off x="0" y="0"/>
                      <a:ext cx="5615940" cy="1915795"/>
                    </a:xfrm>
                    <a:prstGeom prst="rect">
                      <a:avLst/>
                    </a:prstGeom>
                  </pic:spPr>
                </pic:pic>
              </a:graphicData>
            </a:graphic>
          </wp:inline>
        </w:drawing>
      </w:r>
    </w:p>
    <w:p w:rsidR="00E42E14" w:rsidRPr="00CB51D4" w:rsidRDefault="00E42E14" w:rsidP="00CB51D4">
      <w:pPr>
        <w:pStyle w:val="TableFootnote"/>
        <w:spacing w:after="40"/>
        <w:rPr>
          <w:bCs w:val="0"/>
          <w:highlight w:val="yellow"/>
        </w:rPr>
      </w:pPr>
      <w:bookmarkStart w:id="198" w:name="_Toc303511372"/>
    </w:p>
    <w:p w:rsidR="00D00FCF" w:rsidRPr="0096169F" w:rsidRDefault="00D00FCF" w:rsidP="0096169F">
      <w:pPr>
        <w:pStyle w:val="BodyText"/>
        <w:rPr>
          <w:szCs w:val="20"/>
        </w:rPr>
      </w:pPr>
      <w:r w:rsidRPr="0096169F">
        <w:br w:type="page"/>
      </w:r>
    </w:p>
    <w:p w:rsidR="00E42E14" w:rsidRPr="00A960C5" w:rsidRDefault="00E42E14" w:rsidP="008662DE">
      <w:pPr>
        <w:pStyle w:val="Heading2"/>
      </w:pPr>
      <w:bookmarkStart w:id="199" w:name="_Toc367361648"/>
      <w:r w:rsidRPr="00A960C5">
        <w:t>Retention of students in secondary schooling</w:t>
      </w:r>
      <w:bookmarkEnd w:id="181"/>
      <w:bookmarkEnd w:id="182"/>
      <w:bookmarkEnd w:id="183"/>
      <w:bookmarkEnd w:id="198"/>
      <w:r w:rsidRPr="00A960C5">
        <w:t xml:space="preserve"> to 17 years</w:t>
      </w:r>
      <w:bookmarkEnd w:id="199"/>
    </w:p>
    <w:p w:rsidR="00E42E14" w:rsidRDefault="00E42E14" w:rsidP="007C70A4">
      <w:pPr>
        <w:pStyle w:val="BodyText"/>
      </w:pPr>
      <w:r w:rsidRPr="00A960C5">
        <w:t>Completion of upper secondary education is associated with a range of economic and social benefits both in New Zealand and across the OECD.</w:t>
      </w:r>
      <w:r w:rsidR="00235FD2">
        <w:t xml:space="preserve"> </w:t>
      </w:r>
      <w:r w:rsidRPr="00A960C5">
        <w:t>Retention to senior secondary schooling is linked to higher levels of skills and knowledge required for participation in our increasingly knowledge-based society (OECD, 2013).</w:t>
      </w:r>
    </w:p>
    <w:p w:rsidR="00E42E14" w:rsidRPr="00A960C5" w:rsidRDefault="00D274F8" w:rsidP="007C70A4">
      <w:pPr>
        <w:pStyle w:val="BodyText"/>
      </w:pPr>
      <w:r>
        <w:t>T</w:t>
      </w:r>
      <w:r w:rsidR="00E42E14" w:rsidRPr="00A960C5">
        <w:t>he risk of unemployment for those with no school qualifications or only Year 11 qualifications is higher than for those with Year 12 or Year 13 qualifications</w:t>
      </w:r>
      <w:r>
        <w:t xml:space="preserve"> (Norton et al, 2000)</w:t>
      </w:r>
      <w:r w:rsidR="00E42E14" w:rsidRPr="00A960C5">
        <w:t>.</w:t>
      </w:r>
      <w:r w:rsidR="00235FD2">
        <w:t xml:space="preserve"> </w:t>
      </w:r>
      <w:r w:rsidR="00E42E14" w:rsidRPr="00A960C5">
        <w:t xml:space="preserve">The positive effect of each additional year </w:t>
      </w:r>
      <w:r w:rsidR="00607A5B">
        <w:t>of schooling on incomes is</w:t>
      </w:r>
      <w:r w:rsidR="00E42E14" w:rsidRPr="00A960C5">
        <w:t xml:space="preserve"> estimated to range from 5 to 10%.</w:t>
      </w:r>
    </w:p>
    <w:p w:rsidR="00E42E14" w:rsidRPr="009227DE" w:rsidRDefault="00E42E14" w:rsidP="007C70A4">
      <w:pPr>
        <w:pStyle w:val="BodyText"/>
        <w:rPr>
          <w:highlight w:val="yellow"/>
        </w:rPr>
      </w:pPr>
      <w:r w:rsidRPr="00333547">
        <w:t>In 2009, 79.3% of students stayed at school to their 17th birthday. In 2012 this rate had improved by two percentage points to 81.4%</w:t>
      </w:r>
      <w:r>
        <w:t>, which was also greater than the proportion of students staying at school until age 17 in 2010 and 2011 (80.6% in both years).</w:t>
      </w:r>
    </w:p>
    <w:p w:rsidR="00E42E14" w:rsidRPr="000043E7" w:rsidRDefault="00E42E14" w:rsidP="00E42E14">
      <w:pPr>
        <w:pStyle w:val="FigureHeading"/>
      </w:pPr>
      <w:bookmarkStart w:id="200" w:name="_Toc304214687"/>
      <w:bookmarkStart w:id="201" w:name="_Toc367361602"/>
      <w:r w:rsidRPr="000043E7">
        <w:t>Retention rate: p</w:t>
      </w:r>
      <w:r w:rsidR="00FD1AB7">
        <w:t>roportion</w:t>
      </w:r>
      <w:r w:rsidRPr="000043E7">
        <w:t xml:space="preserve"> of school leavers aged 17 or above, by ethnicity, 2009–201</w:t>
      </w:r>
      <w:bookmarkEnd w:id="200"/>
      <w:r w:rsidRPr="000043E7">
        <w:t>2</w:t>
      </w:r>
      <w:bookmarkEnd w:id="201"/>
    </w:p>
    <w:p w:rsidR="00E42E14" w:rsidRPr="009227DE" w:rsidRDefault="00F32AF8" w:rsidP="00FE1B3D">
      <w:pPr>
        <w:pStyle w:val="Figure"/>
        <w:rPr>
          <w:highlight w:val="yellow"/>
        </w:rPr>
      </w:pPr>
      <w:r>
        <w:rPr>
          <w:noProof/>
          <w:lang w:val="en-NZ"/>
        </w:rPr>
        <w:drawing>
          <wp:inline distT="0" distB="0" distL="0" distR="0">
            <wp:extent cx="5615940" cy="1894205"/>
            <wp:effectExtent l="19050" t="0" r="3810" b="0"/>
            <wp:docPr id="84" name="Picture 83" descr="Line graph showing 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5_HR.png"/>
                    <pic:cNvPicPr/>
                  </pic:nvPicPr>
                  <pic:blipFill>
                    <a:blip r:embed="rId53" cstate="print"/>
                    <a:stretch>
                      <a:fillRect/>
                    </a:stretch>
                  </pic:blipFill>
                  <pic:spPr>
                    <a:xfrm>
                      <a:off x="0" y="0"/>
                      <a:ext cx="5615940" cy="1894205"/>
                    </a:xfrm>
                    <a:prstGeom prst="rect">
                      <a:avLst/>
                    </a:prstGeom>
                  </pic:spPr>
                </pic:pic>
              </a:graphicData>
            </a:graphic>
          </wp:inline>
        </w:drawing>
      </w:r>
    </w:p>
    <w:p w:rsidR="00E42E14" w:rsidRPr="000813F7" w:rsidRDefault="00E42E14" w:rsidP="000813F7">
      <w:pPr>
        <w:pStyle w:val="TableFootnote"/>
      </w:pPr>
      <w:r w:rsidRPr="000813F7">
        <w:rPr>
          <w:b/>
        </w:rPr>
        <w:t xml:space="preserve">Note: </w:t>
      </w:r>
      <w:r w:rsidRPr="000813F7">
        <w:rPr>
          <w:b/>
        </w:rPr>
        <w:br/>
      </w:r>
      <w:r w:rsidRPr="000813F7">
        <w:t>For this indicator, school leavers who identified with more than one ethnic group have been counted in each ethnic group, aside from the total where each individual was counted once only.</w:t>
      </w:r>
    </w:p>
    <w:p w:rsidR="00E42E14" w:rsidRPr="00CF1F50" w:rsidRDefault="00E42E14" w:rsidP="00CF1F50">
      <w:pPr>
        <w:pStyle w:val="Heading4"/>
      </w:pPr>
      <w:r w:rsidRPr="00CF1F50">
        <w:t>Ethnic group differences</w:t>
      </w:r>
    </w:p>
    <w:p w:rsidR="00E42E14" w:rsidRDefault="00E42E14" w:rsidP="007C70A4">
      <w:pPr>
        <w:pStyle w:val="BodyText"/>
      </w:pPr>
      <w:r w:rsidRPr="008F0CA2">
        <w:t>In 2012, Māori students had the lowest proportion of students remaining at school to age 17 (66.1%). In comparison, the retention rate was 79.4% for Pasifika students and 84.1% for Pākehā</w:t>
      </w:r>
      <w:r w:rsidR="00EF4FB7">
        <w:t>/</w:t>
      </w:r>
      <w:r w:rsidR="00EF4FB7" w:rsidRPr="008F0CA2">
        <w:t>European</w:t>
      </w:r>
      <w:r w:rsidRPr="008F0CA2">
        <w:t xml:space="preserve"> students. Asian students had the highest retention rate (93.1%).</w:t>
      </w:r>
    </w:p>
    <w:p w:rsidR="00E42E14" w:rsidRPr="008F0CA2" w:rsidRDefault="00E42E14" w:rsidP="007C70A4">
      <w:pPr>
        <w:pStyle w:val="BodyText"/>
      </w:pPr>
      <w:r>
        <w:t xml:space="preserve">Many Māori students become disengaged with schooling quite early (see Early leaving exemptions below). While Māori students have displayed a 5.5% increase in the proportion of 17-year-old students remaining at school since 2009, the gap between Māori and non-Māori students has not shown any clear signs of closing in the last </w:t>
      </w:r>
      <w:r w:rsidR="00EF4FB7">
        <w:t>four</w:t>
      </w:r>
      <w:r>
        <w:t xml:space="preserve"> years. </w:t>
      </w:r>
    </w:p>
    <w:p w:rsidR="00E42E14" w:rsidRPr="00CF1F50" w:rsidRDefault="00E42E14" w:rsidP="00CF1F50">
      <w:pPr>
        <w:pStyle w:val="Heading4"/>
      </w:pPr>
      <w:r w:rsidRPr="00CF1F50">
        <w:t>Gender differences</w:t>
      </w:r>
      <w:r w:rsidRPr="00CF1F50">
        <w:tab/>
      </w:r>
    </w:p>
    <w:p w:rsidR="00E42E14" w:rsidRPr="009227DE" w:rsidRDefault="00E42E14" w:rsidP="007C70A4">
      <w:pPr>
        <w:pStyle w:val="BodyText"/>
        <w:rPr>
          <w:highlight w:val="yellow"/>
        </w:rPr>
      </w:pPr>
      <w:r w:rsidRPr="00DB66BD">
        <w:t>In 2012, girls were more likely to stay at school until 17 than boys (83.9% compared to 78.9%). The size of t</w:t>
      </w:r>
      <w:r w:rsidR="004A21A5">
        <w:t>his gender gap decreased</w:t>
      </w:r>
      <w:r w:rsidRPr="00DB66BD">
        <w:t xml:space="preserve"> from 6.3 percentage points in 2011 to 4.9 percentage points in 2012. This was due to an increase in the proportion of boys staying at school until age 17, with no change in the </w:t>
      </w:r>
      <w:r w:rsidR="006F5C9D">
        <w:t>pro</w:t>
      </w:r>
      <w:r w:rsidRPr="00DB66BD">
        <w:t>portion of girls.</w:t>
      </w:r>
    </w:p>
    <w:p w:rsidR="00E42E14" w:rsidRPr="00CF1F50" w:rsidRDefault="00E42E14" w:rsidP="00CF1F50">
      <w:pPr>
        <w:pStyle w:val="Heading4"/>
      </w:pPr>
      <w:r w:rsidRPr="00CF1F50">
        <w:t>Socio-economic differences</w:t>
      </w:r>
    </w:p>
    <w:p w:rsidR="00E42E14" w:rsidRPr="00DB66BD" w:rsidRDefault="00E42E14" w:rsidP="007C70A4">
      <w:pPr>
        <w:pStyle w:val="BodyText"/>
      </w:pPr>
      <w:r w:rsidRPr="00DB66BD">
        <w:t xml:space="preserve">There is a clear relationship between decile and the percentage of school leavers aged 17 or above. Schools in the highest quintile (deciles 9 and 10) draw their students from communities with the lowest degree of socio-economic disadvantage. Students from these schools are 1.3 times more likely to remain at school until the age of 17 than students from the lowest quintile (deciles 1 and 2). </w:t>
      </w:r>
    </w:p>
    <w:p w:rsidR="00E42E14" w:rsidRPr="00E232C4" w:rsidRDefault="00E42E14" w:rsidP="00E42E14">
      <w:pPr>
        <w:pStyle w:val="FigureHeading"/>
      </w:pPr>
      <w:bookmarkStart w:id="202" w:name="_Toc304214688"/>
      <w:bookmarkStart w:id="203" w:name="_Toc367361603"/>
      <w:r w:rsidRPr="00E232C4">
        <w:t>P</w:t>
      </w:r>
      <w:r w:rsidR="00FD1AB7">
        <w:t>roportion</w:t>
      </w:r>
      <w:r w:rsidRPr="00E232C4">
        <w:t xml:space="preserve"> of students who were retained at school to the age of 17, by school decile, 201</w:t>
      </w:r>
      <w:bookmarkEnd w:id="202"/>
      <w:r>
        <w:t>2</w:t>
      </w:r>
      <w:bookmarkEnd w:id="203"/>
    </w:p>
    <w:p w:rsidR="00E42E14" w:rsidRDefault="00F32AF8" w:rsidP="00FE1B3D">
      <w:pPr>
        <w:pStyle w:val="Figure"/>
        <w:rPr>
          <w:highlight w:val="yellow"/>
        </w:rPr>
      </w:pPr>
      <w:bookmarkStart w:id="204" w:name="_Toc300319678"/>
      <w:r>
        <w:rPr>
          <w:noProof/>
          <w:lang w:val="en-NZ"/>
        </w:rPr>
        <w:drawing>
          <wp:inline distT="0" distB="0" distL="0" distR="0">
            <wp:extent cx="5615940" cy="1945005"/>
            <wp:effectExtent l="19050" t="0" r="3810" b="0"/>
            <wp:docPr id="85" name="Picture 84" descr="Scatter graph showing 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6_HR.png"/>
                    <pic:cNvPicPr/>
                  </pic:nvPicPr>
                  <pic:blipFill>
                    <a:blip r:embed="rId54" cstate="print"/>
                    <a:stretch>
                      <a:fillRect/>
                    </a:stretch>
                  </pic:blipFill>
                  <pic:spPr>
                    <a:xfrm>
                      <a:off x="0" y="0"/>
                      <a:ext cx="5615940" cy="1945005"/>
                    </a:xfrm>
                    <a:prstGeom prst="rect">
                      <a:avLst/>
                    </a:prstGeom>
                  </pic:spPr>
                </pic:pic>
              </a:graphicData>
            </a:graphic>
          </wp:inline>
        </w:drawing>
      </w:r>
    </w:p>
    <w:p w:rsidR="00CB51D4" w:rsidRPr="00CB51D4" w:rsidRDefault="00CB51D4" w:rsidP="00CB51D4">
      <w:pPr>
        <w:pStyle w:val="TableFootnote"/>
        <w:spacing w:after="40"/>
        <w:rPr>
          <w:bCs w:val="0"/>
          <w:highlight w:val="yellow"/>
          <w:lang w:eastAsia="en-NZ"/>
        </w:rPr>
      </w:pPr>
    </w:p>
    <w:p w:rsidR="00E42E14" w:rsidRPr="009227DE" w:rsidRDefault="00E42E14" w:rsidP="008662DE">
      <w:pPr>
        <w:pStyle w:val="Heading2"/>
      </w:pPr>
      <w:bookmarkStart w:id="205" w:name="_Toc367361649"/>
      <w:r w:rsidRPr="009227DE">
        <w:t>Early leaving exemptions</w:t>
      </w:r>
      <w:bookmarkEnd w:id="204"/>
      <w:bookmarkEnd w:id="205"/>
    </w:p>
    <w:p w:rsidR="00E42E14" w:rsidRPr="009227DE" w:rsidRDefault="00E42E14" w:rsidP="007C70A4">
      <w:pPr>
        <w:pStyle w:val="BodyText"/>
      </w:pPr>
      <w:r w:rsidRPr="009227DE">
        <w:t>Enrolment in scho</w:t>
      </w:r>
      <w:r w:rsidR="008B0C02">
        <w:t>ol is compulsory for all student</w:t>
      </w:r>
      <w:r w:rsidRPr="009227DE">
        <w:t xml:space="preserve">s aged between </w:t>
      </w:r>
      <w:r w:rsidR="00EF4FB7">
        <w:t>six</w:t>
      </w:r>
      <w:r w:rsidRPr="009227DE">
        <w:t xml:space="preserve"> and 16 years. However, parents of </w:t>
      </w:r>
      <w:r w:rsidR="008B0C02">
        <w:t>15-year-old student</w:t>
      </w:r>
      <w:r w:rsidRPr="009227DE">
        <w:t xml:space="preserve">s may apply to the Ministry of Education for an exemption from schooling because of educational problems, conduct, or the unlikelihood of the student benefiting from attending available schools. Parents are required to give details about training programmes or employment that the student would move on to in the event of an early leaving exemption being granted. </w:t>
      </w:r>
    </w:p>
    <w:p w:rsidR="00E42E14" w:rsidRPr="009227DE" w:rsidRDefault="00E42E14" w:rsidP="007C70A4">
      <w:pPr>
        <w:pStyle w:val="BodyText"/>
        <w:rPr>
          <w:highlight w:val="yellow"/>
        </w:rPr>
      </w:pPr>
      <w:r w:rsidRPr="009227DE">
        <w:t>There were 313 early leavers in 2012</w:t>
      </w:r>
      <w:r w:rsidR="004A0099">
        <w:t xml:space="preserve"> (5.4 per 1,000 15-year-old students)</w:t>
      </w:r>
      <w:r w:rsidRPr="009227DE">
        <w:t>. This is 74 f</w:t>
      </w:r>
      <w:r w:rsidR="004A21A5">
        <w:t>ewer early leavers than in 2011</w:t>
      </w:r>
      <w:r w:rsidRPr="009227DE">
        <w:t xml:space="preserve"> and continues a co</w:t>
      </w:r>
      <w:r w:rsidR="004A0099">
        <w:t>nsistent decreasing trend in</w:t>
      </w:r>
      <w:r w:rsidRPr="009227DE">
        <w:t xml:space="preserve"> numbers since 2005, when there were over 4,000 early leavers. </w:t>
      </w:r>
    </w:p>
    <w:p w:rsidR="00E42E14" w:rsidRPr="009227DE" w:rsidRDefault="00E42E14" w:rsidP="00E42E14">
      <w:pPr>
        <w:pStyle w:val="FigureHeading"/>
      </w:pPr>
      <w:r w:rsidRPr="009227DE">
        <w:t xml:space="preserve"> </w:t>
      </w:r>
      <w:bookmarkStart w:id="206" w:name="_Toc304214689"/>
      <w:bookmarkStart w:id="207" w:name="_Toc367361604"/>
      <w:r w:rsidRPr="009227DE">
        <w:t>Early leaving exemption application approval and decline rates, 2000–201</w:t>
      </w:r>
      <w:bookmarkEnd w:id="206"/>
      <w:r w:rsidRPr="009227DE">
        <w:t>2</w:t>
      </w:r>
      <w:bookmarkEnd w:id="207"/>
    </w:p>
    <w:p w:rsidR="00E42E14" w:rsidRDefault="00F32AF8" w:rsidP="00FE1B3D">
      <w:pPr>
        <w:pStyle w:val="Figure"/>
      </w:pPr>
      <w:r>
        <w:rPr>
          <w:noProof/>
          <w:lang w:val="en-NZ"/>
        </w:rPr>
        <w:drawing>
          <wp:inline distT="0" distB="0" distL="0" distR="0">
            <wp:extent cx="5615940" cy="1844040"/>
            <wp:effectExtent l="19050" t="0" r="3810" b="0"/>
            <wp:docPr id="88" name="Picture 87" descr="Stacked column graph showing 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7_HR.png"/>
                    <pic:cNvPicPr/>
                  </pic:nvPicPr>
                  <pic:blipFill>
                    <a:blip r:embed="rId55" cstate="print"/>
                    <a:stretch>
                      <a:fillRect/>
                    </a:stretch>
                  </pic:blipFill>
                  <pic:spPr>
                    <a:xfrm>
                      <a:off x="0" y="0"/>
                      <a:ext cx="5615940" cy="1844040"/>
                    </a:xfrm>
                    <a:prstGeom prst="rect">
                      <a:avLst/>
                    </a:prstGeom>
                  </pic:spPr>
                </pic:pic>
              </a:graphicData>
            </a:graphic>
          </wp:inline>
        </w:drawing>
      </w:r>
    </w:p>
    <w:p w:rsidR="00CB51D4" w:rsidRPr="00CB51D4" w:rsidRDefault="00CB51D4" w:rsidP="00CB51D4">
      <w:pPr>
        <w:pStyle w:val="TableFootnote"/>
        <w:spacing w:after="40"/>
        <w:rPr>
          <w:bCs w:val="0"/>
          <w:lang w:eastAsia="en-NZ"/>
        </w:rPr>
      </w:pPr>
    </w:p>
    <w:p w:rsidR="00E42E14" w:rsidRPr="009227DE" w:rsidRDefault="00E42E14" w:rsidP="007C70A4">
      <w:pPr>
        <w:pStyle w:val="BodyText"/>
        <w:rPr>
          <w:highlight w:val="yellow"/>
        </w:rPr>
      </w:pPr>
      <w:r w:rsidRPr="009227DE">
        <w:t>In May 2007 the Ministry of Education strengthened its early leaving application and approval process in order to reduce the num</w:t>
      </w:r>
      <w:r w:rsidR="004A21A5">
        <w:t>ber of early leaving exemptions</w:t>
      </w:r>
      <w:r w:rsidRPr="009227DE">
        <w:t xml:space="preserve"> and</w:t>
      </w:r>
      <w:r w:rsidR="004A21A5">
        <w:t>,</w:t>
      </w:r>
      <w:r w:rsidRPr="009227DE">
        <w:t xml:space="preserve"> thereby</w:t>
      </w:r>
      <w:r w:rsidR="004A21A5">
        <w:t>,</w:t>
      </w:r>
      <w:r w:rsidRPr="009227DE">
        <w:t xml:space="preserve"> the associated social and economic disadvantages that face those students who leave school early. The process involved:</w:t>
      </w:r>
    </w:p>
    <w:p w:rsidR="00E42E14" w:rsidRPr="009227DE" w:rsidRDefault="00E42E14" w:rsidP="00571CBB">
      <w:pPr>
        <w:pStyle w:val="BodyTextBullets"/>
      </w:pPr>
      <w:r w:rsidRPr="009227DE">
        <w:t>imposing a stricter interpretation of the early leaving legisla</w:t>
      </w:r>
      <w:r w:rsidR="004A21A5">
        <w:t xml:space="preserve">tive criteria, which set a </w:t>
      </w:r>
      <w:r w:rsidRPr="009227DE">
        <w:t>high threshold for early leaving eligibility</w:t>
      </w:r>
    </w:p>
    <w:p w:rsidR="00E42E14" w:rsidRPr="009227DE" w:rsidRDefault="00E42E14" w:rsidP="00571CBB">
      <w:pPr>
        <w:pStyle w:val="BodyTextBullets"/>
      </w:pPr>
      <w:r w:rsidRPr="009227DE">
        <w:t>ensuring direct contact between parents and Ministry staff at the first stage in the early leaving process, to actively discourage early leaving and to support parents to find ways of keeping their children engaged in learning</w:t>
      </w:r>
    </w:p>
    <w:p w:rsidR="00E42E14" w:rsidRPr="009227DE" w:rsidRDefault="00E42E14" w:rsidP="00030453">
      <w:pPr>
        <w:pStyle w:val="BodyTextBulletslast"/>
      </w:pPr>
      <w:r w:rsidRPr="009227DE">
        <w:t>promoting alternatives to early leaving, such as a combination of school- and work-based learning.</w:t>
      </w:r>
    </w:p>
    <w:p w:rsidR="00E42E14" w:rsidRPr="009227DE" w:rsidRDefault="00E42E14" w:rsidP="007C70A4">
      <w:pPr>
        <w:pStyle w:val="BodyText"/>
      </w:pPr>
      <w:r w:rsidRPr="009227DE">
        <w:t>These approaches have been successful. Between 2006 and 2012, the early leaving exemption rate has dropped by 91.7% from 65.3 to 5.4 early leavers per 1,000 15 year-old students, respectively.</w:t>
      </w:r>
    </w:p>
    <w:p w:rsidR="00E42E14" w:rsidRPr="00CF1F50" w:rsidRDefault="00E42E14" w:rsidP="00CF1F50">
      <w:pPr>
        <w:pStyle w:val="Heading4"/>
      </w:pPr>
      <w:r w:rsidRPr="00CF1F50">
        <w:t>Ethnic group differences</w:t>
      </w:r>
      <w:r w:rsidRPr="009227DE">
        <w:rPr>
          <w:vertAlign w:val="superscript"/>
        </w:rPr>
        <w:footnoteReference w:id="24"/>
      </w:r>
    </w:p>
    <w:p w:rsidR="00E42E14" w:rsidRPr="009227DE" w:rsidRDefault="00E42E14" w:rsidP="007C70A4">
      <w:pPr>
        <w:pStyle w:val="BodyText"/>
      </w:pPr>
      <w:r w:rsidRPr="009227DE">
        <w:t>The decline in rates of early leaving exemptions between 2006 and 2012 was similar for all ethnic groups: 91.2% for Māori, 94.1% for Pasifika, 92.2% for Pākehā/Euro</w:t>
      </w:r>
      <w:r w:rsidR="008B0C02">
        <w:t>pean and 96.5% for Asian students. Māori student</w:t>
      </w:r>
      <w:r w:rsidRPr="009227DE">
        <w:t>s have higher rates of early leaving exemptions compared with stud</w:t>
      </w:r>
      <w:r w:rsidR="004A21A5">
        <w:t>ents from other ethnic groups: i</w:t>
      </w:r>
      <w:r w:rsidRPr="009227DE">
        <w:t xml:space="preserve">n 2012, the early leaving </w:t>
      </w:r>
      <w:r w:rsidR="008B0C02">
        <w:t>exemption rate for Māori student</w:t>
      </w:r>
      <w:r w:rsidRPr="009227DE">
        <w:t>s (13</w:t>
      </w:r>
      <w:r w:rsidR="008B0C02">
        <w:t>.0 per 1,000 15-year-old student</w:t>
      </w:r>
      <w:r w:rsidRPr="009227DE">
        <w:t xml:space="preserve">s) was over three times higher than the rate for </w:t>
      </w:r>
      <w:r w:rsidR="00EF4FB7" w:rsidRPr="009227DE">
        <w:t>Pākehā/Euro</w:t>
      </w:r>
      <w:r w:rsidR="00EF4FB7">
        <w:t>pean</w:t>
      </w:r>
      <w:r w:rsidR="00EF4FB7" w:rsidRPr="009227DE">
        <w:t xml:space="preserve"> </w:t>
      </w:r>
      <w:r w:rsidRPr="009227DE">
        <w:t>(3</w:t>
      </w:r>
      <w:r w:rsidR="008B0C02">
        <w:t>.8 per 1,000 15 year-old student</w:t>
      </w:r>
      <w:r w:rsidRPr="009227DE">
        <w:t>s), and four times higher than the Pasifika rate (3.2 early leave</w:t>
      </w:r>
      <w:r w:rsidR="008B0C02">
        <w:t>rs per 1,000 15 year-old student</w:t>
      </w:r>
      <w:r w:rsidRPr="009227DE">
        <w:t>s).</w:t>
      </w:r>
    </w:p>
    <w:p w:rsidR="00E42E14" w:rsidRPr="009227DE" w:rsidRDefault="00E42E14" w:rsidP="00E42E14">
      <w:pPr>
        <w:pStyle w:val="FigureHeading"/>
      </w:pPr>
      <w:bookmarkStart w:id="208" w:name="_Toc304214691"/>
      <w:bookmarkStart w:id="209" w:name="_Toc367361605"/>
      <w:r w:rsidRPr="009227DE">
        <w:t>Early leaver exemption rates per 1,000, by ethnicity, 2000–201</w:t>
      </w:r>
      <w:bookmarkEnd w:id="208"/>
      <w:r w:rsidRPr="009227DE">
        <w:t>2</w:t>
      </w:r>
      <w:bookmarkEnd w:id="209"/>
    </w:p>
    <w:p w:rsidR="00E42E14" w:rsidRPr="009227DE" w:rsidRDefault="00F32AF8" w:rsidP="00FE1B3D">
      <w:pPr>
        <w:pStyle w:val="Figure"/>
        <w:rPr>
          <w:noProof/>
          <w:highlight w:val="yellow"/>
          <w:lang w:val="en-NZ"/>
        </w:rPr>
      </w:pPr>
      <w:r>
        <w:rPr>
          <w:noProof/>
          <w:lang w:val="en-NZ"/>
        </w:rPr>
        <w:drawing>
          <wp:inline distT="0" distB="0" distL="0" distR="0">
            <wp:extent cx="5615940" cy="1868170"/>
            <wp:effectExtent l="19050" t="0" r="3810" b="0"/>
            <wp:docPr id="89" name="Picture 88" descr="Line graph showing 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8_HR.png"/>
                    <pic:cNvPicPr/>
                  </pic:nvPicPr>
                  <pic:blipFill>
                    <a:blip r:embed="rId56" cstate="print"/>
                    <a:stretch>
                      <a:fillRect/>
                    </a:stretch>
                  </pic:blipFill>
                  <pic:spPr>
                    <a:xfrm>
                      <a:off x="0" y="0"/>
                      <a:ext cx="5615940" cy="1868170"/>
                    </a:xfrm>
                    <a:prstGeom prst="rect">
                      <a:avLst/>
                    </a:prstGeom>
                  </pic:spPr>
                </pic:pic>
              </a:graphicData>
            </a:graphic>
          </wp:inline>
        </w:drawing>
      </w:r>
    </w:p>
    <w:p w:rsidR="00E42E14" w:rsidRPr="00CB51D4" w:rsidRDefault="00E42E14" w:rsidP="00CB51D4">
      <w:pPr>
        <w:pStyle w:val="TableFootnote"/>
        <w:spacing w:after="40"/>
        <w:rPr>
          <w:bCs w:val="0"/>
          <w:szCs w:val="20"/>
          <w:highlight w:val="yellow"/>
        </w:rPr>
      </w:pPr>
    </w:p>
    <w:p w:rsidR="00E42E14" w:rsidRPr="00CF1F50" w:rsidRDefault="00E42E14" w:rsidP="00CF1F50">
      <w:pPr>
        <w:pStyle w:val="Heading4"/>
      </w:pPr>
      <w:r w:rsidRPr="00CF1F50">
        <w:t>Gender differences</w:t>
      </w:r>
    </w:p>
    <w:p w:rsidR="00E42E14" w:rsidRPr="009227DE" w:rsidRDefault="004A21A5" w:rsidP="007C70A4">
      <w:pPr>
        <w:pStyle w:val="BodyText"/>
      </w:pPr>
      <w:r>
        <w:t>The gender disparity in</w:t>
      </w:r>
      <w:r w:rsidR="00E42E14" w:rsidRPr="009227DE">
        <w:t xml:space="preserve"> numbers of early leavers decreased slightly in 2012, with 64% of all early leavers being male, compared to 74% in 2011. The female rate in 2012 was 4</w:t>
      </w:r>
      <w:r w:rsidR="008B0C02">
        <w:t>.0 per 1,000 15-year-old student</w:t>
      </w:r>
      <w:r w:rsidR="00E42E14" w:rsidRPr="009227DE">
        <w:t>s, while the male rate was 6</w:t>
      </w:r>
      <w:r w:rsidR="008B0C02">
        <w:t>.8 per 1,000 15-year-old student</w:t>
      </w:r>
      <w:r w:rsidR="00E42E14" w:rsidRPr="009227DE">
        <w:t>s.</w:t>
      </w:r>
    </w:p>
    <w:p w:rsidR="00E42E14" w:rsidRPr="00CF1F50" w:rsidRDefault="00E42E14" w:rsidP="00CF1F50">
      <w:pPr>
        <w:pStyle w:val="Heading4"/>
      </w:pPr>
      <w:r w:rsidRPr="00CF1F50">
        <w:t>Socio-economic differences</w:t>
      </w:r>
    </w:p>
    <w:p w:rsidR="00E42E14" w:rsidRPr="009227DE" w:rsidRDefault="0086773D" w:rsidP="007C70A4">
      <w:pPr>
        <w:pStyle w:val="BodyText"/>
      </w:pPr>
      <w:r>
        <w:t>There is a</w:t>
      </w:r>
      <w:r w:rsidR="00E42E14" w:rsidRPr="009227DE">
        <w:t xml:space="preserve"> correlation between the socio-economi</w:t>
      </w:r>
      <w:r w:rsidR="008B0C02">
        <w:t>c mix of the school that student</w:t>
      </w:r>
      <w:r w:rsidR="00E42E14" w:rsidRPr="009227DE">
        <w:t>s attend and early leaving exemption rates. Schools in the lowest quintile (dec</w:t>
      </w:r>
      <w:r w:rsidR="00D53436">
        <w:t>iles 1 and 2) draw their student</w:t>
      </w:r>
      <w:r w:rsidR="00E42E14" w:rsidRPr="009227DE">
        <w:t>s from communities with the highest degree of socio-economic disadvantage. In 2012, the early leaving exemption rate for students from these schools was over nine times higher than the rate for students in the highest quintile (ie, deciles 9 and 10): 8.5 per 1,000 15-year-old students in quintile 1, c</w:t>
      </w:r>
      <w:r w:rsidR="00D53436">
        <w:t>ompared to 0.9 per 1,000 student</w:t>
      </w:r>
      <w:r w:rsidR="00E42E14" w:rsidRPr="009227DE">
        <w:t xml:space="preserve">s in quintile 5 schools. Quintile 2 </w:t>
      </w:r>
      <w:r>
        <w:t xml:space="preserve">schools </w:t>
      </w:r>
      <w:r w:rsidR="00E42E14" w:rsidRPr="009227DE">
        <w:t>had a rate only slightly lower than quintile 1 (7.2 per 1000 15-year-olds), with rates for quintile 3 (5.7 per 1000) and quintile 4 (4.7 per 1000) dropping as socio-economic advantage increased.</w:t>
      </w:r>
    </w:p>
    <w:p w:rsidR="00E42E14" w:rsidRPr="009227DE" w:rsidRDefault="00E42E14" w:rsidP="00E42E14">
      <w:pPr>
        <w:pStyle w:val="FigureHeading"/>
      </w:pPr>
      <w:bookmarkStart w:id="210" w:name="_Toc304214690"/>
      <w:bookmarkStart w:id="211" w:name="_Toc367361606"/>
      <w:r w:rsidRPr="009227DE">
        <w:t>Early leaving exemption rates, by ethnic</w:t>
      </w:r>
      <w:r w:rsidR="00FD1AB7">
        <w:t>ity</w:t>
      </w:r>
      <w:r w:rsidRPr="009227DE">
        <w:t xml:space="preserve"> and school quintile, 201</w:t>
      </w:r>
      <w:bookmarkEnd w:id="210"/>
      <w:r w:rsidRPr="009227DE">
        <w:t>2</w:t>
      </w:r>
      <w:bookmarkEnd w:id="211"/>
    </w:p>
    <w:p w:rsidR="00E42E14" w:rsidRPr="009227DE" w:rsidRDefault="00F32AF8" w:rsidP="00FE1B3D">
      <w:pPr>
        <w:pStyle w:val="Figure"/>
        <w:rPr>
          <w:highlight w:val="yellow"/>
        </w:rPr>
      </w:pPr>
      <w:r>
        <w:rPr>
          <w:noProof/>
          <w:lang w:val="en-NZ"/>
        </w:rPr>
        <w:drawing>
          <wp:inline distT="0" distB="0" distL="0" distR="0">
            <wp:extent cx="5615940" cy="1936750"/>
            <wp:effectExtent l="19050" t="0" r="3810" b="0"/>
            <wp:docPr id="90" name="Picture 89" descr="Bar graph showing 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29_HR.png"/>
                    <pic:cNvPicPr/>
                  </pic:nvPicPr>
                  <pic:blipFill>
                    <a:blip r:embed="rId57" cstate="print"/>
                    <a:stretch>
                      <a:fillRect/>
                    </a:stretch>
                  </pic:blipFill>
                  <pic:spPr>
                    <a:xfrm>
                      <a:off x="0" y="0"/>
                      <a:ext cx="5615940" cy="1936750"/>
                    </a:xfrm>
                    <a:prstGeom prst="rect">
                      <a:avLst/>
                    </a:prstGeom>
                  </pic:spPr>
                </pic:pic>
              </a:graphicData>
            </a:graphic>
          </wp:inline>
        </w:drawing>
      </w:r>
    </w:p>
    <w:p w:rsidR="00E42E14" w:rsidRPr="00CB51D4" w:rsidRDefault="00E42E14" w:rsidP="00CB51D4">
      <w:pPr>
        <w:pStyle w:val="TableFootnote"/>
        <w:spacing w:after="40"/>
        <w:rPr>
          <w:bCs w:val="0"/>
          <w:szCs w:val="20"/>
          <w:highlight w:val="yellow"/>
        </w:rPr>
      </w:pPr>
    </w:p>
    <w:p w:rsidR="00E42E14" w:rsidRPr="009227DE" w:rsidRDefault="00E42E14" w:rsidP="00571CBB">
      <w:pPr>
        <w:pStyle w:val="Heading-Wheretofindmore"/>
      </w:pPr>
      <w:bookmarkStart w:id="212" w:name="_Toc300319657"/>
      <w:bookmarkStart w:id="213" w:name="_Toc303511373"/>
      <w:r w:rsidRPr="009227DE">
        <w:t>Where to find out more</w:t>
      </w:r>
    </w:p>
    <w:p w:rsidR="00E42E14" w:rsidRPr="009227DE" w:rsidRDefault="00B01FBF" w:rsidP="00CB51D4">
      <w:pPr>
        <w:pStyle w:val="Heading-Wheretofindmore"/>
        <w:rPr>
          <w:highlight w:val="yellow"/>
        </w:rPr>
      </w:pPr>
      <w:r>
        <w:rPr>
          <w:noProof/>
          <w:lang w:eastAsia="en-NZ"/>
        </w:rPr>
        <w:drawing>
          <wp:inline distT="0" distB="0" distL="0" distR="0">
            <wp:extent cx="5613952" cy="920420"/>
            <wp:effectExtent l="19050" t="0" r="5798" b="0"/>
            <wp:docPr id="29" name="Picture 28" descr="Find out more - Chapter 5_leaving exemptions, non-enrollment and re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out more - Chapter 5_leaving exemptions, non-enrollment and retention.png"/>
                    <pic:cNvPicPr/>
                  </pic:nvPicPr>
                  <pic:blipFill>
                    <a:blip r:embed="rId58" cstate="print"/>
                    <a:stretch>
                      <a:fillRect/>
                    </a:stretch>
                  </pic:blipFill>
                  <pic:spPr>
                    <a:xfrm>
                      <a:off x="0" y="0"/>
                      <a:ext cx="5613952" cy="920420"/>
                    </a:xfrm>
                    <a:prstGeom prst="rect">
                      <a:avLst/>
                    </a:prstGeom>
                  </pic:spPr>
                </pic:pic>
              </a:graphicData>
            </a:graphic>
          </wp:inline>
        </w:drawing>
      </w:r>
    </w:p>
    <w:p w:rsidR="00E42E14" w:rsidRPr="009227DE" w:rsidRDefault="00E42E14" w:rsidP="008662DE">
      <w:pPr>
        <w:pStyle w:val="Heading2"/>
        <w:rPr>
          <w:highlight w:val="yellow"/>
        </w:rPr>
      </w:pPr>
      <w:r w:rsidRPr="009227DE">
        <w:rPr>
          <w:highlight w:val="yellow"/>
        </w:rPr>
        <w:br w:type="page"/>
      </w:r>
      <w:bookmarkStart w:id="214" w:name="_Toc367361650"/>
      <w:bookmarkEnd w:id="212"/>
      <w:bookmarkEnd w:id="213"/>
      <w:r w:rsidRPr="009227DE">
        <w:t>Positive Behaviour for Learning</w:t>
      </w:r>
      <w:bookmarkEnd w:id="214"/>
    </w:p>
    <w:p w:rsidR="00E42E14" w:rsidRPr="009227DE" w:rsidRDefault="009B6494" w:rsidP="007C70A4">
      <w:pPr>
        <w:pStyle w:val="BodyText"/>
        <w:rPr>
          <w:lang w:val="en-NZ"/>
        </w:rPr>
      </w:pPr>
      <w:r>
        <w:rPr>
          <w:lang w:val="en-NZ"/>
        </w:rPr>
        <w:t xml:space="preserve">The </w:t>
      </w:r>
      <w:r w:rsidR="00E42E14" w:rsidRPr="009227DE">
        <w:rPr>
          <w:lang w:val="en-NZ"/>
        </w:rPr>
        <w:t xml:space="preserve">Positive Behaviour for Learning (PB4L) programmes and initiatives aim to improve the behaviour and wellbeing of children and young people. </w:t>
      </w:r>
    </w:p>
    <w:p w:rsidR="00E42E14" w:rsidRPr="004278C3" w:rsidRDefault="00E42E14" w:rsidP="004278C3">
      <w:pPr>
        <w:pStyle w:val="Heading3"/>
      </w:pPr>
      <w:bookmarkStart w:id="215" w:name="_Toc300319658"/>
      <w:r w:rsidRPr="004278C3">
        <w:t>PB4L School-Wide</w:t>
      </w:r>
      <w:bookmarkEnd w:id="215"/>
    </w:p>
    <w:p w:rsidR="00E42E14" w:rsidRPr="009227DE" w:rsidRDefault="00E42E14" w:rsidP="00CF1F50">
      <w:pPr>
        <w:pStyle w:val="Heading4"/>
        <w:rPr>
          <w:rFonts w:cs="Arial"/>
          <w:lang w:eastAsia="en-NZ"/>
        </w:rPr>
      </w:pPr>
      <w:r w:rsidRPr="009227DE">
        <w:t>The framework</w:t>
      </w:r>
    </w:p>
    <w:p w:rsidR="00E42E14" w:rsidRPr="009227DE" w:rsidRDefault="00E42E14" w:rsidP="007C70A4">
      <w:pPr>
        <w:pStyle w:val="BodyText"/>
      </w:pPr>
      <w:r w:rsidRPr="009227DE">
        <w:t xml:space="preserve">PB4L School-Wide is a long-term approach to improve the culture, learning and teaching environment across the whole school. School-Wide facilitators help schools put in place practices and organisational systems to support positive behaviour. </w:t>
      </w:r>
    </w:p>
    <w:p w:rsidR="00E42E14" w:rsidRPr="003E4CA6" w:rsidRDefault="00E42E14" w:rsidP="007C70A4">
      <w:pPr>
        <w:pStyle w:val="BodyText"/>
      </w:pPr>
      <w:r w:rsidRPr="009227DE">
        <w:t>Students are taught in very specific terms what behaviours are expected of them, and there is a consistent response to these behaviours across the whole school. The approach means moving away from seeing individual students as the problem, and towards changing the environment around them to support positive behaviour. The focus is on:</w:t>
      </w:r>
    </w:p>
    <w:p w:rsidR="00E42E14" w:rsidRPr="009227DE" w:rsidRDefault="00E42E14" w:rsidP="00571CBB">
      <w:pPr>
        <w:pStyle w:val="BodyTextBullets"/>
      </w:pPr>
      <w:r w:rsidRPr="009227DE">
        <w:t>preventing problem behaviour</w:t>
      </w:r>
    </w:p>
    <w:p w:rsidR="00E42E14" w:rsidRPr="009227DE" w:rsidRDefault="00D53436" w:rsidP="00571CBB">
      <w:pPr>
        <w:pStyle w:val="BodyTextBullets"/>
      </w:pPr>
      <w:r>
        <w:t>developing student</w:t>
      </w:r>
      <w:r w:rsidR="00E42E14" w:rsidRPr="009227DE">
        <w:t>s’ social skills</w:t>
      </w:r>
    </w:p>
    <w:p w:rsidR="00E42E14" w:rsidRPr="009227DE" w:rsidRDefault="00E42E14" w:rsidP="00571CBB">
      <w:pPr>
        <w:pStyle w:val="BodyTextBullets"/>
      </w:pPr>
      <w:r w:rsidRPr="009227DE">
        <w:t>reinforcing desired behaviours</w:t>
      </w:r>
    </w:p>
    <w:p w:rsidR="00E42E14" w:rsidRPr="009227DE" w:rsidRDefault="00E42E14" w:rsidP="00571CBB">
      <w:pPr>
        <w:pStyle w:val="BodyTextBullets"/>
      </w:pPr>
      <w:r w:rsidRPr="009227DE">
        <w:t>consistently addressing and reducing inappropriate behaviours</w:t>
      </w:r>
    </w:p>
    <w:p w:rsidR="00E42E14" w:rsidRPr="009227DE" w:rsidRDefault="00E42E14" w:rsidP="00030453">
      <w:pPr>
        <w:pStyle w:val="BodyTextBulletslast"/>
      </w:pPr>
      <w:r w:rsidRPr="009227DE">
        <w:t>using evidence-based assessment and problem-solving to address concerns.</w:t>
      </w:r>
    </w:p>
    <w:p w:rsidR="00E42E14" w:rsidRPr="00CF1F50" w:rsidRDefault="00E42E14" w:rsidP="00CF1F50">
      <w:pPr>
        <w:pStyle w:val="Heading4"/>
      </w:pPr>
      <w:r w:rsidRPr="00CF1F50">
        <w:t>The statistics</w:t>
      </w:r>
    </w:p>
    <w:p w:rsidR="00E42E14" w:rsidRPr="009227DE" w:rsidRDefault="00E42E14" w:rsidP="007C70A4">
      <w:pPr>
        <w:pStyle w:val="BodyText"/>
      </w:pPr>
      <w:r w:rsidRPr="009227DE">
        <w:rPr>
          <w:rFonts w:cs="Arial"/>
        </w:rPr>
        <w:t xml:space="preserve">As at 31 December 2012, 289 schools were participating in School-Wide. </w:t>
      </w:r>
      <w:r w:rsidRPr="009227DE">
        <w:t>Through the Prime Minister’s Youth Mental Health project, the Government has boosted funding for PB4L School-Wide to make it available to all secondary schools o</w:t>
      </w:r>
      <w:r>
        <w:t xml:space="preserve">ver the next three years. This </w:t>
      </w:r>
      <w:r w:rsidR="00F007C5">
        <w:t>will</w:t>
      </w:r>
      <w:r w:rsidRPr="009227DE">
        <w:t xml:space="preserve"> bring the total number of schools participating in PB4L School-Wide to 628 by 30 June 2016. </w:t>
      </w:r>
    </w:p>
    <w:p w:rsidR="00E42E14" w:rsidRPr="004278C3" w:rsidRDefault="00E42E14" w:rsidP="004278C3">
      <w:pPr>
        <w:pStyle w:val="Heading3"/>
      </w:pPr>
      <w:bookmarkStart w:id="216" w:name="_Toc300319659"/>
      <w:r w:rsidRPr="004278C3">
        <w:t>PB4L Incredible Years Teacher</w:t>
      </w:r>
      <w:bookmarkEnd w:id="216"/>
    </w:p>
    <w:p w:rsidR="00E42E14" w:rsidRPr="00CF1F50" w:rsidRDefault="00E42E14" w:rsidP="00CF1F50">
      <w:pPr>
        <w:pStyle w:val="Heading4"/>
      </w:pPr>
      <w:r w:rsidRPr="00CF1F50">
        <w:t>The programme</w:t>
      </w:r>
    </w:p>
    <w:p w:rsidR="00E42E14" w:rsidRPr="009227DE" w:rsidRDefault="00E42E14" w:rsidP="007C70A4">
      <w:pPr>
        <w:pStyle w:val="BodyText"/>
      </w:pPr>
      <w:r w:rsidRPr="009227DE">
        <w:t>The Incredible Years Teacher programme is for teachers of children aged 3</w:t>
      </w:r>
      <w:r w:rsidR="00C54418">
        <w:t>–</w:t>
      </w:r>
      <w:r w:rsidRPr="009227DE">
        <w:t>8 years. It helps teachers:</w:t>
      </w:r>
    </w:p>
    <w:p w:rsidR="00E42E14" w:rsidRPr="00571CBB" w:rsidRDefault="00E42E14" w:rsidP="00571CBB">
      <w:pPr>
        <w:pStyle w:val="BodyTextBullets"/>
        <w:rPr>
          <w:rFonts w:eastAsia="Calibri"/>
        </w:rPr>
      </w:pPr>
      <w:r w:rsidRPr="009227DE">
        <w:rPr>
          <w:rFonts w:eastAsia="Calibri"/>
          <w:lang w:val="en-NZ" w:bidi="en-US"/>
        </w:rPr>
        <w:t>manage their classrooms</w:t>
      </w:r>
    </w:p>
    <w:p w:rsidR="00E42E14" w:rsidRPr="00571CBB" w:rsidRDefault="00E42E14" w:rsidP="00571CBB">
      <w:pPr>
        <w:pStyle w:val="BodyTextBullets"/>
        <w:rPr>
          <w:rFonts w:eastAsia="Calibri"/>
        </w:rPr>
      </w:pPr>
      <w:r w:rsidRPr="009227DE">
        <w:rPr>
          <w:rFonts w:eastAsia="Calibri"/>
          <w:lang w:val="en-NZ" w:bidi="en-US"/>
        </w:rPr>
        <w:t>reduce classroom aggression</w:t>
      </w:r>
    </w:p>
    <w:p w:rsidR="00E42E14" w:rsidRPr="00571CBB" w:rsidRDefault="00E42E14" w:rsidP="00030453">
      <w:pPr>
        <w:pStyle w:val="BodyTextBulletslast"/>
        <w:rPr>
          <w:rFonts w:eastAsia="Calibri"/>
        </w:rPr>
      </w:pPr>
      <w:r w:rsidRPr="009227DE">
        <w:rPr>
          <w:rFonts w:eastAsia="Calibri"/>
          <w:lang w:val="en-NZ" w:bidi="en-US"/>
        </w:rPr>
        <w:t>motivate students to learn social skills and co-operate with their peers.</w:t>
      </w:r>
    </w:p>
    <w:p w:rsidR="00E42E14" w:rsidRPr="009227DE" w:rsidRDefault="00E42E14" w:rsidP="007C70A4">
      <w:pPr>
        <w:pStyle w:val="BodyText"/>
      </w:pPr>
      <w:r w:rsidRPr="009227DE">
        <w:t xml:space="preserve">Additionally, the programme focuses on ways teachers can collaborate with parents to support their school involvement and promote consistency between home and school. </w:t>
      </w:r>
    </w:p>
    <w:p w:rsidR="00E42E14" w:rsidRPr="00CF1F50" w:rsidRDefault="00E42E14" w:rsidP="00CF1F50">
      <w:pPr>
        <w:pStyle w:val="Heading4"/>
      </w:pPr>
      <w:r w:rsidRPr="00CF1F50">
        <w:t>The statistics</w:t>
      </w:r>
    </w:p>
    <w:p w:rsidR="00E42E14" w:rsidRPr="009227DE" w:rsidRDefault="00E42E14" w:rsidP="007C70A4">
      <w:pPr>
        <w:pStyle w:val="BodyText"/>
      </w:pPr>
      <w:r w:rsidRPr="009227DE">
        <w:t xml:space="preserve">A total of 2,280 teachers participated in this professional development programme in 2011/2012. Since the programme started in 2010, 3,720 teachers have participated, a third of these from the early childhood sector. </w:t>
      </w:r>
    </w:p>
    <w:p w:rsidR="00E42E14" w:rsidRPr="004278C3" w:rsidRDefault="00E42E14" w:rsidP="004278C3">
      <w:pPr>
        <w:pStyle w:val="Heading3"/>
      </w:pPr>
      <w:r w:rsidRPr="004278C3">
        <w:t>PB4L Incredible Years Parent</w:t>
      </w:r>
    </w:p>
    <w:p w:rsidR="00E42E14" w:rsidRPr="00CF1F50" w:rsidRDefault="00E42E14" w:rsidP="00CF1F50">
      <w:pPr>
        <w:pStyle w:val="Heading4"/>
      </w:pPr>
      <w:r w:rsidRPr="00CF1F50">
        <w:t>The programme</w:t>
      </w:r>
    </w:p>
    <w:p w:rsidR="00E42E14" w:rsidRPr="009227DE" w:rsidRDefault="00E42E14" w:rsidP="007C70A4">
      <w:pPr>
        <w:pStyle w:val="BodyText"/>
      </w:pPr>
      <w:r w:rsidRPr="009227DE">
        <w:t>The Incredible Years Parent programme is a 14</w:t>
      </w:r>
      <w:r w:rsidR="00C54418">
        <w:t>–</w:t>
      </w:r>
      <w:r w:rsidRPr="009227DE">
        <w:t>18 session programme for parents of children aged 3</w:t>
      </w:r>
      <w:r w:rsidR="00C54418">
        <w:t>–</w:t>
      </w:r>
      <w:r w:rsidRPr="009227DE">
        <w:t>8 that helps parents manage problem behaviour and create a home environment conducive to positive educational outcomes.</w:t>
      </w:r>
    </w:p>
    <w:p w:rsidR="00E42E14" w:rsidRPr="009227DE" w:rsidRDefault="00E42E14" w:rsidP="00CF1F50">
      <w:pPr>
        <w:pStyle w:val="BodyText"/>
      </w:pPr>
      <w:r w:rsidRPr="009227DE">
        <w:t>The programme teaches parents to:</w:t>
      </w:r>
    </w:p>
    <w:p w:rsidR="00E42E14" w:rsidRPr="009227DE" w:rsidRDefault="00E42E14" w:rsidP="00571CBB">
      <w:pPr>
        <w:pStyle w:val="BodyTextBullets"/>
      </w:pPr>
      <w:r w:rsidRPr="009227DE">
        <w:t>make time to play and spend time with their children and let their children lead the play</w:t>
      </w:r>
    </w:p>
    <w:p w:rsidR="00E42E14" w:rsidRPr="009227DE" w:rsidRDefault="00E42E14" w:rsidP="00571CBB">
      <w:pPr>
        <w:pStyle w:val="BodyTextBullets"/>
      </w:pPr>
      <w:r w:rsidRPr="009227DE">
        <w:t>encourage the behaviours they would like to see, through setting clear rules and boundaries and using praise and encouragement</w:t>
      </w:r>
    </w:p>
    <w:p w:rsidR="00E42E14" w:rsidRPr="009227DE" w:rsidRDefault="00E42E14" w:rsidP="00030453">
      <w:pPr>
        <w:pStyle w:val="BodyTextBulletslast"/>
      </w:pPr>
      <w:r w:rsidRPr="009227DE">
        <w:t>selectively use consequences such as ignoring, loss of privileges and time out.</w:t>
      </w:r>
    </w:p>
    <w:p w:rsidR="00E42E14" w:rsidRPr="00CF1F50" w:rsidRDefault="00E42E14" w:rsidP="00CF1F50">
      <w:pPr>
        <w:pStyle w:val="Heading4"/>
      </w:pPr>
      <w:r w:rsidRPr="00CF1F50">
        <w:t>The statistics</w:t>
      </w:r>
    </w:p>
    <w:p w:rsidR="00E42E14" w:rsidRPr="009227DE" w:rsidRDefault="00E42E14" w:rsidP="007C70A4">
      <w:pPr>
        <w:pStyle w:val="BodyText"/>
      </w:pPr>
      <w:r w:rsidRPr="009227DE">
        <w:t>In 2011/2012, 3,997 parents/caregivers participated in the programme. Since the introduction of the programme in 2010, 5,824 parents have completed the course.</w:t>
      </w:r>
    </w:p>
    <w:p w:rsidR="00E42E14" w:rsidRPr="004278C3" w:rsidRDefault="00E42E14" w:rsidP="004278C3">
      <w:pPr>
        <w:pStyle w:val="Heading3"/>
      </w:pPr>
      <w:r w:rsidRPr="004278C3">
        <w:t xml:space="preserve">Wellbeing@School </w:t>
      </w:r>
    </w:p>
    <w:p w:rsidR="00E42E14" w:rsidRPr="009227DE" w:rsidRDefault="00E42E14" w:rsidP="007C70A4">
      <w:pPr>
        <w:pStyle w:val="BodyText"/>
      </w:pPr>
      <w:r w:rsidRPr="009227DE">
        <w:t xml:space="preserve">In May 2012 the </w:t>
      </w:r>
      <w:r w:rsidRPr="007C70A4">
        <w:rPr>
          <w:i/>
          <w:iCs/>
        </w:rPr>
        <w:t>Wellbeing@School</w:t>
      </w:r>
      <w:r w:rsidRPr="009227DE">
        <w:t xml:space="preserve"> website was made available to schools. The Ministry commissioned the New Zealand Council for Education Research (NZCER) to develop this tool to help schools review whether they provide a safe and caring climate. </w:t>
      </w:r>
      <w:r w:rsidRPr="007C70A4">
        <w:rPr>
          <w:i/>
          <w:iCs/>
        </w:rPr>
        <w:t xml:space="preserve">Wellbeing@School </w:t>
      </w:r>
      <w:r w:rsidRPr="009227DE">
        <w:t>(</w:t>
      </w:r>
      <w:r w:rsidRPr="00EF4FB7">
        <w:t>www.wellbeingatschool.org.nz</w:t>
      </w:r>
      <w:r w:rsidRPr="009227DE">
        <w:t>) provides school leaders with a well-researched process, including student and teacher surveys, to look at the policies, systems and practices in their school that deter bullying and promote positive behaviour.</w:t>
      </w:r>
    </w:p>
    <w:p w:rsidR="00E42E14" w:rsidRPr="00731A65" w:rsidRDefault="00E42E14" w:rsidP="008662DE">
      <w:pPr>
        <w:pStyle w:val="Heading2"/>
      </w:pPr>
      <w:bookmarkStart w:id="217" w:name="_Toc367361651"/>
      <w:r w:rsidRPr="00731A65">
        <w:t>Attendance at school</w:t>
      </w:r>
      <w:bookmarkEnd w:id="217"/>
    </w:p>
    <w:p w:rsidR="00E42E14" w:rsidRPr="00731A65" w:rsidRDefault="00E42E14" w:rsidP="007C70A4">
      <w:pPr>
        <w:pStyle w:val="BodyText"/>
      </w:pPr>
      <w:r w:rsidRPr="00731A65">
        <w:t>The Education Act 1989, the Attendance Regulations 1951 and the National Administration Guidelines require that children between the age</w:t>
      </w:r>
      <w:r w:rsidR="003E4CA6">
        <w:t>s</w:t>
      </w:r>
      <w:r w:rsidRPr="00731A65">
        <w:t xml:space="preserve"> of </w:t>
      </w:r>
      <w:r w:rsidR="00EF4FB7">
        <w:t xml:space="preserve">six </w:t>
      </w:r>
      <w:r w:rsidRPr="00731A65">
        <w:t>and 16 be enrolled at school. Parents must ensure children attend school whenever it is open for instruction unless there is a good reason for them to be absent. Parents/caregivers can be prosecuted if their child is away from school without good reason.</w:t>
      </w:r>
    </w:p>
    <w:p w:rsidR="00E42E14" w:rsidRPr="009227DE" w:rsidRDefault="00E42E14" w:rsidP="007C70A4">
      <w:pPr>
        <w:pStyle w:val="BodyText"/>
        <w:rPr>
          <w:highlight w:val="yellow"/>
        </w:rPr>
      </w:pPr>
      <w:r w:rsidRPr="008F120D">
        <w:t>Many schools are now using electronic attendance registers (eARs) as part of their student management systems to help them record attendance. By the end of 20</w:t>
      </w:r>
      <w:r w:rsidRPr="0030204D">
        <w:t>12, 1,695 schools were approved to use eARs. This has increased by 176 schools since the end of 2011 (when 1,519 schools were approved to use eARs).</w:t>
      </w:r>
    </w:p>
    <w:p w:rsidR="00B34F81" w:rsidRPr="008C0154" w:rsidRDefault="00B34F81" w:rsidP="007C70A4">
      <w:pPr>
        <w:pStyle w:val="BodyText"/>
      </w:pPr>
      <w:r w:rsidRPr="008C0154">
        <w:t xml:space="preserve">The use of the Early Notification text messaging system, which provides parents with real-time information on their children’s attendance and achievement, increased to approximately 435 schools by the end of 2012. </w:t>
      </w:r>
    </w:p>
    <w:p w:rsidR="00E42E14" w:rsidRPr="0095106E" w:rsidRDefault="00E42E14" w:rsidP="007C70A4">
      <w:pPr>
        <w:pStyle w:val="BodyText"/>
      </w:pPr>
      <w:r w:rsidRPr="0095106E">
        <w:t>At the end of 2012, the Ministry finalised contracts with 11 providers to implement a new integrated Attendance Service nation-wide, with a total funding of $9.53m in 2012/13. This programme combines the previous national Non-Enrolled Truancy Service and 77 District Truancy Services into one integrated service. The Attendance Service is supported by the Attendance Service Application (ASA), an electronic referral system that records unjustified absence and non-enrolment referral information in one place, and builds a case history for each student referred by schools to the Attendance Service providers. The new Attendance Service started in all schools in Term 1, 2013.</w:t>
      </w:r>
    </w:p>
    <w:p w:rsidR="00E42E14" w:rsidRPr="004278C3" w:rsidRDefault="00E42E14" w:rsidP="004278C3">
      <w:pPr>
        <w:pStyle w:val="Heading3"/>
      </w:pPr>
      <w:r w:rsidRPr="004278C3">
        <w:t>National absence rates</w:t>
      </w:r>
    </w:p>
    <w:p w:rsidR="00E42E14" w:rsidRPr="009227DE" w:rsidRDefault="00E42E14" w:rsidP="007C70A4">
      <w:pPr>
        <w:pStyle w:val="BodyText"/>
        <w:rPr>
          <w:highlight w:val="yellow"/>
        </w:rPr>
      </w:pPr>
      <w:r w:rsidRPr="003A3C17">
        <w:t>The most recent survey of attendance was undertaken in Term 2, 2012 (Mallari &amp; Loader, 2013). All state and state-integrated schools were invited to participate, with attendance data being received from 2,166 schools (a response rate of 88%). National absence rates were estimated based on one week of Term 2, 11</w:t>
      </w:r>
      <w:r w:rsidR="00EF4FB7">
        <w:rPr>
          <w:rFonts w:cs="Arial"/>
        </w:rPr>
        <w:t>–</w:t>
      </w:r>
      <w:r w:rsidRPr="003A3C17">
        <w:t>15 June.</w:t>
      </w:r>
    </w:p>
    <w:p w:rsidR="00E42E14" w:rsidRPr="009227DE" w:rsidRDefault="00EF4FB7" w:rsidP="007C70A4">
      <w:pPr>
        <w:pStyle w:val="BodyText"/>
        <w:rPr>
          <w:highlight w:val="yellow"/>
        </w:rPr>
      </w:pPr>
      <w:r>
        <w:t xml:space="preserve">In 2012, </w:t>
      </w:r>
      <w:r w:rsidR="00E42E14" w:rsidRPr="003A3C17">
        <w:t>the estimated national absence rate was 9.6%. This was lower than the previous</w:t>
      </w:r>
      <w:r w:rsidR="00E42E14">
        <w:t xml:space="preserve"> two</w:t>
      </w:r>
      <w:r w:rsidR="00E42E14" w:rsidRPr="003A3C17">
        <w:t xml:space="preserve"> surveys (10.2% in 2011 and 11.6% in 2009). The total unjustified absence, or truancy</w:t>
      </w:r>
      <w:r w:rsidR="003E4CA6">
        <w:t>,</w:t>
      </w:r>
      <w:r w:rsidR="00E42E14" w:rsidRPr="003A3C17">
        <w:t xml:space="preserve"> rate was 3.8% (compared to 4.0% in 2011 and 4.2% in 2009).</w:t>
      </w:r>
    </w:p>
    <w:p w:rsidR="00E42E14" w:rsidRPr="00CF1F50" w:rsidRDefault="00E42E14" w:rsidP="00CF1F50">
      <w:pPr>
        <w:pStyle w:val="Heading4"/>
      </w:pPr>
      <w:r w:rsidRPr="00CF1F50">
        <w:t>Age (current year level) and gender</w:t>
      </w:r>
    </w:p>
    <w:p w:rsidR="00E42E14" w:rsidRPr="009227DE" w:rsidRDefault="00E42E14" w:rsidP="007C70A4">
      <w:pPr>
        <w:pStyle w:val="BodyText"/>
        <w:rPr>
          <w:highlight w:val="yellow"/>
        </w:rPr>
      </w:pPr>
      <w:r w:rsidRPr="004F21A9">
        <w:t>Absence rates change dramatically by year level. Both the total absence rate and the total unjustified absence rate increase rapidly during secondary school. The rate of total unjustified absence fo</w:t>
      </w:r>
      <w:r w:rsidR="00046FDE">
        <w:t>r students in Years 1–8 was low</w:t>
      </w:r>
      <w:r w:rsidRPr="004F21A9">
        <w:t xml:space="preserve"> at 2.1% for both genders. In Years 9–13, however, the total unjustified absence rates increased from 3.9% in Year 9 to 11.4% in Year 13 for females, and from 4.1% to 12.5% for males. These findings are similar to the absence rates in previous years (with a slight downwards trend in absence rates overall); however, the total unjustified absence rate for Year 13 males increased by 0.6 of a percentage point between 2011 (11.9%) and 2012 (12.5%). </w:t>
      </w:r>
    </w:p>
    <w:p w:rsidR="00E42E14" w:rsidRPr="00D056C6" w:rsidRDefault="00E42E14" w:rsidP="00E42E14">
      <w:pPr>
        <w:pStyle w:val="FigureHeading"/>
      </w:pPr>
      <w:bookmarkStart w:id="218" w:name="_Toc304214692"/>
      <w:bookmarkStart w:id="219" w:name="_Toc367361607"/>
      <w:r w:rsidRPr="00D056C6">
        <w:t>Absence rates, by gender and current year level</w:t>
      </w:r>
      <w:bookmarkEnd w:id="218"/>
      <w:r w:rsidRPr="00D056C6">
        <w:t>, 2012</w:t>
      </w:r>
      <w:bookmarkEnd w:id="219"/>
      <w:r w:rsidRPr="00D056C6">
        <w:t xml:space="preserve"> </w:t>
      </w:r>
    </w:p>
    <w:p w:rsidR="00E42E14" w:rsidRPr="009227DE" w:rsidRDefault="00F32AF8" w:rsidP="00FE1B3D">
      <w:pPr>
        <w:pStyle w:val="Figure"/>
        <w:rPr>
          <w:highlight w:val="yellow"/>
        </w:rPr>
      </w:pPr>
      <w:r>
        <w:rPr>
          <w:noProof/>
          <w:lang w:val="en-NZ"/>
        </w:rPr>
        <w:drawing>
          <wp:inline distT="0" distB="0" distL="0" distR="0">
            <wp:extent cx="5615940" cy="1968500"/>
            <wp:effectExtent l="19050" t="0" r="3810" b="0"/>
            <wp:docPr id="91" name="Picture 90" descr="Line graph showing 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30_HR.png"/>
                    <pic:cNvPicPr/>
                  </pic:nvPicPr>
                  <pic:blipFill>
                    <a:blip r:embed="rId59" cstate="print"/>
                    <a:stretch>
                      <a:fillRect/>
                    </a:stretch>
                  </pic:blipFill>
                  <pic:spPr>
                    <a:xfrm>
                      <a:off x="0" y="0"/>
                      <a:ext cx="5615940" cy="1968500"/>
                    </a:xfrm>
                    <a:prstGeom prst="rect">
                      <a:avLst/>
                    </a:prstGeom>
                  </pic:spPr>
                </pic:pic>
              </a:graphicData>
            </a:graphic>
          </wp:inline>
        </w:drawing>
      </w:r>
    </w:p>
    <w:p w:rsidR="00CF1F50" w:rsidRDefault="00E42E14" w:rsidP="00CF1F50">
      <w:pPr>
        <w:pStyle w:val="TableFootnote"/>
        <w:rPr>
          <w:lang w:eastAsia="en-NZ"/>
        </w:rPr>
      </w:pPr>
      <w:r w:rsidRPr="00CF1F50">
        <w:rPr>
          <w:b/>
          <w:lang w:eastAsia="en-NZ"/>
        </w:rPr>
        <w:t>Note:</w:t>
      </w:r>
      <w:r w:rsidR="00CF1F50" w:rsidRPr="00CF1F50">
        <w:rPr>
          <w:b/>
          <w:lang w:eastAsia="en-NZ"/>
        </w:rPr>
        <w:br/>
      </w:r>
      <w:r w:rsidRPr="00D056C6">
        <w:rPr>
          <w:lang w:eastAsia="en-NZ"/>
        </w:rPr>
        <w:t>Year 13 includes students in years 13, 14 and 15.</w:t>
      </w:r>
    </w:p>
    <w:p w:rsidR="00E42E14" w:rsidRPr="009227DE" w:rsidRDefault="00E42E14" w:rsidP="00CF1F50">
      <w:pPr>
        <w:pStyle w:val="BodyText"/>
        <w:rPr>
          <w:highlight w:val="yellow"/>
        </w:rPr>
      </w:pPr>
      <w:r w:rsidRPr="00842FBF">
        <w:t>The Youth’12 survey (Clark et al., 2013) on student opinion found that the rate of student self-reported truancy increased rapidly with age.</w:t>
      </w:r>
      <w:r w:rsidR="00235FD2">
        <w:t xml:space="preserve"> </w:t>
      </w:r>
      <w:r w:rsidRPr="00842FBF">
        <w:t>Fourteen per cent of students aged 13 or less reported having wagged or skipped school for a whole day in the previous 12 months, with this proportion increasing to 31.4% for those aged 17 years and above.</w:t>
      </w:r>
    </w:p>
    <w:p w:rsidR="00E42E14" w:rsidRPr="00CF1F50" w:rsidRDefault="00E42E14" w:rsidP="00CF1F50">
      <w:pPr>
        <w:pStyle w:val="Heading4"/>
      </w:pPr>
      <w:r w:rsidRPr="00CF1F50">
        <w:t>Ethnic group differences</w:t>
      </w:r>
      <w:r w:rsidRPr="008E6793">
        <w:rPr>
          <w:vertAlign w:val="superscript"/>
        </w:rPr>
        <w:footnoteReference w:id="25"/>
      </w:r>
    </w:p>
    <w:p w:rsidR="00E42E14" w:rsidRDefault="00E42E14" w:rsidP="007C70A4">
      <w:pPr>
        <w:pStyle w:val="BodyText"/>
      </w:pPr>
      <w:r w:rsidRPr="008E6793">
        <w:t>Māori and Pasifika students have higher absence rates than Pākehā/European and Asian students. In 2012 total unjustified absence rates were 6.0% for Māori students and 5.4% for Pasifika students (compared with 6.5% and 6.6%, respectively, in 2009). The total unjustified absence rates for Pākehā/European students (2.8%) and Asian students (2.5%) were similar to 2009 (3.0% and 2.9%, respectively).</w:t>
      </w:r>
    </w:p>
    <w:p w:rsidR="00E42E14" w:rsidRPr="00CF1F50" w:rsidRDefault="00E42E14" w:rsidP="00CF1F50">
      <w:pPr>
        <w:pStyle w:val="Heading4"/>
      </w:pPr>
      <w:r w:rsidRPr="00CF1F50">
        <w:t>Socio-economic differences</w:t>
      </w:r>
    </w:p>
    <w:p w:rsidR="00E42E14" w:rsidRPr="008E6793" w:rsidRDefault="00E42E14" w:rsidP="007C70A4">
      <w:pPr>
        <w:pStyle w:val="BodyText"/>
      </w:pPr>
      <w:r w:rsidRPr="00141413">
        <w:t>Low decile schools draw their students from communities with the fewest socio-economic resources. In 2012, justified absences were similar across all deciles (at approximately</w:t>
      </w:r>
      <w:r w:rsidR="00F0676E">
        <w:t xml:space="preserve"> six per cent</w:t>
      </w:r>
      <w:r w:rsidRPr="00141413">
        <w:t>). However, decile 1 and 2 schools had a total unjustified absence rate of 6.3% and 6.4%, respectively, compared to 2.4% in decile 9 schools and 1.9</w:t>
      </w:r>
      <w:r>
        <w:t>% in decile 10 schools.</w:t>
      </w:r>
    </w:p>
    <w:p w:rsidR="00E42E14" w:rsidRPr="004278C3" w:rsidRDefault="00E42E14" w:rsidP="004278C3">
      <w:pPr>
        <w:pStyle w:val="Heading3"/>
      </w:pPr>
      <w:r w:rsidRPr="004278C3">
        <w:t>Frequent truants</w:t>
      </w:r>
    </w:p>
    <w:p w:rsidR="00E42E14" w:rsidRPr="007B693F" w:rsidRDefault="00E42E14" w:rsidP="007C70A4">
      <w:pPr>
        <w:pStyle w:val="BodyText"/>
      </w:pPr>
      <w:r w:rsidRPr="007B693F">
        <w:t>The rate of frequent truants was also estimated. A student was classified as a frequent truant if they had three or more unjustified absences during the survey week. The national rate of frequent truants was 1.0%, remaining unchanged from 2011. This means that in 2012 1.0% of all students were unjustifiably absent from school at least three times during the survey week.</w:t>
      </w:r>
      <w:r>
        <w:t xml:space="preserve"> There was no difference between genders in the frequent truant rate in 2012 (1.0% for both).</w:t>
      </w:r>
    </w:p>
    <w:p w:rsidR="00E42E14" w:rsidRPr="00131D6C" w:rsidRDefault="00E42E14" w:rsidP="007C70A4">
      <w:pPr>
        <w:pStyle w:val="BodyText"/>
      </w:pPr>
      <w:r w:rsidRPr="00131D6C">
        <w:t xml:space="preserve">One of the targets of </w:t>
      </w:r>
      <w:r w:rsidRPr="007C70A4">
        <w:rPr>
          <w:i/>
          <w:iCs/>
        </w:rPr>
        <w:t>Ka Hikitia</w:t>
      </w:r>
      <w:r w:rsidR="00EF4FB7">
        <w:rPr>
          <w:i/>
          <w:iCs/>
        </w:rPr>
        <w:t xml:space="preserve"> </w:t>
      </w:r>
      <w:r w:rsidR="00EF4FB7">
        <w:rPr>
          <w:rFonts w:cs="Arial"/>
          <w:i/>
          <w:iCs/>
        </w:rPr>
        <w:t>―</w:t>
      </w:r>
      <w:r w:rsidRPr="007C70A4">
        <w:rPr>
          <w:i/>
          <w:iCs/>
        </w:rPr>
        <w:t xml:space="preserve"> Managing for Success</w:t>
      </w:r>
      <w:r w:rsidRPr="00131D6C">
        <w:t xml:space="preserve"> (Ministry of Education, 2008a) was to reduce the frequent truant rate of Māori students in Years 9 and 10. In March 2011, a mid-term review was conducted, and the target was revised to decrease the frequent truant rate of Year 9 and 10 Māori students from 2.8% in 2010 to 2% by 2015. The frequent truant rate for Year 9 and 10 Māori students in 2012 was 2.4%, which is on track to meet this target.</w:t>
      </w:r>
    </w:p>
    <w:p w:rsidR="00E42E14" w:rsidRDefault="00E42E14" w:rsidP="007C70A4">
      <w:pPr>
        <w:pStyle w:val="BodyText"/>
      </w:pPr>
      <w:r w:rsidRPr="00131D6C">
        <w:t xml:space="preserve">The 2012 frequent truant rate for Year 9 and 10 Pasifika students increased by 0.1 of a percentage point (1.3% </w:t>
      </w:r>
      <w:r>
        <w:t>in 2011 and 1.4% in 2012), but was</w:t>
      </w:r>
      <w:r w:rsidRPr="00131D6C">
        <w:t xml:space="preserve"> still lower than the rate in 2006 (3.1%).</w:t>
      </w:r>
      <w:r>
        <w:t xml:space="preserve"> </w:t>
      </w:r>
    </w:p>
    <w:p w:rsidR="00E42E14" w:rsidRPr="00131D6C" w:rsidRDefault="00E42E14" w:rsidP="007C70A4">
      <w:pPr>
        <w:pStyle w:val="BodyText"/>
      </w:pPr>
      <w:r w:rsidRPr="00131D6C">
        <w:t>As in previous years, the rates for Māori and Pasifika students were higher than the rates for non-Māori and non-Pasifika students (0.7% and 1.1%, respectively).</w:t>
      </w:r>
    </w:p>
    <w:p w:rsidR="00E42E14" w:rsidRPr="00141413" w:rsidRDefault="00E42E14" w:rsidP="00571CBB">
      <w:pPr>
        <w:pStyle w:val="Heading-Wheretofindmore"/>
      </w:pPr>
      <w:r w:rsidRPr="00141413">
        <w:t>Where to find out more</w:t>
      </w:r>
    </w:p>
    <w:p w:rsidR="00E42E14" w:rsidRPr="000813F7" w:rsidRDefault="00B01FBF" w:rsidP="00FE1B3D">
      <w:pPr>
        <w:pStyle w:val="Figure"/>
        <w:rPr>
          <w:highlight w:val="yellow"/>
        </w:rPr>
      </w:pPr>
      <w:r>
        <w:rPr>
          <w:noProof/>
          <w:lang w:val="en-NZ"/>
        </w:rPr>
        <w:drawing>
          <wp:inline distT="0" distB="0" distL="0" distR="0">
            <wp:extent cx="5613952" cy="774128"/>
            <wp:effectExtent l="19050" t="0" r="5798" b="0"/>
            <wp:docPr id="25" name="Picture 24" descr="Find out more - Chapter 5_attend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out more - Chapter 5_attendance.png"/>
                    <pic:cNvPicPr/>
                  </pic:nvPicPr>
                  <pic:blipFill>
                    <a:blip r:embed="rId60" cstate="print"/>
                    <a:stretch>
                      <a:fillRect/>
                    </a:stretch>
                  </pic:blipFill>
                  <pic:spPr>
                    <a:xfrm>
                      <a:off x="0" y="0"/>
                      <a:ext cx="5613952" cy="774128"/>
                    </a:xfrm>
                    <a:prstGeom prst="rect">
                      <a:avLst/>
                    </a:prstGeom>
                  </pic:spPr>
                </pic:pic>
              </a:graphicData>
            </a:graphic>
          </wp:inline>
        </w:drawing>
      </w:r>
    </w:p>
    <w:p w:rsidR="00E42E14" w:rsidRPr="000813F7" w:rsidRDefault="00E42E14" w:rsidP="000813F7">
      <w:pPr>
        <w:pStyle w:val="Heading2"/>
      </w:pPr>
      <w:bookmarkStart w:id="220" w:name="_Toc261938715"/>
      <w:bookmarkStart w:id="221" w:name="_Toc261938745"/>
      <w:bookmarkStart w:id="222" w:name="_Toc300319680"/>
      <w:bookmarkStart w:id="223" w:name="_Toc303511375"/>
      <w:r w:rsidRPr="000813F7">
        <w:rPr>
          <w:highlight w:val="yellow"/>
        </w:rPr>
        <w:br w:type="page"/>
      </w:r>
      <w:bookmarkStart w:id="224" w:name="_Toc367361652"/>
      <w:r w:rsidRPr="000813F7">
        <w:t>Stand-downs and suspensions from schoo</w:t>
      </w:r>
      <w:r w:rsidR="000813F7">
        <w:t>l</w:t>
      </w:r>
      <w:r w:rsidR="000813F7">
        <w:rPr>
          <w:rStyle w:val="FootnoteReference"/>
        </w:rPr>
        <w:footnoteReference w:id="26"/>
      </w:r>
      <w:bookmarkEnd w:id="220"/>
      <w:bookmarkEnd w:id="221"/>
      <w:bookmarkEnd w:id="222"/>
      <w:bookmarkEnd w:id="223"/>
      <w:bookmarkEnd w:id="224"/>
    </w:p>
    <w:p w:rsidR="00E42E14" w:rsidRPr="007E6B49" w:rsidRDefault="00E42E14" w:rsidP="00CF1F50">
      <w:pPr>
        <w:pStyle w:val="BodyText"/>
      </w:pPr>
      <w:r w:rsidRPr="007E6B49">
        <w:t>Stand-downs and suspensions affect a student’s opportunity to learn and interrupt the continuity of learning. Suspensions may lead to students:</w:t>
      </w:r>
    </w:p>
    <w:p w:rsidR="00E42E14" w:rsidRPr="007E6B49" w:rsidRDefault="00E42E14" w:rsidP="00571CBB">
      <w:pPr>
        <w:pStyle w:val="BodyTextBullets"/>
      </w:pPr>
      <w:r w:rsidRPr="007E6B49">
        <w:t>accessing correspondence schooling, where there may be</w:t>
      </w:r>
      <w:r w:rsidR="00046FDE">
        <w:t xml:space="preserve"> fewer direct learning supports</w:t>
      </w:r>
    </w:p>
    <w:p w:rsidR="00E42E14" w:rsidRPr="007E6B49" w:rsidRDefault="00E42E14" w:rsidP="00571CBB">
      <w:pPr>
        <w:pStyle w:val="BodyTextBullets"/>
      </w:pPr>
      <w:r w:rsidRPr="007E6B49">
        <w:t xml:space="preserve">entering alternative </w:t>
      </w:r>
      <w:r w:rsidRPr="007E6B49" w:rsidDel="00570EBD">
        <w:t>e</w:t>
      </w:r>
      <w:r w:rsidRPr="007E6B49">
        <w:t>ducation provisions, where there may not be access t</w:t>
      </w:r>
      <w:r w:rsidR="00046FDE">
        <w:t>o highly trained teaching staff</w:t>
      </w:r>
    </w:p>
    <w:p w:rsidR="00E42E14" w:rsidRPr="007E6B49" w:rsidRDefault="00E42E14" w:rsidP="00030453">
      <w:pPr>
        <w:pStyle w:val="BodyTextBulletslast"/>
      </w:pPr>
      <w:r w:rsidRPr="007E6B49">
        <w:t>dropp</w:t>
      </w:r>
      <w:r w:rsidR="00046FDE">
        <w:t>ing out of the education system</w:t>
      </w:r>
    </w:p>
    <w:p w:rsidR="00E42E14" w:rsidRPr="007E6B49" w:rsidRDefault="00E42E14" w:rsidP="007C70A4">
      <w:pPr>
        <w:pStyle w:val="BodyText"/>
      </w:pPr>
      <w:r w:rsidRPr="007E6B49">
        <w:t xml:space="preserve">Stand-downs and suspensions are associated with a wide range of concerning youth behaviours </w:t>
      </w:r>
      <w:r w:rsidR="00EF4FB7">
        <w:rPr>
          <w:rFonts w:cs="Arial"/>
        </w:rPr>
        <w:t>―</w:t>
      </w:r>
      <w:r w:rsidRPr="007E6B49">
        <w:t xml:space="preserve"> including drug and alcohol abuse and violence </w:t>
      </w:r>
      <w:r w:rsidR="00EF4FB7">
        <w:rPr>
          <w:rFonts w:cs="Arial"/>
        </w:rPr>
        <w:t>―</w:t>
      </w:r>
      <w:r w:rsidRPr="007E6B49">
        <w:t xml:space="preserve"> which disrupt the learning of the individuals concerned and are disruptive and unsafe for peers in the school community.</w:t>
      </w:r>
    </w:p>
    <w:p w:rsidR="00E42E14" w:rsidRPr="004278C3" w:rsidRDefault="00E42E14" w:rsidP="004278C3">
      <w:pPr>
        <w:pStyle w:val="Heading3"/>
      </w:pPr>
      <w:bookmarkStart w:id="225" w:name="_Toc261938746"/>
      <w:r w:rsidRPr="004278C3">
        <w:t>Stand-downs from school</w:t>
      </w:r>
      <w:bookmarkEnd w:id="225"/>
    </w:p>
    <w:p w:rsidR="00E42E14" w:rsidRPr="009227DE" w:rsidRDefault="00E42E14" w:rsidP="007C70A4">
      <w:pPr>
        <w:pStyle w:val="BodyText"/>
        <w:rPr>
          <w:highlight w:val="yellow"/>
        </w:rPr>
      </w:pPr>
      <w:r w:rsidRPr="004D20EB">
        <w:t xml:space="preserve">The age-standardised stand-down rate increased from 25.6 </w:t>
      </w:r>
      <w:r>
        <w:t xml:space="preserve">stand-downs </w:t>
      </w:r>
      <w:r w:rsidRPr="004D20EB">
        <w:t>per 1,000</w:t>
      </w:r>
      <w:r>
        <w:t xml:space="preserve"> students</w:t>
      </w:r>
      <w:r w:rsidRPr="004D20EB">
        <w:t xml:space="preserve"> in 2000 to 30.8 per 1,000 in 2006, but has decreased by 24.0% since then to 23.4 per 1,000 in 2012</w:t>
      </w:r>
      <w:r w:rsidRPr="00B92481">
        <w:t>. There were 16,712 stand-down cases in 2012, which were received by 13,040 different students. This equates to 1.8% of the student population in state and state integrated schools receiving stand-downs. Of those students stood down, 78.9% were stood-down only once during 2012</w:t>
      </w:r>
      <w:r w:rsidRPr="006166CA">
        <w:t>. In 2012, 74.1% of stand-downs took place in secondary schools. Only 8.0% of secondary schools did not use stand-downs, compared to 60.0% of primary schools.</w:t>
      </w:r>
    </w:p>
    <w:p w:rsidR="00E42E14" w:rsidRPr="00CF1F50" w:rsidRDefault="00E42E14" w:rsidP="00CF1F50">
      <w:pPr>
        <w:pStyle w:val="Heading4"/>
      </w:pPr>
      <w:r w:rsidRPr="00CF1F50">
        <w:t>Ethnic group differences</w:t>
      </w:r>
      <w:r w:rsidRPr="006166CA">
        <w:rPr>
          <w:vertAlign w:val="superscript"/>
        </w:rPr>
        <w:footnoteReference w:id="27"/>
      </w:r>
    </w:p>
    <w:p w:rsidR="00E42E14" w:rsidRPr="009227DE" w:rsidRDefault="00E42E14" w:rsidP="007C70A4">
      <w:pPr>
        <w:pStyle w:val="BodyText"/>
        <w:rPr>
          <w:highlight w:val="yellow"/>
        </w:rPr>
      </w:pPr>
      <w:r w:rsidRPr="006166CA">
        <w:t>Schools are standing down more M</w:t>
      </w:r>
      <w:r w:rsidRPr="006166CA">
        <w:rPr>
          <w:rFonts w:hint="eastAsia"/>
        </w:rPr>
        <w:t>ā</w:t>
      </w:r>
      <w:r w:rsidRPr="006166CA">
        <w:t>ori students than students from any other ethnic group. In 2012, the age-standardised stand-down rate for M</w:t>
      </w:r>
      <w:r w:rsidRPr="006166CA">
        <w:rPr>
          <w:rFonts w:hint="eastAsia"/>
        </w:rPr>
        <w:t>ā</w:t>
      </w:r>
      <w:r w:rsidRPr="006166CA">
        <w:t xml:space="preserve">ori students (42.8 per 1,000) was 1.5 times </w:t>
      </w:r>
      <w:r w:rsidR="00046FDE">
        <w:t xml:space="preserve">as high as </w:t>
      </w:r>
      <w:r w:rsidRPr="006166CA">
        <w:t>Pasifika students (27.7 per 1,000) and 2.4 times as high as Pākehā/European students (17.5 per 1,000). The stand-down rate for Asian students is the lowest of all ethnic groups (6.0 per 1,000).</w:t>
      </w:r>
    </w:p>
    <w:p w:rsidR="00E42E14" w:rsidRPr="00197974" w:rsidRDefault="00E42E14" w:rsidP="00E42E14">
      <w:pPr>
        <w:pStyle w:val="FigureHeading"/>
      </w:pPr>
      <w:bookmarkStart w:id="226" w:name="_Toc304214693"/>
      <w:bookmarkStart w:id="227" w:name="_Toc367361608"/>
      <w:r w:rsidRPr="00197974">
        <w:t>Age-standardised s</w:t>
      </w:r>
      <w:r w:rsidR="00F423E8">
        <w:t>tand-down rates, by ethnicity</w:t>
      </w:r>
      <w:r w:rsidRPr="00197974">
        <w:t>, 2000–201</w:t>
      </w:r>
      <w:bookmarkEnd w:id="226"/>
      <w:r w:rsidRPr="00197974">
        <w:t>2</w:t>
      </w:r>
      <w:bookmarkEnd w:id="227"/>
    </w:p>
    <w:p w:rsidR="00E42E14" w:rsidRPr="009227DE" w:rsidRDefault="00F32AF8" w:rsidP="009901AD">
      <w:pPr>
        <w:rPr>
          <w:noProof/>
          <w:highlight w:val="yellow"/>
          <w:lang w:eastAsia="en-NZ"/>
        </w:rPr>
      </w:pPr>
      <w:r>
        <w:rPr>
          <w:noProof/>
          <w:lang w:val="en-NZ" w:eastAsia="en-NZ"/>
        </w:rPr>
        <w:drawing>
          <wp:inline distT="0" distB="0" distL="0" distR="0">
            <wp:extent cx="5615940" cy="1894205"/>
            <wp:effectExtent l="19050" t="0" r="3810" b="0"/>
            <wp:docPr id="92" name="Picture 91" descr="Line graph showing 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31_HR.png"/>
                    <pic:cNvPicPr/>
                  </pic:nvPicPr>
                  <pic:blipFill>
                    <a:blip r:embed="rId61" cstate="print"/>
                    <a:stretch>
                      <a:fillRect/>
                    </a:stretch>
                  </pic:blipFill>
                  <pic:spPr>
                    <a:xfrm>
                      <a:off x="0" y="0"/>
                      <a:ext cx="5615940" cy="1894205"/>
                    </a:xfrm>
                    <a:prstGeom prst="rect">
                      <a:avLst/>
                    </a:prstGeom>
                  </pic:spPr>
                </pic:pic>
              </a:graphicData>
            </a:graphic>
          </wp:inline>
        </w:drawing>
      </w:r>
    </w:p>
    <w:p w:rsidR="00E42E14" w:rsidRPr="009901AD" w:rsidRDefault="00E42E14" w:rsidP="009901AD">
      <w:pPr>
        <w:pStyle w:val="TableFootnote"/>
        <w:spacing w:after="40"/>
        <w:rPr>
          <w:bCs w:val="0"/>
          <w:szCs w:val="20"/>
          <w:highlight w:val="yellow"/>
        </w:rPr>
      </w:pPr>
    </w:p>
    <w:p w:rsidR="00E42E14" w:rsidRPr="00CF1F50" w:rsidRDefault="00E42E14" w:rsidP="00CF1F50">
      <w:pPr>
        <w:pStyle w:val="Heading4"/>
      </w:pPr>
      <w:r w:rsidRPr="00CF1F50">
        <w:t>Gender differences</w:t>
      </w:r>
    </w:p>
    <w:p w:rsidR="00E42E14" w:rsidRPr="005C3CEB" w:rsidRDefault="00E42E14" w:rsidP="007C70A4">
      <w:pPr>
        <w:pStyle w:val="BodyText"/>
      </w:pPr>
      <w:r w:rsidRPr="005C3CEB">
        <w:t>Over time, male students have consistently received stand-downs far more frequently than female students. In 2012, the age-standardised stand-down rate for males (32.8 per 1,000 students) was 2.4 times higher than the female rate (13.5 per 1,000).</w:t>
      </w:r>
    </w:p>
    <w:p w:rsidR="00E42E14" w:rsidRPr="00CF1F50" w:rsidRDefault="00E42E14" w:rsidP="00CF1F50">
      <w:pPr>
        <w:pStyle w:val="Heading4"/>
      </w:pPr>
      <w:r w:rsidRPr="00CF1F50">
        <w:t>Age differences</w:t>
      </w:r>
    </w:p>
    <w:p w:rsidR="00E42E14" w:rsidRPr="009227DE" w:rsidRDefault="00E42E14" w:rsidP="007C70A4">
      <w:pPr>
        <w:pStyle w:val="BodyText"/>
        <w:rPr>
          <w:highlight w:val="yellow"/>
        </w:rPr>
      </w:pPr>
      <w:r w:rsidRPr="00AA75EF">
        <w:t>The majority of stand-downs occurred for students aged 13 to 15, accounting for 58.6</w:t>
      </w:r>
      <w:r>
        <w:t>% of all stand-downs. The rate</w:t>
      </w:r>
      <w:r w:rsidR="00B37BEC">
        <w:t xml:space="preserve"> was</w:t>
      </w:r>
      <w:r>
        <w:t xml:space="preserve"> highest for age 14</w:t>
      </w:r>
      <w:r w:rsidRPr="00AA75EF">
        <w:t xml:space="preserve"> </w:t>
      </w:r>
      <w:r>
        <w:t>(</w:t>
      </w:r>
      <w:r w:rsidRPr="00AA75EF">
        <w:t xml:space="preserve">66.9 </w:t>
      </w:r>
      <w:r>
        <w:t>stand-downs</w:t>
      </w:r>
      <w:r w:rsidRPr="00AA75EF">
        <w:t xml:space="preserve"> per 1,000</w:t>
      </w:r>
      <w:r>
        <w:t xml:space="preserve"> students)</w:t>
      </w:r>
      <w:r w:rsidR="00B37BEC">
        <w:t>. A</w:t>
      </w:r>
      <w:r w:rsidRPr="00AA75EF">
        <w:t>nalysis is undertaken using age-standardised rates.</w:t>
      </w:r>
    </w:p>
    <w:p w:rsidR="00E42E14" w:rsidRPr="0007590B" w:rsidRDefault="00E42E14" w:rsidP="00E42E14">
      <w:pPr>
        <w:pStyle w:val="FigureHeading"/>
      </w:pPr>
      <w:bookmarkStart w:id="228" w:name="_Toc304214694"/>
      <w:bookmarkStart w:id="229" w:name="_Toc367361609"/>
      <w:r w:rsidRPr="0007590B">
        <w:t>Age-standardi</w:t>
      </w:r>
      <w:r w:rsidR="00F423E8">
        <w:t>sed stand-down rates, by ethnicity</w:t>
      </w:r>
      <w:r w:rsidRPr="0007590B">
        <w:t xml:space="preserve"> and school quintile, 201</w:t>
      </w:r>
      <w:bookmarkEnd w:id="228"/>
      <w:r w:rsidRPr="0007590B">
        <w:t>2</w:t>
      </w:r>
      <w:bookmarkEnd w:id="229"/>
    </w:p>
    <w:p w:rsidR="00E42E14" w:rsidRPr="009227DE" w:rsidRDefault="00FE1B3D" w:rsidP="009901AD">
      <w:pPr>
        <w:rPr>
          <w:highlight w:val="yellow"/>
          <w:lang w:eastAsia="en-NZ"/>
        </w:rPr>
      </w:pPr>
      <w:r>
        <w:rPr>
          <w:noProof/>
          <w:lang w:val="en-NZ" w:eastAsia="en-NZ"/>
        </w:rPr>
        <w:drawing>
          <wp:inline distT="0" distB="0" distL="0" distR="0">
            <wp:extent cx="5615940" cy="1925320"/>
            <wp:effectExtent l="19050" t="0" r="3810" b="0"/>
            <wp:docPr id="10" name="Picture 9" descr="Bar graph showing 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32.png"/>
                    <pic:cNvPicPr/>
                  </pic:nvPicPr>
                  <pic:blipFill>
                    <a:blip r:embed="rId62" cstate="print"/>
                    <a:stretch>
                      <a:fillRect/>
                    </a:stretch>
                  </pic:blipFill>
                  <pic:spPr>
                    <a:xfrm>
                      <a:off x="0" y="0"/>
                      <a:ext cx="5615940" cy="1925320"/>
                    </a:xfrm>
                    <a:prstGeom prst="rect">
                      <a:avLst/>
                    </a:prstGeom>
                  </pic:spPr>
                </pic:pic>
              </a:graphicData>
            </a:graphic>
          </wp:inline>
        </w:drawing>
      </w:r>
    </w:p>
    <w:p w:rsidR="00E42E14" w:rsidRPr="009901AD" w:rsidRDefault="00E42E14" w:rsidP="009901AD">
      <w:pPr>
        <w:pStyle w:val="TableFootnote"/>
        <w:spacing w:after="40"/>
        <w:rPr>
          <w:bCs w:val="0"/>
          <w:szCs w:val="20"/>
          <w:highlight w:val="yellow"/>
        </w:rPr>
      </w:pPr>
    </w:p>
    <w:p w:rsidR="00E42E14" w:rsidRPr="00CF1F50" w:rsidRDefault="00E42E14" w:rsidP="00CF1F50">
      <w:pPr>
        <w:pStyle w:val="Heading4"/>
      </w:pPr>
      <w:r w:rsidRPr="00CF1F50">
        <w:t>Socio-economic differences</w:t>
      </w:r>
    </w:p>
    <w:p w:rsidR="00E42E14" w:rsidRPr="0007590B" w:rsidRDefault="00E42E14" w:rsidP="007C70A4">
      <w:pPr>
        <w:pStyle w:val="BodyText"/>
      </w:pPr>
      <w:r w:rsidRPr="0007590B">
        <w:t xml:space="preserve">Students in schools in the lowest quintile (deciles 1 and 2) are 4.7 times more likely to be stood-down from school than students in the highest quintile (deciles 9 and 10). </w:t>
      </w:r>
    </w:p>
    <w:p w:rsidR="00E42E14" w:rsidRPr="004278C3" w:rsidRDefault="00E42E14" w:rsidP="004278C3">
      <w:pPr>
        <w:pStyle w:val="Heading3"/>
      </w:pPr>
      <w:bookmarkStart w:id="230" w:name="_Toc261938747"/>
      <w:r w:rsidRPr="004278C3">
        <w:t>Suspensions from school</w:t>
      </w:r>
      <w:bookmarkEnd w:id="230"/>
    </w:p>
    <w:p w:rsidR="00E42E14" w:rsidRPr="009227DE" w:rsidRDefault="00E42E14" w:rsidP="007C70A4">
      <w:pPr>
        <w:pStyle w:val="BodyText"/>
        <w:rPr>
          <w:highlight w:val="yellow"/>
        </w:rPr>
      </w:pPr>
      <w:r w:rsidRPr="002F0387">
        <w:t xml:space="preserve">The incidence of suspensions has decreased by 39.7% over the last 13 years, from an age-standardised rate of 7.8 </w:t>
      </w:r>
      <w:r>
        <w:t>suspensions</w:t>
      </w:r>
      <w:r w:rsidRPr="002F0387">
        <w:t xml:space="preserve"> per 1,000</w:t>
      </w:r>
      <w:r>
        <w:t xml:space="preserve"> students</w:t>
      </w:r>
      <w:r w:rsidRPr="002F0387">
        <w:t xml:space="preserve"> in 2000, to 4.7 per 1,000 in 2012. This is the lowest suspension rate in the 13 years of recorded data. </w:t>
      </w:r>
      <w:r w:rsidRPr="00221E86">
        <w:t>There were 3,357 suspension cases in 2012 which were received by 3,061 different students. This equates to 0.4% of the total student population receiving suspensions; 90.9% of these students were suspended only once in 2012.</w:t>
      </w:r>
    </w:p>
    <w:p w:rsidR="00E42E14" w:rsidRPr="008D117D" w:rsidRDefault="00E42E14" w:rsidP="007C70A4">
      <w:pPr>
        <w:pStyle w:val="BodyText"/>
      </w:pPr>
      <w:r w:rsidRPr="008D117D">
        <w:t>In 2012, 17.3% of all state and state-integrated secondary schools did not use suspensions, compared to 85.3% of all primary schools.</w:t>
      </w:r>
    </w:p>
    <w:p w:rsidR="00E42E14" w:rsidRPr="00303BF1" w:rsidRDefault="00E42E14" w:rsidP="00E42E14">
      <w:pPr>
        <w:pStyle w:val="FigureHeading"/>
      </w:pPr>
      <w:bookmarkStart w:id="231" w:name="_Toc304214695"/>
      <w:bookmarkStart w:id="232" w:name="_Toc367361610"/>
      <w:r w:rsidRPr="00303BF1">
        <w:t>Age-standardised s</w:t>
      </w:r>
      <w:r w:rsidR="00084DBC">
        <w:t>uspension rates, by ethnicity</w:t>
      </w:r>
      <w:r w:rsidRPr="00303BF1">
        <w:t>, 2000–201</w:t>
      </w:r>
      <w:bookmarkEnd w:id="231"/>
      <w:r>
        <w:t>2</w:t>
      </w:r>
      <w:bookmarkEnd w:id="232"/>
    </w:p>
    <w:p w:rsidR="00E42E14" w:rsidRPr="009227DE" w:rsidRDefault="00B90E11" w:rsidP="00653C0C">
      <w:pPr>
        <w:pStyle w:val="Figure"/>
        <w:rPr>
          <w:noProof/>
          <w:highlight w:val="yellow"/>
        </w:rPr>
      </w:pPr>
      <w:r>
        <w:rPr>
          <w:noProof/>
          <w:lang w:val="en-NZ"/>
        </w:rPr>
        <w:drawing>
          <wp:inline distT="0" distB="0" distL="0" distR="0">
            <wp:extent cx="5615940" cy="1868170"/>
            <wp:effectExtent l="19050" t="0" r="3810" b="0"/>
            <wp:docPr id="93" name="Picture 92" descr="Line graph showing 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33_HR.png"/>
                    <pic:cNvPicPr/>
                  </pic:nvPicPr>
                  <pic:blipFill>
                    <a:blip r:embed="rId63" cstate="print"/>
                    <a:stretch>
                      <a:fillRect/>
                    </a:stretch>
                  </pic:blipFill>
                  <pic:spPr>
                    <a:xfrm>
                      <a:off x="0" y="0"/>
                      <a:ext cx="5615940" cy="1868170"/>
                    </a:xfrm>
                    <a:prstGeom prst="rect">
                      <a:avLst/>
                    </a:prstGeom>
                  </pic:spPr>
                </pic:pic>
              </a:graphicData>
            </a:graphic>
          </wp:inline>
        </w:drawing>
      </w:r>
    </w:p>
    <w:p w:rsidR="00E42E14" w:rsidRPr="009901AD" w:rsidRDefault="00E42E14" w:rsidP="009901AD">
      <w:pPr>
        <w:pStyle w:val="TableFootnote"/>
        <w:spacing w:after="40"/>
        <w:rPr>
          <w:bCs w:val="0"/>
          <w:szCs w:val="20"/>
          <w:highlight w:val="yellow"/>
        </w:rPr>
      </w:pPr>
    </w:p>
    <w:p w:rsidR="00E42E14" w:rsidRPr="00CF1F50" w:rsidRDefault="00E42E14" w:rsidP="00CF1F50">
      <w:pPr>
        <w:pStyle w:val="Heading4"/>
      </w:pPr>
      <w:r w:rsidRPr="00CF1F50">
        <w:t>Ethnic group differences</w:t>
      </w:r>
    </w:p>
    <w:p w:rsidR="00E42E14" w:rsidRDefault="00E42E14" w:rsidP="007C70A4">
      <w:pPr>
        <w:pStyle w:val="BodyText"/>
      </w:pPr>
      <w:r w:rsidRPr="00797EA5">
        <w:t>Schools are suspending more M</w:t>
      </w:r>
      <w:r w:rsidRPr="00797EA5">
        <w:rPr>
          <w:rFonts w:hint="eastAsia"/>
        </w:rPr>
        <w:t>ā</w:t>
      </w:r>
      <w:r w:rsidRPr="00797EA5">
        <w:t>ori students than students from any other ethnic group. In 2012, the age-standardised suspension rate for M</w:t>
      </w:r>
      <w:r w:rsidRPr="00797EA5">
        <w:rPr>
          <w:rFonts w:hint="eastAsia"/>
        </w:rPr>
        <w:t>ā</w:t>
      </w:r>
      <w:r w:rsidRPr="00797EA5">
        <w:t>ori students (10.5 suspensions per 1,000) was over twice as high as for Pasifika students (4.4 per 1,000) and 3.5 times as high as for Pākehā/European students (3.0 per 1,000). However, the suspension rates for Māori are decreasing (from 19.0 per 1,000 in 2000, to 10.5 in 2012). The suspension rate for Asian students (0.7 per 1,000) remains the lowest in New Zealand.</w:t>
      </w:r>
    </w:p>
    <w:p w:rsidR="00E42E14" w:rsidRPr="00987D50" w:rsidRDefault="00E42E14" w:rsidP="007C70A4">
      <w:pPr>
        <w:pStyle w:val="BodyText"/>
      </w:pPr>
      <w:r>
        <w:t xml:space="preserve">The </w:t>
      </w:r>
      <w:r w:rsidRPr="007C70A4">
        <w:rPr>
          <w:i/>
          <w:iCs/>
        </w:rPr>
        <w:t>Pasifika Education Plan 2013</w:t>
      </w:r>
      <w:r w:rsidR="00C54418">
        <w:rPr>
          <w:rFonts w:cs="Arial"/>
          <w:i/>
          <w:iCs/>
        </w:rPr>
        <w:t>–</w:t>
      </w:r>
      <w:r w:rsidRPr="007C70A4">
        <w:rPr>
          <w:i/>
          <w:iCs/>
        </w:rPr>
        <w:t xml:space="preserve">2017 </w:t>
      </w:r>
      <w:r>
        <w:t>has set a target to reduce the rate of Pasifika suspensions from 5.4 suspensions per 1,000 in 2011 to 3.6 per 1,000 in 2017. Progress was made towards this target in 2012, with the rate of suspensions for Pasifika students reducing by 1.0 percentage points, from 5.4 per 1,000 in 2011, to 4.4 per 1,000 in 2012. This represented the greatest proportional reduction in suspension rate for a single ethnic group in 2012 (17.8%).</w:t>
      </w:r>
    </w:p>
    <w:p w:rsidR="00E42E14" w:rsidRPr="00D73D61" w:rsidRDefault="00E42E14" w:rsidP="00E42E14">
      <w:pPr>
        <w:pStyle w:val="FigureHeading"/>
      </w:pPr>
      <w:bookmarkStart w:id="233" w:name="_Toc304214696"/>
      <w:bookmarkStart w:id="234" w:name="_Toc367361611"/>
      <w:r w:rsidRPr="00D73D61">
        <w:t>Age-standardised suspension rates,</w:t>
      </w:r>
      <w:r w:rsidR="00084DBC">
        <w:t xml:space="preserve"> by ethnicity</w:t>
      </w:r>
      <w:r w:rsidRPr="00D73D61">
        <w:t xml:space="preserve"> and school quintile, 201</w:t>
      </w:r>
      <w:bookmarkEnd w:id="233"/>
      <w:r w:rsidRPr="00D73D61">
        <w:t>2</w:t>
      </w:r>
      <w:bookmarkEnd w:id="234"/>
    </w:p>
    <w:p w:rsidR="00E42E14" w:rsidRPr="009227DE" w:rsidRDefault="00B90E11" w:rsidP="00FE1B3D">
      <w:pPr>
        <w:pStyle w:val="Figure"/>
        <w:rPr>
          <w:noProof/>
          <w:highlight w:val="yellow"/>
        </w:rPr>
      </w:pPr>
      <w:r>
        <w:rPr>
          <w:noProof/>
          <w:lang w:val="en-NZ"/>
        </w:rPr>
        <w:drawing>
          <wp:inline distT="0" distB="0" distL="0" distR="0">
            <wp:extent cx="5615940" cy="1936750"/>
            <wp:effectExtent l="19050" t="0" r="3810" b="0"/>
            <wp:docPr id="94" name="Picture 93" descr="Bar graph showing 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34_HR.png"/>
                    <pic:cNvPicPr/>
                  </pic:nvPicPr>
                  <pic:blipFill>
                    <a:blip r:embed="rId64" cstate="print"/>
                    <a:stretch>
                      <a:fillRect/>
                    </a:stretch>
                  </pic:blipFill>
                  <pic:spPr>
                    <a:xfrm>
                      <a:off x="0" y="0"/>
                      <a:ext cx="5615940" cy="1936750"/>
                    </a:xfrm>
                    <a:prstGeom prst="rect">
                      <a:avLst/>
                    </a:prstGeom>
                  </pic:spPr>
                </pic:pic>
              </a:graphicData>
            </a:graphic>
          </wp:inline>
        </w:drawing>
      </w:r>
    </w:p>
    <w:p w:rsidR="00E42E14" w:rsidRPr="009901AD" w:rsidRDefault="00E42E14" w:rsidP="009901AD">
      <w:pPr>
        <w:pStyle w:val="TableFootnote"/>
        <w:spacing w:after="40"/>
        <w:rPr>
          <w:bCs w:val="0"/>
          <w:szCs w:val="20"/>
          <w:highlight w:val="yellow"/>
        </w:rPr>
      </w:pPr>
    </w:p>
    <w:p w:rsidR="00E42E14" w:rsidRPr="00CF1F50" w:rsidRDefault="00E42E14" w:rsidP="00CF1F50">
      <w:pPr>
        <w:pStyle w:val="Heading4"/>
      </w:pPr>
      <w:r w:rsidRPr="00CF1F50">
        <w:t>Gender differences</w:t>
      </w:r>
    </w:p>
    <w:p w:rsidR="00E42E14" w:rsidRPr="00035CAD" w:rsidRDefault="00E42E14" w:rsidP="007C70A4">
      <w:pPr>
        <w:pStyle w:val="BodyText"/>
      </w:pPr>
      <w:r w:rsidRPr="00035CAD">
        <w:t xml:space="preserve">Males receive suspensions far more frequently than females. In 2012, the male age-standardised suspension rate </w:t>
      </w:r>
      <w:r>
        <w:t xml:space="preserve">(6.7 per 1,000) </w:t>
      </w:r>
      <w:r w:rsidRPr="00035CAD">
        <w:t>was 2.5 times that of females</w:t>
      </w:r>
      <w:r>
        <w:t xml:space="preserve"> (2.6 per 1,000)</w:t>
      </w:r>
      <w:r w:rsidRPr="00035CAD">
        <w:t>. This pattern is similar to the relationship seen for stand-downs.</w:t>
      </w:r>
    </w:p>
    <w:p w:rsidR="00E42E14" w:rsidRPr="00CF1F50" w:rsidRDefault="00E42E14" w:rsidP="00CF1F50">
      <w:pPr>
        <w:pStyle w:val="Heading4"/>
      </w:pPr>
      <w:r w:rsidRPr="00CF1F50">
        <w:t>Age differences</w:t>
      </w:r>
    </w:p>
    <w:p w:rsidR="00E42E14" w:rsidRPr="00035CAD" w:rsidRDefault="00E42E14" w:rsidP="007C70A4">
      <w:pPr>
        <w:pStyle w:val="BodyText"/>
      </w:pPr>
      <w:r w:rsidRPr="00035CAD">
        <w:t>The majority of suspensions occurred for students aged 13 to 15, accounting for 67.4% of all suspensions. The rate was highest for students aged 14 (16.7 suspensions per 1,000 in 2012).</w:t>
      </w:r>
    </w:p>
    <w:p w:rsidR="00E42E14" w:rsidRPr="00CF1F50" w:rsidRDefault="00E42E14" w:rsidP="00CF1F50">
      <w:pPr>
        <w:pStyle w:val="Heading4"/>
      </w:pPr>
      <w:r w:rsidRPr="00CF1F50">
        <w:t>Socio-economic differences</w:t>
      </w:r>
    </w:p>
    <w:p w:rsidR="00E42E14" w:rsidRPr="006B15C3" w:rsidRDefault="00E42E14" w:rsidP="007C70A4">
      <w:pPr>
        <w:pStyle w:val="BodyText"/>
      </w:pPr>
      <w:r w:rsidRPr="00F773F8">
        <w:t>Students from schools in quintile 1 (deciles 1 and 2) are 5.3 times more likely to be su</w:t>
      </w:r>
      <w:r w:rsidR="00046FDE">
        <w:t>spended from school than student</w:t>
      </w:r>
      <w:r w:rsidRPr="00F773F8">
        <w:t xml:space="preserve">s in the highest quintile (deciles 9 and </w:t>
      </w:r>
      <w:r w:rsidRPr="006B15C3">
        <w:t>10). When considering age-standardised suspension rates by quintile, the general pattern for the different ethnic groups largely remains. Age-standardised suspension rates are highest for Māori and Pasifika in each quintil</w:t>
      </w:r>
      <w:r w:rsidR="00046FDE">
        <w:t>e, except in quintile 1 schools</w:t>
      </w:r>
      <w:r w:rsidRPr="006B15C3">
        <w:t xml:space="preserve"> where the Pākehā/European rate</w:t>
      </w:r>
      <w:r>
        <w:t xml:space="preserve"> (8.7 suspensions per 1,000)</w:t>
      </w:r>
      <w:r w:rsidRPr="006B15C3">
        <w:t xml:space="preserve"> is higher than that of Pasifika students</w:t>
      </w:r>
      <w:r>
        <w:t xml:space="preserve"> (3.9 per 1,000)</w:t>
      </w:r>
      <w:r w:rsidRPr="006B15C3">
        <w:t>. This is similar to the relationship seen for stand-downs.</w:t>
      </w:r>
    </w:p>
    <w:p w:rsidR="00E42E14" w:rsidRPr="006B15C3" w:rsidRDefault="00E42E14" w:rsidP="00571CBB">
      <w:pPr>
        <w:pStyle w:val="Heading-Wheretofindmore"/>
      </w:pPr>
      <w:r w:rsidRPr="006B15C3">
        <w:t>Where to find out more</w:t>
      </w:r>
    </w:p>
    <w:p w:rsidR="00E42E14" w:rsidRPr="009227DE" w:rsidRDefault="00B01FBF" w:rsidP="00FE1B3D">
      <w:pPr>
        <w:pStyle w:val="Figure"/>
        <w:rPr>
          <w:highlight w:val="yellow"/>
        </w:rPr>
      </w:pPr>
      <w:r>
        <w:rPr>
          <w:noProof/>
          <w:lang w:val="en-NZ"/>
        </w:rPr>
        <w:drawing>
          <wp:inline distT="0" distB="0" distL="0" distR="0">
            <wp:extent cx="5613952" cy="920420"/>
            <wp:effectExtent l="19050" t="0" r="5798" b="0"/>
            <wp:docPr id="26" name="Picture 25" descr="Find out more - Chapter 5_stand-downs, suspensions and exclu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out more - Chapter 5_stand-downs, suspensions and exclusions.png"/>
                    <pic:cNvPicPr/>
                  </pic:nvPicPr>
                  <pic:blipFill>
                    <a:blip r:embed="rId65" cstate="print"/>
                    <a:stretch>
                      <a:fillRect/>
                    </a:stretch>
                  </pic:blipFill>
                  <pic:spPr>
                    <a:xfrm>
                      <a:off x="0" y="0"/>
                      <a:ext cx="5613952" cy="920420"/>
                    </a:xfrm>
                    <a:prstGeom prst="rect">
                      <a:avLst/>
                    </a:prstGeom>
                  </pic:spPr>
                </pic:pic>
              </a:graphicData>
            </a:graphic>
          </wp:inline>
        </w:drawing>
      </w:r>
    </w:p>
    <w:p w:rsidR="00E42E14" w:rsidRPr="009227DE" w:rsidRDefault="00E42E14" w:rsidP="007C70A4">
      <w:pPr>
        <w:pStyle w:val="BodyText"/>
        <w:rPr>
          <w:highlight w:val="yellow"/>
        </w:rPr>
      </w:pPr>
    </w:p>
    <w:p w:rsidR="00EE6D05" w:rsidRPr="0060013A" w:rsidRDefault="00EE6D05" w:rsidP="0027731F">
      <w:pPr>
        <w:pStyle w:val="BodyText"/>
        <w:rPr>
          <w:highlight w:val="yellow"/>
        </w:rPr>
        <w:sectPr w:rsidR="00EE6D05" w:rsidRPr="0060013A" w:rsidSect="00DB56D0">
          <w:headerReference w:type="even" r:id="rId66"/>
          <w:headerReference w:type="default" r:id="rId67"/>
          <w:pgSz w:w="11906" w:h="16838"/>
          <w:pgMar w:top="1701" w:right="1361" w:bottom="1134" w:left="1701" w:header="709" w:footer="709" w:gutter="0"/>
          <w:cols w:space="567"/>
          <w:docGrid w:linePitch="360"/>
        </w:sectPr>
      </w:pPr>
    </w:p>
    <w:p w:rsidR="004212E7" w:rsidRPr="00AB4C33" w:rsidRDefault="004212E7" w:rsidP="008662DE">
      <w:pPr>
        <w:pStyle w:val="Heading1"/>
      </w:pPr>
      <w:bookmarkStart w:id="235" w:name="_Toc300319682"/>
      <w:bookmarkStart w:id="236" w:name="_Toc303511378"/>
      <w:bookmarkStart w:id="237" w:name="_Toc367361653"/>
      <w:bookmarkStart w:id="238" w:name="_Toc289074841"/>
      <w:bookmarkStart w:id="239" w:name="_Toc289088763"/>
      <w:bookmarkStart w:id="240" w:name="_Toc300319690"/>
      <w:bookmarkEnd w:id="148"/>
      <w:r w:rsidRPr="00AB4C33">
        <w:t>Chapter 6: Quality teaching and education providers</w:t>
      </w:r>
      <w:bookmarkEnd w:id="235"/>
      <w:bookmarkEnd w:id="236"/>
      <w:bookmarkEnd w:id="237"/>
    </w:p>
    <w:p w:rsidR="004212E7" w:rsidRPr="00AB4C33" w:rsidRDefault="004212E7" w:rsidP="007C70A4">
      <w:pPr>
        <w:pStyle w:val="BodyText"/>
      </w:pPr>
      <w:r w:rsidRPr="00AB4C33">
        <w:t xml:space="preserve">Quality teaching results from a combination of the effectiveness of study for teaching qualifications, the school culture around effective teaching and student achievement, inquiry and ongoing learning, and in-service </w:t>
      </w:r>
      <w:r w:rsidRPr="00AB4C33" w:rsidDel="00395227">
        <w:t>p</w:t>
      </w:r>
      <w:r w:rsidRPr="00AB4C33">
        <w:t xml:space="preserve">rofessional </w:t>
      </w:r>
      <w:r w:rsidRPr="00AB4C33" w:rsidDel="00395227">
        <w:t>l</w:t>
      </w:r>
      <w:r w:rsidRPr="00AB4C33">
        <w:t>earning and development (PLD).</w:t>
      </w:r>
    </w:p>
    <w:p w:rsidR="004212E7" w:rsidRPr="00AB4C33" w:rsidRDefault="004212E7" w:rsidP="008662DE">
      <w:pPr>
        <w:pStyle w:val="Heading2"/>
      </w:pPr>
      <w:bookmarkStart w:id="241" w:name="_Toc303511379"/>
      <w:bookmarkStart w:id="242" w:name="_Toc367361654"/>
      <w:r w:rsidRPr="00AB4C33">
        <w:t>Teachers</w:t>
      </w:r>
      <w:bookmarkEnd w:id="241"/>
      <w:bookmarkEnd w:id="242"/>
    </w:p>
    <w:p w:rsidR="004212E7" w:rsidRPr="00AB4C33" w:rsidRDefault="004212E7" w:rsidP="007C70A4">
      <w:pPr>
        <w:pStyle w:val="BodyText"/>
      </w:pPr>
      <w:r w:rsidRPr="00AB4C33">
        <w:t xml:space="preserve">The ratio of teachers to students in state schools has grown since 2000. The number of full-time teacher equivalents (FTTEs) increased by </w:t>
      </w:r>
      <w:r w:rsidR="00F0676E">
        <w:t xml:space="preserve">four per cent </w:t>
      </w:r>
      <w:r w:rsidRPr="00AB4C33">
        <w:t xml:space="preserve">between 2006 and 2012. Teachers’ influence on students’ learning success is moderated by a number of factors, such as students’ prior learning, but it is clear that </w:t>
      </w:r>
      <w:r w:rsidRPr="007C70A4">
        <w:rPr>
          <w:i/>
          <w:iCs/>
        </w:rPr>
        <w:t>within schools</w:t>
      </w:r>
      <w:r w:rsidRPr="00AB4C33">
        <w:t xml:space="preserve"> teaching has the greatest influence on achievement (Alton-Lee, 2003; Benseman, Sutton, &amp; Lander, 2005; May, Hill, &amp; Tiakiwai, 2004; Wylie, Thompson, &amp; Lythe, 2004). </w:t>
      </w:r>
    </w:p>
    <w:p w:rsidR="004212E7" w:rsidRPr="004278C3" w:rsidRDefault="004212E7" w:rsidP="004278C3">
      <w:pPr>
        <w:pStyle w:val="Heading3"/>
      </w:pPr>
      <w:bookmarkStart w:id="243" w:name="_Toc300319683"/>
      <w:r w:rsidRPr="004278C3">
        <w:t>Number of teachers</w:t>
      </w:r>
      <w:bookmarkEnd w:id="243"/>
    </w:p>
    <w:p w:rsidR="004212E7" w:rsidRPr="00AB4C33" w:rsidRDefault="004212E7" w:rsidP="007C70A4">
      <w:pPr>
        <w:pStyle w:val="BodyText"/>
        <w:rPr>
          <w:highlight w:val="yellow"/>
        </w:rPr>
      </w:pPr>
      <w:r w:rsidRPr="00AB4C33">
        <w:t xml:space="preserve">Funding for teacher places in state and state-integrated schools is largely determined by the number of students and the year level of those students. In 2012, there were 47,293 FTTEs in state and state-integrated schools. Just over half of these positions (52%; 24,698) were in primary schools, 40% (18,864) in secondary, with </w:t>
      </w:r>
      <w:r w:rsidR="00F0676E">
        <w:t xml:space="preserve">six per cent </w:t>
      </w:r>
      <w:r w:rsidRPr="00AB4C33">
        <w:t xml:space="preserve">(2,672) in composite schools and 2% (1,060) in special schools. Since 2006, the growth in secondary schools (2%; from 18,471 to 18,864) has been lower than in primary (4%; from 23,738 to 24,698) and composite schools (19%; </w:t>
      </w:r>
      <w:r w:rsidR="005B0603">
        <w:t xml:space="preserve">from </w:t>
      </w:r>
      <w:r w:rsidRPr="00AB4C33">
        <w:t>2,253 to 2,672).</w:t>
      </w:r>
    </w:p>
    <w:p w:rsidR="004212E7" w:rsidRPr="00AB4C33" w:rsidRDefault="004212E7" w:rsidP="007C70A4">
      <w:pPr>
        <w:pStyle w:val="BodyText"/>
        <w:rPr>
          <w:highlight w:val="yellow"/>
        </w:rPr>
      </w:pPr>
      <w:r w:rsidRPr="00AB4C33">
        <w:t>The majority of the teaching workforce are women. In 2012, 71% (33,692 of 47,493) of teachers were women (up from 31,891 or 70% in 2006). In primary schools, the percentage of female teachers has grown since 2006 from 81% to 82% (20,194 of 24,698), and in secondary schools the percentage of female teachers has grown since 2006 from 56% to 57% (10,819 of 18,864).</w:t>
      </w:r>
    </w:p>
    <w:p w:rsidR="004212E7" w:rsidRPr="004278C3" w:rsidRDefault="004212E7" w:rsidP="004278C3">
      <w:pPr>
        <w:pStyle w:val="Heading3"/>
      </w:pPr>
      <w:r w:rsidRPr="004278C3">
        <w:t>Teacher losses</w:t>
      </w:r>
    </w:p>
    <w:p w:rsidR="004212E7" w:rsidRPr="00AB4C33" w:rsidRDefault="004212E7" w:rsidP="007C70A4">
      <w:pPr>
        <w:pStyle w:val="BodyText"/>
      </w:pPr>
      <w:r w:rsidRPr="00AB4C33">
        <w:t xml:space="preserve">Teacher losses, for statistical purposes, refer to all permanent teachers who have left the teaching profession, or who are on leave without pay. For the purposes of this report, a teacher is considered </w:t>
      </w:r>
      <w:r w:rsidR="005B0603">
        <w:t>‘</w:t>
      </w:r>
      <w:r w:rsidRPr="00AB4C33">
        <w:t>lost</w:t>
      </w:r>
      <w:r w:rsidR="005B0603">
        <w:t>’</w:t>
      </w:r>
      <w:r w:rsidRPr="00AB4C33">
        <w:t xml:space="preserve"> if they were teaching in May of one year but are not teaching in May the following year</w:t>
      </w:r>
      <w:r w:rsidRPr="00AB4C33">
        <w:rPr>
          <w:vertAlign w:val="superscript"/>
        </w:rPr>
        <w:footnoteReference w:id="28"/>
      </w:r>
      <w:r w:rsidRPr="00AB4C33">
        <w:t xml:space="preserve">. Of the 42,043 permanent teachers in May 2011 in state and state-integrated schools, 3,840 were not teaching in May 2012, giving a loss rate of </w:t>
      </w:r>
      <w:r w:rsidR="00EF4FB7">
        <w:t>nine per cent</w:t>
      </w:r>
      <w:r w:rsidRPr="00AB4C33">
        <w:t xml:space="preserve">. </w:t>
      </w:r>
    </w:p>
    <w:p w:rsidR="004212E7" w:rsidRPr="00A1756E" w:rsidRDefault="004212E7" w:rsidP="004212E7">
      <w:pPr>
        <w:pStyle w:val="TableHeading"/>
      </w:pPr>
      <w:r w:rsidRPr="00AB4C33">
        <w:t xml:space="preserve"> </w:t>
      </w:r>
      <w:bookmarkStart w:id="244" w:name="_Toc304217628"/>
      <w:bookmarkStart w:id="245" w:name="_Toc304449807"/>
      <w:bookmarkStart w:id="246" w:name="_Toc367361577"/>
      <w:r w:rsidRPr="00A1756E">
        <w:t>Teacher loss rates, by school type, May 2007/08 to May 2011/1</w:t>
      </w:r>
      <w:bookmarkEnd w:id="244"/>
      <w:bookmarkEnd w:id="245"/>
      <w:r w:rsidRPr="00A1756E">
        <w:t>2</w:t>
      </w:r>
      <w:bookmarkEnd w:id="246"/>
      <w:r w:rsidRPr="00A1756E">
        <w:t xml:space="preserve"> </w:t>
      </w:r>
    </w:p>
    <w:tbl>
      <w:tblPr>
        <w:tblW w:w="9072"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ayout w:type="fixed"/>
        <w:tblLook w:val="0000"/>
      </w:tblPr>
      <w:tblGrid>
        <w:gridCol w:w="2268"/>
        <w:gridCol w:w="2268"/>
        <w:gridCol w:w="2268"/>
        <w:gridCol w:w="2268"/>
      </w:tblGrid>
      <w:tr w:rsidR="004212E7" w:rsidRPr="00A1756E" w:rsidTr="009901AD">
        <w:trPr>
          <w:trHeight w:val="225"/>
        </w:trPr>
        <w:tc>
          <w:tcPr>
            <w:tcW w:w="2268" w:type="dxa"/>
            <w:tcBorders>
              <w:bottom w:val="single" w:sz="4" w:space="0" w:color="FFFFFF"/>
            </w:tcBorders>
            <w:shd w:val="clear" w:color="auto" w:fill="DBE2D1"/>
            <w:noWrap/>
            <w:vAlign w:val="bottom"/>
          </w:tcPr>
          <w:p w:rsidR="004212E7" w:rsidRPr="00A1756E" w:rsidRDefault="004212E7" w:rsidP="00DC392D">
            <w:pPr>
              <w:pStyle w:val="TableText"/>
              <w:jc w:val="center"/>
              <w:rPr>
                <w:b/>
              </w:rPr>
            </w:pPr>
            <w:r w:rsidRPr="00A1756E">
              <w:rPr>
                <w:b/>
              </w:rPr>
              <w:t> </w:t>
            </w:r>
          </w:p>
        </w:tc>
        <w:tc>
          <w:tcPr>
            <w:tcW w:w="2268" w:type="dxa"/>
            <w:tcBorders>
              <w:bottom w:val="single" w:sz="4" w:space="0" w:color="FFFFFF"/>
            </w:tcBorders>
            <w:shd w:val="clear" w:color="auto" w:fill="DBE2D1"/>
            <w:noWrap/>
            <w:vAlign w:val="bottom"/>
          </w:tcPr>
          <w:p w:rsidR="004212E7" w:rsidRPr="00A1756E" w:rsidRDefault="004212E7" w:rsidP="00DC392D">
            <w:pPr>
              <w:pStyle w:val="TableText"/>
              <w:jc w:val="center"/>
              <w:rPr>
                <w:b/>
              </w:rPr>
            </w:pPr>
            <w:r w:rsidRPr="00A1756E">
              <w:rPr>
                <w:b/>
              </w:rPr>
              <w:t>Primary</w:t>
            </w:r>
          </w:p>
        </w:tc>
        <w:tc>
          <w:tcPr>
            <w:tcW w:w="2268" w:type="dxa"/>
            <w:tcBorders>
              <w:bottom w:val="single" w:sz="4" w:space="0" w:color="FFFFFF"/>
            </w:tcBorders>
            <w:shd w:val="clear" w:color="auto" w:fill="DBE2D1"/>
            <w:noWrap/>
            <w:vAlign w:val="bottom"/>
          </w:tcPr>
          <w:p w:rsidR="004212E7" w:rsidRPr="00A1756E" w:rsidRDefault="004212E7" w:rsidP="00DC392D">
            <w:pPr>
              <w:pStyle w:val="TableText"/>
              <w:jc w:val="center"/>
              <w:rPr>
                <w:b/>
              </w:rPr>
            </w:pPr>
            <w:r w:rsidRPr="00A1756E">
              <w:rPr>
                <w:b/>
              </w:rPr>
              <w:t>Secondary</w:t>
            </w:r>
          </w:p>
        </w:tc>
        <w:tc>
          <w:tcPr>
            <w:tcW w:w="2268" w:type="dxa"/>
            <w:tcBorders>
              <w:bottom w:val="single" w:sz="4" w:space="0" w:color="FFFFFF"/>
            </w:tcBorders>
            <w:shd w:val="clear" w:color="auto" w:fill="DBE2D1"/>
            <w:noWrap/>
            <w:vAlign w:val="bottom"/>
          </w:tcPr>
          <w:p w:rsidR="004212E7" w:rsidRPr="004278C3" w:rsidRDefault="004212E7" w:rsidP="004278C3">
            <w:pPr>
              <w:pStyle w:val="TableText"/>
              <w:jc w:val="center"/>
              <w:rPr>
                <w:b/>
              </w:rPr>
            </w:pPr>
            <w:r w:rsidRPr="004278C3">
              <w:rPr>
                <w:b/>
              </w:rPr>
              <w:t>Total</w:t>
            </w:r>
          </w:p>
        </w:tc>
      </w:tr>
      <w:tr w:rsidR="004212E7" w:rsidRPr="00A1756E" w:rsidTr="009901AD">
        <w:trPr>
          <w:trHeight w:val="225"/>
        </w:trPr>
        <w:tc>
          <w:tcPr>
            <w:tcW w:w="2268" w:type="dxa"/>
            <w:shd w:val="clear" w:color="auto" w:fill="EDF0E7"/>
            <w:noWrap/>
            <w:vAlign w:val="bottom"/>
          </w:tcPr>
          <w:p w:rsidR="004212E7" w:rsidRPr="00A1756E" w:rsidRDefault="004212E7" w:rsidP="00DC392D">
            <w:pPr>
              <w:pStyle w:val="TableText"/>
            </w:pPr>
            <w:r w:rsidRPr="00A1756E">
              <w:t>2007/08</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11.3%</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10.2%</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10.8%</w:t>
            </w:r>
          </w:p>
        </w:tc>
      </w:tr>
      <w:tr w:rsidR="004212E7" w:rsidRPr="00A1756E" w:rsidTr="009901AD">
        <w:trPr>
          <w:trHeight w:val="225"/>
        </w:trPr>
        <w:tc>
          <w:tcPr>
            <w:tcW w:w="2268" w:type="dxa"/>
            <w:shd w:val="clear" w:color="auto" w:fill="EDF0E7"/>
            <w:noWrap/>
            <w:vAlign w:val="bottom"/>
          </w:tcPr>
          <w:p w:rsidR="004212E7" w:rsidRPr="00A1756E" w:rsidRDefault="004212E7" w:rsidP="00DC392D">
            <w:pPr>
              <w:pStyle w:val="TableText"/>
            </w:pPr>
            <w:r w:rsidRPr="00A1756E">
              <w:t>2008/09</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9.3%</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9.8%</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9.5%</w:t>
            </w:r>
          </w:p>
        </w:tc>
      </w:tr>
      <w:tr w:rsidR="004212E7" w:rsidRPr="00A1756E" w:rsidTr="009901AD">
        <w:trPr>
          <w:trHeight w:val="225"/>
        </w:trPr>
        <w:tc>
          <w:tcPr>
            <w:tcW w:w="2268" w:type="dxa"/>
            <w:shd w:val="clear" w:color="auto" w:fill="EDF0E7"/>
            <w:noWrap/>
            <w:vAlign w:val="bottom"/>
          </w:tcPr>
          <w:p w:rsidR="004212E7" w:rsidRPr="00A1756E" w:rsidRDefault="004212E7" w:rsidP="00DC392D">
            <w:pPr>
              <w:pStyle w:val="TableText"/>
            </w:pPr>
            <w:r w:rsidRPr="00A1756E">
              <w:t>2009/10</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8.6%</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8.2%</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8.4%</w:t>
            </w:r>
          </w:p>
        </w:tc>
      </w:tr>
      <w:tr w:rsidR="004212E7" w:rsidRPr="00A1756E" w:rsidTr="009901AD">
        <w:trPr>
          <w:trHeight w:val="225"/>
        </w:trPr>
        <w:tc>
          <w:tcPr>
            <w:tcW w:w="2268" w:type="dxa"/>
            <w:shd w:val="clear" w:color="auto" w:fill="EDF0E7"/>
            <w:noWrap/>
            <w:vAlign w:val="bottom"/>
          </w:tcPr>
          <w:p w:rsidR="004212E7" w:rsidRPr="00A1756E" w:rsidRDefault="004212E7" w:rsidP="00DC392D">
            <w:pPr>
              <w:pStyle w:val="TableText"/>
            </w:pPr>
            <w:r w:rsidRPr="00A1756E">
              <w:t>2010/11</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9.6%</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8.9%</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9.2%</w:t>
            </w:r>
          </w:p>
        </w:tc>
      </w:tr>
      <w:tr w:rsidR="004212E7" w:rsidRPr="00A1756E" w:rsidTr="009901AD">
        <w:trPr>
          <w:trHeight w:val="225"/>
        </w:trPr>
        <w:tc>
          <w:tcPr>
            <w:tcW w:w="2268" w:type="dxa"/>
            <w:shd w:val="clear" w:color="auto" w:fill="EDF0E7"/>
            <w:noWrap/>
            <w:vAlign w:val="bottom"/>
          </w:tcPr>
          <w:p w:rsidR="004212E7" w:rsidRPr="00A1756E" w:rsidRDefault="004212E7" w:rsidP="00DC392D">
            <w:pPr>
              <w:pStyle w:val="TableText"/>
            </w:pPr>
            <w:r w:rsidRPr="00A1756E">
              <w:t>2011/12</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9.3%</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8.5%</w:t>
            </w:r>
          </w:p>
        </w:tc>
        <w:tc>
          <w:tcPr>
            <w:tcW w:w="2268" w:type="dxa"/>
            <w:shd w:val="clear" w:color="auto" w:fill="EDF0E7"/>
            <w:noWrap/>
            <w:vAlign w:val="bottom"/>
          </w:tcPr>
          <w:p w:rsidR="004212E7" w:rsidRPr="00A1756E" w:rsidRDefault="004212E7" w:rsidP="00DC392D">
            <w:pPr>
              <w:pStyle w:val="TableText"/>
              <w:ind w:right="851"/>
              <w:jc w:val="right"/>
              <w:rPr>
                <w:bCs w:val="0"/>
              </w:rPr>
            </w:pPr>
            <w:r w:rsidRPr="00A1756E">
              <w:rPr>
                <w:bCs w:val="0"/>
              </w:rPr>
              <w:t>9.1%</w:t>
            </w:r>
          </w:p>
        </w:tc>
      </w:tr>
    </w:tbl>
    <w:p w:rsidR="004212E7" w:rsidRPr="004278C3" w:rsidRDefault="00571CBB" w:rsidP="004278C3">
      <w:pPr>
        <w:pStyle w:val="TableFootnote"/>
      </w:pPr>
      <w:r w:rsidRPr="004278C3">
        <w:rPr>
          <w:b/>
        </w:rPr>
        <w:t>Note:</w:t>
      </w:r>
      <w:r w:rsidR="009901AD">
        <w:rPr>
          <w:b/>
        </w:rPr>
        <w:br/>
      </w:r>
      <w:r w:rsidR="004212E7" w:rsidRPr="004278C3">
        <w:t>Composite, special, and correspondence schools are included in the total, but are not included under primary or secondary.</w:t>
      </w:r>
    </w:p>
    <w:p w:rsidR="004212E7" w:rsidRPr="00AB4C33" w:rsidRDefault="004212E7" w:rsidP="004278C3">
      <w:pPr>
        <w:pStyle w:val="Heading3"/>
      </w:pPr>
      <w:r w:rsidRPr="00AB4C33">
        <w:t>Beginning teachers</w:t>
      </w:r>
    </w:p>
    <w:p w:rsidR="004212E7" w:rsidRPr="00AB4C33" w:rsidRDefault="004212E7" w:rsidP="007C70A4">
      <w:pPr>
        <w:pStyle w:val="BodyText"/>
        <w:rPr>
          <w:highlight w:val="yellow"/>
        </w:rPr>
      </w:pPr>
      <w:r w:rsidRPr="00AB4C33">
        <w:t>The number of new teachers in schools depends on the demand for teachers, the number of teacher education graduates available, and a school’s preference for, or need for, more experienced teachers. The first few years of teaching are critical to developing newly qualified teachers into effective teachers and to retaining them in the teaching profession. Assista</w:t>
      </w:r>
      <w:r>
        <w:t>nce for new teachers, including in particular</w:t>
      </w:r>
      <w:r w:rsidRPr="00AB4C33">
        <w:t xml:space="preserve"> mentoring programmes, has a positive impact on teachers and their retention (Ingersoll &amp; Kralik, 2004). </w:t>
      </w:r>
    </w:p>
    <w:p w:rsidR="004212E7" w:rsidRPr="00AB4C33" w:rsidRDefault="004212E7" w:rsidP="007C70A4">
      <w:pPr>
        <w:pStyle w:val="BodyText"/>
      </w:pPr>
      <w:r w:rsidRPr="00AB4C33">
        <w:t xml:space="preserve">At the start of the 2012 school year, 1,794 first-year beginning teachers were in state and state-integrated schools. </w:t>
      </w:r>
      <w:bookmarkStart w:id="247" w:name="_Toc300319685"/>
      <w:bookmarkStart w:id="248" w:name="_Toc303511380"/>
      <w:r w:rsidRPr="00AB4C33">
        <w:t xml:space="preserve">While this is a slight increase on the number of first-year teachers in 2011 (1,766), beginning teachers make up a smaller proportion of teachers in primary (3.8%) and secondary (3.3%) schools when compared to 2008 figures (5.0% and 4.1%, respectively) (Lee, 2012). </w:t>
      </w:r>
    </w:p>
    <w:p w:rsidR="004212E7" w:rsidRPr="00AB4C33" w:rsidRDefault="004212E7" w:rsidP="008662DE">
      <w:pPr>
        <w:pStyle w:val="Heading2"/>
      </w:pPr>
      <w:bookmarkStart w:id="249" w:name="_Toc367361655"/>
      <w:r w:rsidRPr="00AB4C33">
        <w:t>Professional learning and development</w:t>
      </w:r>
      <w:bookmarkEnd w:id="247"/>
      <w:bookmarkEnd w:id="248"/>
      <w:bookmarkEnd w:id="249"/>
    </w:p>
    <w:p w:rsidR="004212E7" w:rsidRPr="00AB4C33" w:rsidRDefault="004212E7" w:rsidP="005B0603">
      <w:pPr>
        <w:pStyle w:val="BodyText"/>
        <w:rPr>
          <w:rFonts w:eastAsia="Calibri"/>
          <w:lang w:bidi="en-US"/>
        </w:rPr>
      </w:pPr>
      <w:r w:rsidRPr="00AB4C33">
        <w:t xml:space="preserve">Quality teaching has a significant influence on a range of student outcomes (Hattie, 2009). High-quality teaching is dependent on good initial training and ongoing in-service professional development. Internationally, teacher professional learning and development (PLD) is a key area of investment and a lever for improvement. </w:t>
      </w:r>
    </w:p>
    <w:p w:rsidR="004212E7" w:rsidRPr="00AB4C33" w:rsidRDefault="005B0603" w:rsidP="00571CBB">
      <w:pPr>
        <w:pStyle w:val="BodyText"/>
      </w:pPr>
      <w:r>
        <w:t xml:space="preserve">During </w:t>
      </w:r>
      <w:r w:rsidR="007C70A4">
        <w:t>2012,</w:t>
      </w:r>
      <w:r w:rsidR="004212E7" w:rsidRPr="00AB4C33">
        <w:t xml:space="preserve"> Ministry-funded professional learning and development programmes were targeted to schools with the highest needs. They focused on generating equity and raising achievement for Māori students, Pasifika students and students with special education needs. </w:t>
      </w:r>
    </w:p>
    <w:p w:rsidR="004212E7" w:rsidRPr="00AB4C33" w:rsidRDefault="004212E7" w:rsidP="00571CBB">
      <w:pPr>
        <w:pStyle w:val="BodyText"/>
      </w:pPr>
      <w:r w:rsidRPr="00AB4C33">
        <w:t>Some of the other key professional learning and development programmes were:</w:t>
      </w:r>
    </w:p>
    <w:p w:rsidR="004212E7" w:rsidRPr="004278C3" w:rsidRDefault="004212E7" w:rsidP="004278C3">
      <w:pPr>
        <w:pStyle w:val="Heading3"/>
      </w:pPr>
      <w:r w:rsidRPr="004278C3">
        <w:t>Te Kotahitanga</w:t>
      </w:r>
    </w:p>
    <w:p w:rsidR="004212E7" w:rsidRPr="00AB4C33" w:rsidRDefault="004212E7" w:rsidP="007C70A4">
      <w:pPr>
        <w:pStyle w:val="BodyText"/>
      </w:pPr>
      <w:r w:rsidRPr="00AB4C33">
        <w:t>Te K</w:t>
      </w:r>
      <w:r w:rsidR="005B0603">
        <w:t xml:space="preserve">otahitanga is a </w:t>
      </w:r>
      <w:r w:rsidRPr="00AB4C33">
        <w:t>professional development</w:t>
      </w:r>
      <w:r w:rsidR="005B0603">
        <w:t xml:space="preserve"> programme that has a </w:t>
      </w:r>
      <w:r w:rsidRPr="00AB4C33">
        <w:t xml:space="preserve">focus on raising Māori achievement. There were 37 Te Kotahitanga schools in 2012. The purpose of Te Kotahitanga is to improve classroom and school practices in order to build culturally responsive contexts for learning built upon relationships of mutual trust and respect. </w:t>
      </w:r>
    </w:p>
    <w:p w:rsidR="004212E7" w:rsidRPr="00AB4C33" w:rsidRDefault="004212E7" w:rsidP="007C70A4">
      <w:pPr>
        <w:pStyle w:val="BodyText"/>
      </w:pPr>
      <w:r w:rsidRPr="00AB4C33">
        <w:t>Recent evaluation suggests that Te Kotahitanga has been successful both in improving the learning environment for Māori students, and maintaining gains in Māori student achievement through successive phases of the project (Bishop, Berryman, Wearmouth, Peter &amp; Clapham, 2012). The Human Rights Commission (2012) considers Te Kotahitanga to be a programme that shows promise, not only in terms of increasing achievement for Māor</w:t>
      </w:r>
      <w:r>
        <w:t>i</w:t>
      </w:r>
      <w:r w:rsidRPr="00AB4C33">
        <w:t xml:space="preserve"> but also in addressing some of the underlying ethnic inequalities that harm Māori student achievement.</w:t>
      </w:r>
    </w:p>
    <w:p w:rsidR="004212E7" w:rsidRPr="004278C3" w:rsidRDefault="004212E7" w:rsidP="004278C3">
      <w:pPr>
        <w:pStyle w:val="Heading3"/>
      </w:pPr>
      <w:r w:rsidRPr="004278C3">
        <w:t>Te Kauhua</w:t>
      </w:r>
    </w:p>
    <w:p w:rsidR="004212E7" w:rsidRPr="00AB4C33" w:rsidRDefault="004212E7" w:rsidP="007C70A4">
      <w:pPr>
        <w:pStyle w:val="BodyText"/>
      </w:pPr>
      <w:r w:rsidRPr="00AB4C33">
        <w:t xml:space="preserve">Te Kauhua is </w:t>
      </w:r>
      <w:r w:rsidR="005B0603">
        <w:t>based on</w:t>
      </w:r>
      <w:r w:rsidRPr="00AB4C33">
        <w:t xml:space="preserve"> the understanding that when schools collaborate </w:t>
      </w:r>
      <w:r w:rsidR="005B0603">
        <w:t>w</w:t>
      </w:r>
      <w:r w:rsidRPr="00AB4C33">
        <w:t>ith whānau, hapū and iwi, they can improve educational outcomes for thei</w:t>
      </w:r>
      <w:r w:rsidR="005B0603">
        <w:t>r Māori students. Through</w:t>
      </w:r>
      <w:r w:rsidRPr="00AB4C33">
        <w:t xml:space="preserve"> partnership with whānau, hapū and iwi, schools can develop and build an understanding of culturally responsive school and classroom practice.</w:t>
      </w:r>
      <w:r w:rsidR="005B0603">
        <w:t xml:space="preserve"> </w:t>
      </w:r>
      <w:r w:rsidRPr="00AB4C33">
        <w:t xml:space="preserve">Te Kauhua was redesigned in 2010, and four iwi and one school participated in Phase 4 in 2012. </w:t>
      </w:r>
    </w:p>
    <w:p w:rsidR="004212E7" w:rsidRPr="004278C3" w:rsidRDefault="004212E7" w:rsidP="004278C3">
      <w:pPr>
        <w:pStyle w:val="Heading3"/>
      </w:pPr>
      <w:r w:rsidRPr="004278C3">
        <w:t>Ako Panuku</w:t>
      </w:r>
    </w:p>
    <w:p w:rsidR="004212E7" w:rsidRPr="00AB4C33" w:rsidRDefault="004212E7" w:rsidP="007C70A4">
      <w:pPr>
        <w:pStyle w:val="BodyText"/>
      </w:pPr>
      <w:r w:rsidRPr="00AB4C33">
        <w:t>Ako Panuku is a professional development programme that responds to Māori secondary teacher workload. It was developed in response to the 1999 Ministerial Review, which found that Māori teachers in secondary schools often undertake additional formal and informal responsibilities beyond their immediate teaching work. These responsibilities include the support of Māori students generally, and assistance in the cultural life of the department, school and school community. Ako Panuku courses help teachers to improve their classroom practice, increase their Māori language proficiency and improve their wo</w:t>
      </w:r>
      <w:r w:rsidR="006041BC">
        <w:t>rking knowledge of new curricula</w:t>
      </w:r>
      <w:r w:rsidRPr="00AB4C33">
        <w:t>.</w:t>
      </w:r>
    </w:p>
    <w:p w:rsidR="004212E7" w:rsidRPr="00AB4C33" w:rsidRDefault="004212E7" w:rsidP="007C70A4">
      <w:pPr>
        <w:pStyle w:val="BodyText"/>
      </w:pPr>
      <w:r w:rsidRPr="00AB4C33">
        <w:t>There are currently 1,300 teachers identified in the client group, which includes all Māori teachers in secondary schools and wharekura across all learning areas. In December 2012 there were 1,214 teachers registered with Ako Panuku. An assessment of Ako Panuku completed by ERO in 2012 found that a majority of teachers were positive about thei</w:t>
      </w:r>
      <w:r w:rsidR="006041BC">
        <w:t xml:space="preserve">r involvement in the programme </w:t>
      </w:r>
      <w:r w:rsidRPr="00AB4C33">
        <w:t>(ERO, 2012).</w:t>
      </w:r>
    </w:p>
    <w:p w:rsidR="004212E7" w:rsidRPr="004278C3" w:rsidRDefault="004212E7" w:rsidP="004278C3">
      <w:pPr>
        <w:pStyle w:val="Heading3"/>
      </w:pPr>
      <w:r w:rsidRPr="004278C3">
        <w:t>The Pasifika School Community Parent Liaison project</w:t>
      </w:r>
    </w:p>
    <w:p w:rsidR="004212E7" w:rsidRPr="00AB4C33" w:rsidRDefault="004212E7" w:rsidP="007C70A4">
      <w:pPr>
        <w:pStyle w:val="BodyText"/>
      </w:pPr>
      <w:r w:rsidRPr="00AB4C33">
        <w:t xml:space="preserve">The </w:t>
      </w:r>
      <w:r w:rsidRPr="007C70A4">
        <w:rPr>
          <w:i/>
          <w:iCs/>
        </w:rPr>
        <w:t xml:space="preserve">Pasifika Education Plan 2013–2017 </w:t>
      </w:r>
      <w:r w:rsidRPr="00AB4C33">
        <w:t>has a key goal to improve Pasifika educational success by ensuring that Pasifika parents, families and communities are better informed, more knowledgeable and demanding consumers of education services.</w:t>
      </w:r>
    </w:p>
    <w:p w:rsidR="004212E7" w:rsidRPr="00AB4C33" w:rsidRDefault="004212E7" w:rsidP="000813F7">
      <w:pPr>
        <w:pStyle w:val="BodyText"/>
      </w:pPr>
      <w:r w:rsidRPr="00AB4C33">
        <w:t>The Pasifika School Community Parent Liaison project is designed to improve learning outcomes for Pasifika students by:</w:t>
      </w:r>
    </w:p>
    <w:p w:rsidR="004212E7" w:rsidRPr="00AB4C33" w:rsidRDefault="004212E7" w:rsidP="000813F7">
      <w:pPr>
        <w:pStyle w:val="BodyTextBullets"/>
      </w:pPr>
      <w:r w:rsidRPr="00AB4C33">
        <w:t>promoting evidence-based quality teaching for Pasifika students</w:t>
      </w:r>
    </w:p>
    <w:p w:rsidR="004212E7" w:rsidRPr="00AB4C33" w:rsidRDefault="004212E7" w:rsidP="000813F7">
      <w:pPr>
        <w:pStyle w:val="BodyTextBullets"/>
      </w:pPr>
      <w:r w:rsidRPr="00AB4C33">
        <w:t>improving school and teacher liaison with Pasifika parents and communities</w:t>
      </w:r>
    </w:p>
    <w:p w:rsidR="004212E7" w:rsidRPr="00AB4C33" w:rsidRDefault="004212E7" w:rsidP="00030453">
      <w:pPr>
        <w:pStyle w:val="BodyTextBulletslast"/>
      </w:pPr>
      <w:r w:rsidRPr="00AB4C33">
        <w:t>ensuring that a target is included in each school’s charter relating to improved Pasifika student learning outcomes (along with the resources committed to this), and that a comment on progress towards the targeted outcomes is part of each school’s annual report.</w:t>
      </w:r>
    </w:p>
    <w:p w:rsidR="004212E7" w:rsidRPr="000813F7" w:rsidRDefault="004212E7" w:rsidP="000813F7">
      <w:pPr>
        <w:pStyle w:val="BodyText"/>
      </w:pPr>
      <w:r w:rsidRPr="00AB4C33">
        <w:t xml:space="preserve">An evaluation of the project has led to a redesign phase intended to strengthen outcomes for Pasifika students. The one school cluster remaining in the project completed normal exit procedures at the end of the 2012 calendar year. </w:t>
      </w:r>
      <w:r w:rsidRPr="00AB4C33">
        <w:rPr>
          <w:szCs w:val="20"/>
        </w:rPr>
        <w:t>The newly designed project is expected to be ready for implementation in 2014.</w:t>
      </w:r>
    </w:p>
    <w:p w:rsidR="004212E7" w:rsidRPr="004278C3" w:rsidRDefault="004212E7" w:rsidP="004278C3">
      <w:pPr>
        <w:pStyle w:val="Heading3"/>
      </w:pPr>
      <w:r w:rsidRPr="004278C3">
        <w:t xml:space="preserve">Teachers’ Refresher Course Committee </w:t>
      </w:r>
    </w:p>
    <w:p w:rsidR="004212E7" w:rsidRDefault="004212E7" w:rsidP="000813F7">
      <w:pPr>
        <w:pStyle w:val="BodyText"/>
        <w:rPr>
          <w:lang w:val="en-NZ"/>
        </w:rPr>
      </w:pPr>
      <w:r w:rsidRPr="00AB4C33">
        <w:rPr>
          <w:lang w:val="en-NZ"/>
        </w:rPr>
        <w:t xml:space="preserve">The Teachers’ Refresher Course Committee delivers courses nationally ‘for teachers by teachers’, with the purpose of empowering teachers to reflect on and improve their teaching practice in order to enhance learning. In 2012, 1,173 teachers participated in 12 courses nation-wide. </w:t>
      </w:r>
    </w:p>
    <w:p w:rsidR="004212E7" w:rsidRDefault="004212E7" w:rsidP="008662DE">
      <w:pPr>
        <w:pStyle w:val="Heading2"/>
      </w:pPr>
      <w:bookmarkStart w:id="250" w:name="_Toc367361656"/>
      <w:r>
        <w:t>Student Achievement Function</w:t>
      </w:r>
      <w:bookmarkEnd w:id="250"/>
    </w:p>
    <w:p w:rsidR="004212E7" w:rsidRDefault="004212E7" w:rsidP="000813F7">
      <w:pPr>
        <w:pStyle w:val="BodyText"/>
        <w:rPr>
          <w:lang w:val="en-NZ"/>
        </w:rPr>
      </w:pPr>
      <w:r>
        <w:rPr>
          <w:lang w:val="en-NZ"/>
        </w:rPr>
        <w:t>The Student Achievement Function (SAF) is a team of 50 highly exp</w:t>
      </w:r>
      <w:r w:rsidR="006041BC">
        <w:rPr>
          <w:lang w:val="en-NZ"/>
        </w:rPr>
        <w:t>erienced education practitioners within the Ministry</w:t>
      </w:r>
      <w:r>
        <w:rPr>
          <w:lang w:val="en-NZ"/>
        </w:rPr>
        <w:t xml:space="preserve"> who work directly with schools and kura to help them accelerate student achievement, particularly for priority groups, and build school capability to continue doing so after the SAF engagement has finished</w:t>
      </w:r>
      <w:r w:rsidR="006041BC">
        <w:rPr>
          <w:lang w:val="en-NZ"/>
        </w:rPr>
        <w:t>. E</w:t>
      </w:r>
      <w:r>
        <w:rPr>
          <w:lang w:val="en-NZ"/>
        </w:rPr>
        <w:t>ach engagement lasts for approximately 26 weeks. From its launch in early 2011 to the e</w:t>
      </w:r>
      <w:r w:rsidR="00F362F5">
        <w:rPr>
          <w:lang w:val="en-NZ"/>
        </w:rPr>
        <w:t>nd of 2012, SAF had</w:t>
      </w:r>
      <w:r>
        <w:rPr>
          <w:lang w:val="en-NZ"/>
        </w:rPr>
        <w:t xml:space="preserve"> worked with 357 (largely primary) schools and kura, serving 37,396 Māori students, 19,317 Pasifika students, 2,503 students with special education needs, and 48,508 other students.</w:t>
      </w:r>
    </w:p>
    <w:p w:rsidR="008B38CD" w:rsidRDefault="008B38CD" w:rsidP="008B38CD">
      <w:pPr>
        <w:pStyle w:val="BodyText"/>
        <w:tabs>
          <w:tab w:val="left" w:pos="0"/>
        </w:tabs>
        <w:rPr>
          <w:lang w:val="en-NZ"/>
        </w:rPr>
      </w:pPr>
      <w:r>
        <w:rPr>
          <w:lang w:val="en-NZ"/>
        </w:rPr>
        <w:t xml:space="preserve">SAF outcomes were reviewed in 2013 using evidence from approximately 10% of the schools and kura SAF had worked with to November 2012 (Ministry of Education, 2013c). In the 34 SAF schools and kura assessed, 37% of Māori students, 28% of Pasifika students, </w:t>
      </w:r>
      <w:r w:rsidR="00EF4FB7">
        <w:rPr>
          <w:lang w:val="en-NZ"/>
        </w:rPr>
        <w:t xml:space="preserve">three per cent </w:t>
      </w:r>
      <w:r>
        <w:rPr>
          <w:lang w:val="en-NZ"/>
        </w:rPr>
        <w:t>of students with special education needs, and 35% of other underachieving</w:t>
      </w:r>
      <w:r w:rsidDel="008C23EA">
        <w:rPr>
          <w:lang w:val="en-NZ"/>
        </w:rPr>
        <w:t xml:space="preserve"> </w:t>
      </w:r>
      <w:r>
        <w:rPr>
          <w:lang w:val="en-NZ"/>
        </w:rPr>
        <w:t>students were reported as being lifted up to standard during or soon after the SAF engagement.</w:t>
      </w:r>
      <w:r w:rsidRPr="002200BF">
        <w:rPr>
          <w:lang w:val="en-NZ"/>
        </w:rPr>
        <w:t xml:space="preserve"> </w:t>
      </w:r>
      <w:r>
        <w:rPr>
          <w:lang w:val="en-NZ"/>
        </w:rPr>
        <w:t xml:space="preserve">Overall proportions of students meeting the separate standards rose from 49% to 66% for Reading, 54% to 70% for Writing, and 44% to 63% for Mathematics. </w:t>
      </w:r>
      <w:r>
        <w:t xml:space="preserve">Over half of the schools and kura reviewed identified </w:t>
      </w:r>
      <w:r w:rsidRPr="002200BF">
        <w:rPr>
          <w:color w:val="403152" w:themeColor="accent4" w:themeShade="80"/>
        </w:rPr>
        <w:t>evaluative capability</w:t>
      </w:r>
      <w:r w:rsidR="00DE061F">
        <w:t xml:space="preserve"> as their primary capability-</w:t>
      </w:r>
      <w:r>
        <w:t xml:space="preserve">building focus; </w:t>
      </w:r>
      <w:r w:rsidR="00DE061F">
        <w:t>evaluative capability</w:t>
      </w:r>
      <w:r>
        <w:t xml:space="preserve"> includes</w:t>
      </w:r>
      <w:r w:rsidR="00DE061F">
        <w:t xml:space="preserve"> understanding</w:t>
      </w:r>
      <w:r>
        <w:t xml:space="preserve"> the nature and extent of </w:t>
      </w:r>
      <w:r w:rsidR="00DE061F">
        <w:t>student need, and how to assess whether there has been a change in student achievement.</w:t>
      </w:r>
    </w:p>
    <w:p w:rsidR="004212E7" w:rsidRPr="00166832" w:rsidRDefault="004212E7" w:rsidP="008662DE">
      <w:pPr>
        <w:pStyle w:val="Heading2"/>
      </w:pPr>
      <w:bookmarkStart w:id="251" w:name="_Toc367361657"/>
      <w:r w:rsidRPr="00166832">
        <w:t>Services and support for children and young people with special education needs</w:t>
      </w:r>
      <w:bookmarkEnd w:id="251"/>
    </w:p>
    <w:p w:rsidR="004212E7" w:rsidRPr="00166832" w:rsidRDefault="004212E7" w:rsidP="004212E7">
      <w:pPr>
        <w:rPr>
          <w:rFonts w:cs="Arial"/>
          <w:szCs w:val="18"/>
        </w:rPr>
      </w:pPr>
      <w:r w:rsidRPr="00166832">
        <w:rPr>
          <w:rFonts w:cs="Arial"/>
          <w:szCs w:val="18"/>
        </w:rPr>
        <w:t>The Ministry of Education each year provides specialist services and support to more than 35,000 children and young people with special education needs aged up to 21 years, and funds schools to support a further 40,000-60,000 children and young people with moderate special education needs.</w:t>
      </w:r>
      <w:r w:rsidR="00235FD2">
        <w:rPr>
          <w:rFonts w:cs="Arial"/>
          <w:szCs w:val="18"/>
        </w:rPr>
        <w:t xml:space="preserve"> </w:t>
      </w:r>
      <w:r w:rsidRPr="00166832">
        <w:rPr>
          <w:rFonts w:cs="Arial"/>
          <w:szCs w:val="18"/>
        </w:rPr>
        <w:t>In 2012, the Ministry of Education provided:</w:t>
      </w:r>
    </w:p>
    <w:p w:rsidR="004212E7" w:rsidRPr="00166832" w:rsidRDefault="004212E7" w:rsidP="00CF1F50">
      <w:pPr>
        <w:pStyle w:val="BodyTextBullets"/>
        <w:rPr>
          <w:rFonts w:eastAsia="Calibri"/>
          <w:lang w:val="en-NZ" w:bidi="en-US"/>
        </w:rPr>
      </w:pPr>
      <w:r w:rsidRPr="00166832">
        <w:rPr>
          <w:rFonts w:eastAsia="Calibri"/>
          <w:lang w:val="en-NZ" w:bidi="en-US"/>
        </w:rPr>
        <w:t>early Intervention services to 12,457 children</w:t>
      </w:r>
    </w:p>
    <w:p w:rsidR="004212E7" w:rsidRPr="00166832" w:rsidRDefault="004212E7" w:rsidP="00CF1F50">
      <w:pPr>
        <w:pStyle w:val="BodyTextBullets"/>
        <w:rPr>
          <w:rFonts w:eastAsia="Calibri"/>
          <w:lang w:val="en-NZ" w:bidi="en-US"/>
        </w:rPr>
      </w:pPr>
      <w:r w:rsidRPr="00166832">
        <w:rPr>
          <w:rFonts w:eastAsia="Calibri"/>
          <w:lang w:val="en-NZ" w:bidi="en-US"/>
        </w:rPr>
        <w:t>communication services to 6,222 children and young people</w:t>
      </w:r>
    </w:p>
    <w:p w:rsidR="004212E7" w:rsidRPr="00166832" w:rsidRDefault="004212E7" w:rsidP="00CF1F50">
      <w:pPr>
        <w:pStyle w:val="BodyTextBullets"/>
        <w:rPr>
          <w:rFonts w:eastAsia="Calibri"/>
          <w:lang w:val="en-NZ" w:bidi="en-US"/>
        </w:rPr>
      </w:pPr>
      <w:r w:rsidRPr="00166832">
        <w:rPr>
          <w:rFonts w:eastAsia="Calibri"/>
          <w:lang w:val="en-NZ" w:bidi="en-US"/>
        </w:rPr>
        <w:t>behaviour services to 3,615 children and young people</w:t>
      </w:r>
    </w:p>
    <w:p w:rsidR="004212E7" w:rsidRPr="00166832" w:rsidRDefault="004212E7" w:rsidP="00CF1F50">
      <w:pPr>
        <w:pStyle w:val="BodyTextBullets"/>
        <w:rPr>
          <w:rFonts w:eastAsia="Calibri"/>
          <w:lang w:val="en-NZ" w:bidi="en-US"/>
        </w:rPr>
      </w:pPr>
      <w:r w:rsidRPr="00166832">
        <w:rPr>
          <w:rFonts w:eastAsia="Calibri"/>
          <w:lang w:val="en-NZ" w:bidi="en-US"/>
        </w:rPr>
        <w:t>Ongoing Resourcing Scheme funding to 8,225 children and young people</w:t>
      </w:r>
    </w:p>
    <w:p w:rsidR="004212E7" w:rsidRPr="00166832" w:rsidRDefault="004212E7" w:rsidP="00CF1F50">
      <w:pPr>
        <w:pStyle w:val="BodyTextBullets"/>
        <w:rPr>
          <w:rFonts w:eastAsia="Calibri"/>
          <w:lang w:val="en-NZ" w:bidi="en-US"/>
        </w:rPr>
      </w:pPr>
      <w:r w:rsidRPr="00166832">
        <w:rPr>
          <w:rFonts w:eastAsia="Calibri"/>
          <w:lang w:val="en-NZ" w:bidi="en-US"/>
        </w:rPr>
        <w:t>School High Health Needs funding for 689 children and young people</w:t>
      </w:r>
    </w:p>
    <w:p w:rsidR="004212E7" w:rsidRPr="00166832" w:rsidRDefault="004212E7" w:rsidP="00030453">
      <w:pPr>
        <w:pStyle w:val="BodyTextBulletslast"/>
        <w:rPr>
          <w:rFonts w:eastAsia="Calibri"/>
          <w:lang w:val="en-NZ" w:bidi="en-US"/>
        </w:rPr>
      </w:pPr>
      <w:r w:rsidRPr="00166832">
        <w:rPr>
          <w:rFonts w:eastAsia="Calibri"/>
          <w:lang w:val="en-NZ" w:bidi="en-US"/>
        </w:rPr>
        <w:t>assistive technology to 1,047 children and young people</w:t>
      </w:r>
      <w:r w:rsidR="00EF4FB7">
        <w:rPr>
          <w:rFonts w:eastAsia="Calibri"/>
          <w:lang w:val="en-NZ" w:bidi="en-US"/>
        </w:rPr>
        <w:t>.</w:t>
      </w:r>
    </w:p>
    <w:p w:rsidR="004212E7" w:rsidRPr="00571CBB" w:rsidRDefault="004212E7" w:rsidP="00571CBB">
      <w:pPr>
        <w:pStyle w:val="Heading3"/>
      </w:pPr>
      <w:r w:rsidRPr="00571CBB">
        <w:t>Traumatic incidents</w:t>
      </w:r>
    </w:p>
    <w:p w:rsidR="004212E7" w:rsidRPr="00166832" w:rsidRDefault="004212E7" w:rsidP="00CF1F50">
      <w:pPr>
        <w:pStyle w:val="BodyText"/>
      </w:pPr>
      <w:r w:rsidRPr="00166832">
        <w:t>Special Education responded to 122 traumatic incidents in 2012, and supports schools to plan for traumatic incidents.</w:t>
      </w:r>
      <w:r w:rsidR="00235FD2">
        <w:t xml:space="preserve"> </w:t>
      </w:r>
      <w:r w:rsidRPr="00166832">
        <w:t>Traumatic incidents can be the sudden death or serious injury of students or staff members, lost or missing students, or floods, fires and other threats to the safety of children and staff.</w:t>
      </w:r>
    </w:p>
    <w:p w:rsidR="004212E7" w:rsidRPr="00166832" w:rsidRDefault="004212E7" w:rsidP="00CF1F50">
      <w:pPr>
        <w:pStyle w:val="Heading3"/>
      </w:pPr>
      <w:r w:rsidRPr="00166832">
        <w:t>A selection of other special education developments in 2012</w:t>
      </w:r>
    </w:p>
    <w:p w:rsidR="004212E7" w:rsidRPr="00166832" w:rsidRDefault="004212E7" w:rsidP="00CF1F50">
      <w:pPr>
        <w:pStyle w:val="BodyTextBullets"/>
        <w:rPr>
          <w:rFonts w:eastAsia="Calibri"/>
          <w:lang w:val="en-NZ" w:bidi="en-US"/>
        </w:rPr>
      </w:pPr>
      <w:r w:rsidRPr="00166832">
        <w:rPr>
          <w:rFonts w:eastAsia="Calibri"/>
          <w:lang w:val="en-NZ" w:bidi="en-US"/>
        </w:rPr>
        <w:t>The Boards of Trustees at van Asch and Kelston Deaf Education Centres combined in 2012 to provide a more consistent and cohesive overview of education provision for deaf and hearing impaired students.</w:t>
      </w:r>
    </w:p>
    <w:p w:rsidR="004212E7" w:rsidRPr="00166832" w:rsidRDefault="004212E7" w:rsidP="00CF1F50">
      <w:pPr>
        <w:pStyle w:val="BodyTextBullets"/>
        <w:rPr>
          <w:rFonts w:eastAsia="Calibri"/>
          <w:lang w:val="en-NZ" w:bidi="en-US"/>
        </w:rPr>
      </w:pPr>
      <w:r w:rsidRPr="00166832">
        <w:rPr>
          <w:rFonts w:eastAsia="Calibri"/>
          <w:lang w:val="en-NZ" w:bidi="en-US"/>
        </w:rPr>
        <w:t>There has been a further increase in the number of trained Resource Teachers: Vision and Resource Teachers: Deaf, and an increase in the number of Resource Teachers: Learning and Behaviour (RTLB) gaining study awards and starting training.</w:t>
      </w:r>
    </w:p>
    <w:p w:rsidR="004212E7" w:rsidRPr="00166832" w:rsidRDefault="004212E7" w:rsidP="00CF1F50">
      <w:pPr>
        <w:pStyle w:val="BodyTextBullets"/>
        <w:rPr>
          <w:rFonts w:eastAsia="Calibri"/>
          <w:lang w:val="en-NZ" w:bidi="en-US"/>
        </w:rPr>
      </w:pPr>
      <w:r w:rsidRPr="00166832">
        <w:rPr>
          <w:rFonts w:eastAsia="Calibri"/>
          <w:lang w:val="en-NZ" w:bidi="en-US"/>
        </w:rPr>
        <w:t xml:space="preserve">The Ministry </w:t>
      </w:r>
      <w:r w:rsidR="00432711">
        <w:rPr>
          <w:rFonts w:eastAsia="Calibri"/>
          <w:lang w:val="en-NZ" w:bidi="en-US"/>
        </w:rPr>
        <w:t>supported a second cohort of students</w:t>
      </w:r>
      <w:r w:rsidRPr="00432711">
        <w:rPr>
          <w:rFonts w:eastAsia="Calibri"/>
          <w:lang w:val="en-NZ" w:bidi="en-US"/>
        </w:rPr>
        <w:t xml:space="preserve"> to</w:t>
      </w:r>
      <w:r w:rsidRPr="00166832">
        <w:rPr>
          <w:rFonts w:eastAsia="Calibri"/>
          <w:lang w:val="en-NZ" w:bidi="en-US"/>
        </w:rPr>
        <w:t xml:space="preserve"> undertake the Postgraduate Diploma in Specialist Teaching in 2012.</w:t>
      </w:r>
      <w:r w:rsidR="00235FD2">
        <w:rPr>
          <w:rFonts w:eastAsia="Calibri"/>
          <w:lang w:val="en-NZ" w:bidi="en-US"/>
        </w:rPr>
        <w:t xml:space="preserve"> </w:t>
      </w:r>
      <w:r w:rsidRPr="00166832">
        <w:rPr>
          <w:rFonts w:eastAsia="Calibri"/>
          <w:lang w:val="en-NZ" w:bidi="en-US"/>
        </w:rPr>
        <w:t>This qualification and course was developed by the Ministry, Massey University and the University of Canterbury, and first offered in 2011. Teachers taking part in this course of study go on to specialise in one of six areas: autism spectrum disorder; learning and behaviour; early intervention; hearing impairment; vision impairment; or gifted and talented.</w:t>
      </w:r>
    </w:p>
    <w:p w:rsidR="004212E7" w:rsidRPr="00AB4C33" w:rsidRDefault="004212E7" w:rsidP="008662DE">
      <w:pPr>
        <w:pStyle w:val="Heading2"/>
      </w:pPr>
      <w:bookmarkStart w:id="252" w:name="_Toc367361658"/>
      <w:r w:rsidRPr="00AB4C33">
        <w:t>School leadership</w:t>
      </w:r>
      <w:bookmarkEnd w:id="252"/>
    </w:p>
    <w:p w:rsidR="004212E7" w:rsidRPr="00221561" w:rsidRDefault="004212E7" w:rsidP="007C70A4">
      <w:pPr>
        <w:pStyle w:val="BodyText"/>
      </w:pPr>
      <w:r w:rsidRPr="007C70A4">
        <w:t xml:space="preserve">School leadership, including principals, senior and middle managers, teacher leaders and school trustees, is one of the most frequently identified indicators and drivers of effective teaching practice and student achievement. The </w:t>
      </w:r>
      <w:r w:rsidRPr="007C70A4">
        <w:rPr>
          <w:i/>
          <w:iCs/>
        </w:rPr>
        <w:t>School Leadership and Student Outcomes: Identifying What Works and Why Best Evidence Synthesis Iteration [BES]</w:t>
      </w:r>
      <w:r w:rsidRPr="007C70A4">
        <w:t xml:space="preserve"> identified five leadership dimensions that contribute to improved outcomes for students across English and Māori medium schools (Robinson et al., 2009).</w:t>
      </w:r>
      <w:r w:rsidR="00221561" w:rsidRPr="007C70A4">
        <w:t xml:space="preserve"> </w:t>
      </w:r>
      <w:r w:rsidRPr="004278C3">
        <w:t xml:space="preserve">The dimensions are: </w:t>
      </w:r>
    </w:p>
    <w:p w:rsidR="004212E7" w:rsidRPr="00AB4C33" w:rsidRDefault="00CF1F50" w:rsidP="00CF1F50">
      <w:pPr>
        <w:pStyle w:val="BodyTextBullets"/>
        <w:rPr>
          <w:rFonts w:eastAsia="Calibri"/>
          <w:lang w:val="en-US" w:bidi="en-US"/>
        </w:rPr>
      </w:pPr>
      <w:r>
        <w:rPr>
          <w:rFonts w:eastAsia="Calibri"/>
          <w:lang w:val="en-US" w:bidi="en-US"/>
        </w:rPr>
        <w:t>Es</w:t>
      </w:r>
      <w:r w:rsidR="004212E7" w:rsidRPr="00AB4C33">
        <w:rPr>
          <w:rFonts w:eastAsia="Calibri"/>
          <w:lang w:val="en-US" w:bidi="en-US"/>
        </w:rPr>
        <w:t>tablishing goals and expectations</w:t>
      </w:r>
      <w:r w:rsidR="00EF4FB7">
        <w:rPr>
          <w:rFonts w:eastAsia="Calibri"/>
          <w:lang w:val="en-US" w:bidi="en-US"/>
        </w:rPr>
        <w:t>.</w:t>
      </w:r>
    </w:p>
    <w:p w:rsidR="004212E7" w:rsidRPr="00AB4C33" w:rsidRDefault="004212E7" w:rsidP="00CF1F50">
      <w:pPr>
        <w:pStyle w:val="BodyTextBullets"/>
        <w:rPr>
          <w:rFonts w:eastAsia="Calibri"/>
          <w:lang w:val="en-US" w:bidi="en-US"/>
        </w:rPr>
      </w:pPr>
      <w:r w:rsidRPr="00AB4C33">
        <w:rPr>
          <w:rFonts w:eastAsia="Calibri"/>
          <w:lang w:val="en-US" w:bidi="en-US"/>
        </w:rPr>
        <w:t>Resourcing strategically</w:t>
      </w:r>
      <w:r w:rsidR="00EF4FB7">
        <w:rPr>
          <w:rFonts w:eastAsia="Calibri"/>
          <w:lang w:val="en-US" w:bidi="en-US"/>
        </w:rPr>
        <w:t>.</w:t>
      </w:r>
    </w:p>
    <w:p w:rsidR="004212E7" w:rsidRPr="00AB4C33" w:rsidRDefault="004212E7" w:rsidP="00CF1F50">
      <w:pPr>
        <w:pStyle w:val="BodyTextBullets"/>
        <w:rPr>
          <w:rFonts w:eastAsia="Calibri"/>
          <w:lang w:val="en-US" w:bidi="en-US"/>
        </w:rPr>
      </w:pPr>
      <w:r w:rsidRPr="00AB4C33">
        <w:rPr>
          <w:rFonts w:eastAsia="Calibri"/>
          <w:lang w:val="en-US" w:bidi="en-US"/>
        </w:rPr>
        <w:t>Planning, coordinating and evaluating teaching and the curriculum</w:t>
      </w:r>
      <w:r w:rsidR="00EF4FB7">
        <w:rPr>
          <w:rFonts w:eastAsia="Calibri"/>
          <w:lang w:val="en-US" w:bidi="en-US"/>
        </w:rPr>
        <w:t>.</w:t>
      </w:r>
    </w:p>
    <w:p w:rsidR="004212E7" w:rsidRPr="00CF1F50" w:rsidRDefault="004212E7" w:rsidP="00CF1F50">
      <w:pPr>
        <w:pStyle w:val="BodyTextBullets"/>
        <w:rPr>
          <w:rFonts w:eastAsia="Calibri"/>
        </w:rPr>
      </w:pPr>
      <w:r w:rsidRPr="00AB4C33">
        <w:rPr>
          <w:rFonts w:eastAsia="Calibri"/>
          <w:lang w:val="en-US" w:bidi="en-US"/>
        </w:rPr>
        <w:t>Promoting and participating in teacher learning and development</w:t>
      </w:r>
      <w:r w:rsidR="00EF4FB7">
        <w:rPr>
          <w:rFonts w:eastAsia="Calibri"/>
          <w:lang w:val="en-US" w:bidi="en-US"/>
        </w:rPr>
        <w:t>.</w:t>
      </w:r>
    </w:p>
    <w:p w:rsidR="004212E7" w:rsidRPr="00CF1F50" w:rsidRDefault="004212E7" w:rsidP="00030453">
      <w:pPr>
        <w:pStyle w:val="BodyTextBulletslast"/>
        <w:rPr>
          <w:rFonts w:eastAsia="Calibri"/>
        </w:rPr>
      </w:pPr>
      <w:r w:rsidRPr="00AB4C33">
        <w:rPr>
          <w:rFonts w:eastAsia="Calibri"/>
          <w:lang w:val="en-US" w:bidi="en-US"/>
        </w:rPr>
        <w:t>Ensuring an orderly and supportive environment</w:t>
      </w:r>
      <w:r w:rsidR="00EF4FB7">
        <w:rPr>
          <w:rFonts w:eastAsia="Calibri"/>
          <w:lang w:val="en-US" w:bidi="en-US"/>
        </w:rPr>
        <w:t>.</w:t>
      </w:r>
    </w:p>
    <w:p w:rsidR="004212E7" w:rsidRPr="00AB4C33" w:rsidRDefault="004212E7" w:rsidP="00CF1F50">
      <w:pPr>
        <w:pStyle w:val="BodyText"/>
        <w:rPr>
          <w:lang w:val="en-US"/>
        </w:rPr>
      </w:pPr>
      <w:r w:rsidRPr="00AB4C33">
        <w:rPr>
          <w:lang w:val="en-US"/>
        </w:rPr>
        <w:t>Three further dimensions were derived from the analysis of indirect evidence of leadership. These are the focus on educationally powerful connections; engagement in constructive problem talk; and the selection, development, and use of smart tools.</w:t>
      </w:r>
    </w:p>
    <w:p w:rsidR="004212E7" w:rsidRPr="004278C3" w:rsidRDefault="004212E7" w:rsidP="004278C3">
      <w:pPr>
        <w:pStyle w:val="Heading3"/>
      </w:pPr>
      <w:r w:rsidRPr="004278C3">
        <w:t>Supply and retention</w:t>
      </w:r>
      <w:bookmarkStart w:id="253" w:name="_GoBack"/>
      <w:bookmarkEnd w:id="253"/>
    </w:p>
    <w:p w:rsidR="004212E7" w:rsidRPr="000813F7" w:rsidRDefault="004212E7" w:rsidP="000813F7">
      <w:pPr>
        <w:pStyle w:val="BodyText"/>
      </w:pPr>
      <w:r w:rsidRPr="00AB4C33">
        <w:t xml:space="preserve">A recent New Zealand Council for Educational Research (NZCER) report on principal vacancies and appointments in 2008 and 2009 found that most schools with vacancies could shortlist four or five applicants (Wylie, 2010). Preliminary 2009 survey data showed a median of nine applicants per school, ranging from 1 to 30. NZCER’s national survey data also indicated that principals have been staying longer in their positions. </w:t>
      </w:r>
      <w:r w:rsidRPr="00AB4C33">
        <w:rPr>
          <w:lang w:val="en-NZ"/>
        </w:rPr>
        <w:t xml:space="preserve">Only 12% of the principals responding to a 2003 survey said their current school had had only one principal in the last 10 years. </w:t>
      </w:r>
      <w:r w:rsidRPr="00AB4C33">
        <w:t>This had risen to 28% by 2009.</w:t>
      </w:r>
    </w:p>
    <w:p w:rsidR="004212E7" w:rsidRPr="004278C3" w:rsidRDefault="004212E7" w:rsidP="004278C3">
      <w:pPr>
        <w:pStyle w:val="Heading3"/>
      </w:pPr>
      <w:r w:rsidRPr="004278C3">
        <w:t xml:space="preserve">Raising </w:t>
      </w:r>
      <w:r w:rsidR="00D53436">
        <w:t>achievement for priority student</w:t>
      </w:r>
      <w:r w:rsidRPr="004278C3">
        <w:t xml:space="preserve">s </w:t>
      </w:r>
    </w:p>
    <w:p w:rsidR="004212E7" w:rsidRPr="007C70A4" w:rsidRDefault="004212E7" w:rsidP="007C70A4">
      <w:pPr>
        <w:pStyle w:val="BodyText"/>
      </w:pPr>
      <w:r w:rsidRPr="007C70A4">
        <w:t>In 2012, ERO analysed 15 national evaluation reports and pulled together recurrent themes across those reports on how teaching, leadership and management practices posed barriers to learning or, alternatively, promoted the learning of priority students (ERO, 2012a).</w:t>
      </w:r>
    </w:p>
    <w:p w:rsidR="004212E7" w:rsidRPr="00571CBB" w:rsidRDefault="004212E7" w:rsidP="00571CBB">
      <w:pPr>
        <w:pStyle w:val="BodyText"/>
      </w:pPr>
      <w:r w:rsidRPr="00571CBB">
        <w:t>In the most successful schools, the trustees, leaders and teachers had an uncompromising focus on fostering students’ interests and strengths, and on addressing their learning needs. Leaders had well coordinated, evidence-based systems for supporting teacher professional learning, and ensured thoughtful management of the curriculum. Leaders also focused on addressing individual teachers’ professional learning needs by identifying how, through their practices, teachers could better meet the learning needs of students.</w:t>
      </w:r>
    </w:p>
    <w:p w:rsidR="00571CBB" w:rsidRDefault="004212E7" w:rsidP="00571CBB">
      <w:pPr>
        <w:pStyle w:val="BodyText"/>
        <w:rPr>
          <w:lang w:val="en-US"/>
        </w:rPr>
      </w:pPr>
      <w:r w:rsidRPr="00AB4C33">
        <w:rPr>
          <w:lang w:val="en-US"/>
        </w:rPr>
        <w:t>The report suggested that more work could be done by school leaders to create opportunities for teachers to investigate and analyse the relationship between achievement and teaching practice, in order to create a shared responsibility for student achievement. In addition, more effort is required by school leadership to ensure that schools are developing and managing their curricula in way</w:t>
      </w:r>
      <w:r w:rsidR="00D53436">
        <w:rPr>
          <w:lang w:val="en-US"/>
        </w:rPr>
        <w:t>s that are responsive to student</w:t>
      </w:r>
      <w:r w:rsidRPr="00AB4C33">
        <w:rPr>
          <w:lang w:val="en-US"/>
        </w:rPr>
        <w:t>s. This would help to foster a learning environment in which students are valued partners in learning, and the focus of teachers and leaders centers on the needs, interests and strengths of the students</w:t>
      </w:r>
      <w:r w:rsidR="00571CBB">
        <w:rPr>
          <w:lang w:val="en-US"/>
        </w:rPr>
        <w:t>.</w:t>
      </w:r>
    </w:p>
    <w:p w:rsidR="004212E7" w:rsidRPr="007C70A4" w:rsidRDefault="004212E7" w:rsidP="007C70A4">
      <w:pPr>
        <w:pStyle w:val="BodyText"/>
      </w:pPr>
      <w:r w:rsidRPr="007C70A4">
        <w:t>ERO also concluded that school assessment and evaluation processes need to be more responsive to information about students. Leaders need to actively guide teachers to use effective assessment practices so that they have knowledge of students’ achievement and progress. To achieve this, many leaders need to develop their capacity to use achievement data for monitoring students’ achievement and for school self-review.</w:t>
      </w:r>
    </w:p>
    <w:p w:rsidR="004212E7" w:rsidRPr="004278C3" w:rsidRDefault="004212E7" w:rsidP="004278C3">
      <w:pPr>
        <w:pStyle w:val="Heading3"/>
      </w:pPr>
      <w:r w:rsidRPr="004278C3">
        <w:t>Linking appraisal and professional development</w:t>
      </w:r>
    </w:p>
    <w:p w:rsidR="004212E7" w:rsidRPr="00AB4C33" w:rsidRDefault="004212E7" w:rsidP="007C70A4">
      <w:pPr>
        <w:pStyle w:val="BodyText"/>
      </w:pPr>
      <w:r w:rsidRPr="00AB4C33">
        <w:t>Leadership practices within schools are key points of influence for improving the quality of teaching and outcomes for priority students. School leaders have a pivotal role in focusing each leadership dimension in ways that result in improved teaching and learning.</w:t>
      </w:r>
    </w:p>
    <w:p w:rsidR="004212E7" w:rsidRPr="00AB4C33" w:rsidRDefault="004212E7" w:rsidP="007C70A4">
      <w:pPr>
        <w:pStyle w:val="BodyText"/>
      </w:pPr>
      <w:r w:rsidRPr="00AB4C33">
        <w:t>The Ministry supports Māori medium leadership, first-time principals, aspiring principals, and middle and senior leaders. Leaders are supported through a range of national programmes and smart tools. The following are national programmes aimed at each of these groups.</w:t>
      </w:r>
    </w:p>
    <w:p w:rsidR="004212E7" w:rsidRPr="00AB4C33" w:rsidRDefault="004212E7" w:rsidP="00CF1F50">
      <w:pPr>
        <w:pStyle w:val="BodyTextBullets"/>
        <w:rPr>
          <w:rFonts w:eastAsia="Calibri"/>
          <w:lang w:val="en-NZ" w:bidi="en-US"/>
        </w:rPr>
      </w:pPr>
      <w:r w:rsidRPr="00AB4C33">
        <w:rPr>
          <w:rFonts w:eastAsia="Calibri"/>
          <w:lang w:val="en-NZ" w:bidi="en-US"/>
        </w:rPr>
        <w:t>The First-time Principals Programme (FTPP) is an induction programme for developing the professional and personal skills and capabilities of new school leaders. It aims to help principals work effectively with their colleagues and communities to further improve teaching and learning in New Zealand’s schools. In March 2012, FTPP had 130 participants from the 2011 cohort and 73 new principals starting the 18-month programme. Management support is provided for all first time principals.</w:t>
      </w:r>
    </w:p>
    <w:p w:rsidR="004212E7" w:rsidRPr="00AB4C33" w:rsidRDefault="004212E7" w:rsidP="00CF1F50">
      <w:pPr>
        <w:pStyle w:val="BodyTextBullets"/>
        <w:rPr>
          <w:rFonts w:eastAsia="Calibri"/>
          <w:lang w:val="en-NZ" w:bidi="en-US"/>
        </w:rPr>
      </w:pPr>
      <w:r w:rsidRPr="00AB4C33">
        <w:rPr>
          <w:rFonts w:eastAsia="Calibri"/>
          <w:lang w:val="en-NZ" w:bidi="en-US"/>
        </w:rPr>
        <w:t>He Kākano builds the capability of principals and other school leaders to provide culturally responsive pedagogical and relational leadership that lifts the performance of the s</w:t>
      </w:r>
      <w:r w:rsidR="00D53436">
        <w:rPr>
          <w:rFonts w:eastAsia="Calibri"/>
          <w:lang w:val="en-NZ" w:bidi="en-US"/>
        </w:rPr>
        <w:t>chool for and with Māori student</w:t>
      </w:r>
      <w:r w:rsidRPr="00AB4C33">
        <w:rPr>
          <w:rFonts w:eastAsia="Calibri"/>
          <w:lang w:val="en-NZ" w:bidi="en-US"/>
        </w:rPr>
        <w:t xml:space="preserve">s and whānau. It was delivered to 88 secondary and area schools (including the Correspondence School) across the country during 2012. </w:t>
      </w:r>
    </w:p>
    <w:p w:rsidR="00CF1F50" w:rsidRDefault="004212E7" w:rsidP="00CF1F50">
      <w:pPr>
        <w:pStyle w:val="BodyTextBullets"/>
        <w:rPr>
          <w:rFonts w:eastAsia="Calibri"/>
          <w:lang w:val="en-NZ" w:bidi="en-US"/>
        </w:rPr>
      </w:pPr>
      <w:r w:rsidRPr="00CF1F50">
        <w:rPr>
          <w:rFonts w:eastAsia="Calibri"/>
          <w:lang w:val="en-NZ" w:bidi="en-US"/>
        </w:rPr>
        <w:t xml:space="preserve">The </w:t>
      </w:r>
      <w:r w:rsidRPr="00CF1F50">
        <w:rPr>
          <w:rFonts w:eastAsia="Calibri"/>
          <w:lang w:bidi="en-US"/>
        </w:rPr>
        <w:t>National</w:t>
      </w:r>
      <w:r w:rsidRPr="00CF1F50">
        <w:rPr>
          <w:rFonts w:eastAsia="Calibri"/>
          <w:lang w:val="en-NZ" w:bidi="en-US"/>
        </w:rPr>
        <w:t xml:space="preserve"> Aspiring Principals Programme (NAPP) prepares middle and senior leaders for principalship, with the aim of building a quality pool of applicants for school leadership. In 2012, 206 middle and senior leaders took part in the programme. In a recent national survey conducted by NZCER, 11% of principals reported that they had come to their first principalship through the NAPP (Wylie, 2013).</w:t>
      </w:r>
    </w:p>
    <w:p w:rsidR="004212E7" w:rsidRPr="00CF1F50" w:rsidRDefault="004212E7" w:rsidP="00CF1F50">
      <w:pPr>
        <w:pStyle w:val="BodyTextBullets"/>
        <w:rPr>
          <w:rFonts w:eastAsia="Calibri"/>
          <w:lang w:val="en-NZ" w:bidi="en-US"/>
        </w:rPr>
      </w:pPr>
      <w:r w:rsidRPr="00CF1F50">
        <w:rPr>
          <w:rFonts w:eastAsia="Calibri"/>
          <w:lang w:val="en-NZ" w:bidi="en-US"/>
        </w:rPr>
        <w:t xml:space="preserve">Leadership and </w:t>
      </w:r>
      <w:r w:rsidRPr="00CF1F50">
        <w:rPr>
          <w:rFonts w:eastAsia="Calibri"/>
          <w:lang w:bidi="en-US"/>
        </w:rPr>
        <w:t>Assessment</w:t>
      </w:r>
      <w:r w:rsidRPr="00CF1F50">
        <w:rPr>
          <w:rFonts w:eastAsia="Calibri"/>
          <w:lang w:val="en-NZ" w:bidi="en-US"/>
        </w:rPr>
        <w:t xml:space="preserve"> facilitators employed by the University of Auckland and the University of Waikato supported the middle and senior leaders of 151 schools across New Zealand in 2012 for in-depth PLD in reading, writing and mathematics, and a further 126 schools had flexible support. </w:t>
      </w:r>
    </w:p>
    <w:p w:rsidR="004212E7" w:rsidRPr="00AB4C33" w:rsidRDefault="004212E7" w:rsidP="00030453">
      <w:pPr>
        <w:pStyle w:val="BodyTextBulletslast"/>
        <w:rPr>
          <w:rFonts w:eastAsia="Calibri"/>
          <w:lang w:val="en-NZ" w:bidi="en-US"/>
        </w:rPr>
      </w:pPr>
      <w:r w:rsidRPr="00AB4C33">
        <w:rPr>
          <w:rFonts w:eastAsia="Calibri"/>
          <w:lang w:val="en-NZ" w:bidi="en-US"/>
        </w:rPr>
        <w:t>The Linking Minds alumni programme provides four scholarships nationally that support emerging leaders from the early childhood and compulsory schooling sectors in their first five years of teaching.</w:t>
      </w:r>
    </w:p>
    <w:p w:rsidR="004212E7" w:rsidRPr="00AB4C33" w:rsidRDefault="004212E7" w:rsidP="00571CBB">
      <w:pPr>
        <w:pStyle w:val="Heading-Wheretofindmore"/>
      </w:pPr>
      <w:r w:rsidRPr="00AB4C33">
        <w:t>Where to find out more</w:t>
      </w:r>
      <w:bookmarkStart w:id="254" w:name="_Toc261938716"/>
      <w:bookmarkStart w:id="255" w:name="_Toc261938748"/>
      <w:bookmarkStart w:id="256" w:name="_Toc300319687"/>
    </w:p>
    <w:p w:rsidR="00B01FBF" w:rsidRPr="00AB4C33" w:rsidRDefault="00B01FBF" w:rsidP="007C70A4">
      <w:pPr>
        <w:pStyle w:val="BodyText"/>
        <w:rPr>
          <w:highlight w:val="yellow"/>
        </w:rPr>
      </w:pPr>
      <w:r>
        <w:rPr>
          <w:noProof/>
          <w:lang w:val="en-NZ"/>
        </w:rPr>
        <w:drawing>
          <wp:inline distT="0" distB="0" distL="0" distR="0">
            <wp:extent cx="5613952" cy="371825"/>
            <wp:effectExtent l="19050" t="0" r="5798" b="0"/>
            <wp:docPr id="28" name="Picture 27" descr="Find out more - EdLeaders (Redra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out more - EdLeaders (Redrawn).png"/>
                    <pic:cNvPicPr/>
                  </pic:nvPicPr>
                  <pic:blipFill>
                    <a:blip r:embed="rId68" cstate="print"/>
                    <a:stretch>
                      <a:fillRect/>
                    </a:stretch>
                  </pic:blipFill>
                  <pic:spPr>
                    <a:xfrm>
                      <a:off x="0" y="0"/>
                      <a:ext cx="5613952" cy="371825"/>
                    </a:xfrm>
                    <a:prstGeom prst="rect">
                      <a:avLst/>
                    </a:prstGeom>
                  </pic:spPr>
                </pic:pic>
              </a:graphicData>
            </a:graphic>
          </wp:inline>
        </w:drawing>
      </w:r>
    </w:p>
    <w:p w:rsidR="004212E7" w:rsidRDefault="004212E7" w:rsidP="004278C3">
      <w:pPr>
        <w:pStyle w:val="Heading2"/>
      </w:pPr>
      <w:bookmarkStart w:id="257" w:name="_Toc303511382"/>
      <w:r>
        <w:br w:type="page"/>
      </w:r>
    </w:p>
    <w:p w:rsidR="004212E7" w:rsidRPr="00AB4C33" w:rsidRDefault="004212E7" w:rsidP="008662DE">
      <w:pPr>
        <w:pStyle w:val="Heading2"/>
      </w:pPr>
      <w:bookmarkStart w:id="258" w:name="_Toc367361659"/>
      <w:r w:rsidRPr="00AB4C33">
        <w:t xml:space="preserve">Community representation by school </w:t>
      </w:r>
      <w:bookmarkEnd w:id="254"/>
      <w:bookmarkEnd w:id="255"/>
      <w:r w:rsidRPr="00AB4C33">
        <w:t>trustees</w:t>
      </w:r>
      <w:bookmarkEnd w:id="256"/>
      <w:bookmarkEnd w:id="257"/>
      <w:bookmarkEnd w:id="258"/>
    </w:p>
    <w:p w:rsidR="004212E7" w:rsidRPr="00AB4C33" w:rsidRDefault="004212E7" w:rsidP="007C70A4">
      <w:pPr>
        <w:pStyle w:val="BodyText"/>
      </w:pPr>
      <w:r w:rsidRPr="00AB4C33">
        <w:t xml:space="preserve">Boards of Trustees of state and state-integrated schools must hold elections for parent and staff representatives every three years. Triennial elections were held in 1998, 2001, 2004, 2007 2010, and 2013. </w:t>
      </w:r>
      <w:r w:rsidRPr="00AB4C33" w:rsidDel="00FA26AC">
        <w:t>M</w:t>
      </w:r>
      <w:r w:rsidRPr="00AB4C33">
        <w:t xml:space="preserve">embership fluctuates in the intervening years due to casual vacancies, by-elections, mid-term elections and annual student representative elections (for </w:t>
      </w:r>
      <w:r w:rsidR="00EF4FB7">
        <w:t>y</w:t>
      </w:r>
      <w:r w:rsidRPr="00AB4C33">
        <w:t>ear 9 and above). School leadership and governance should reflect the nature of the school community if decisions are to be appropriate and effective for students’ educational success.</w:t>
      </w:r>
    </w:p>
    <w:p w:rsidR="004212E7" w:rsidRPr="00AB4C33" w:rsidRDefault="004212E7" w:rsidP="007C70A4">
      <w:pPr>
        <w:pStyle w:val="BodyText"/>
      </w:pPr>
      <w:r w:rsidRPr="00AB4C33">
        <w:t>If different groups in a community actively participate in the planning, development and delivery of educational services, those services are more likely to be appropriate and effective. Representation on Boards of Trustees is a way for parents and whānau to contribute to decision-making about the education of their children. It also gives parents an opportunity to share their expertise and build schools’ understanding of the life context and specific requirements of different groups of children.</w:t>
      </w:r>
      <w:bookmarkStart w:id="259" w:name="_Toc289074874"/>
    </w:p>
    <w:p w:rsidR="007C70A4" w:rsidRDefault="004212E7" w:rsidP="007C70A4">
      <w:pPr>
        <w:pStyle w:val="BodyText"/>
      </w:pPr>
      <w:r w:rsidRPr="00AB4C33">
        <w:t>In December 2012, there were 1,901 schools with a sufficient number of Māori students that, for the students to be fairly represented, we would expect to have at least one Māori parent on the school Board of Trustees.</w:t>
      </w:r>
      <w:r w:rsidRPr="00AB4C33">
        <w:rPr>
          <w:vertAlign w:val="superscript"/>
        </w:rPr>
        <w:footnoteReference w:id="29"/>
      </w:r>
      <w:r w:rsidRPr="00AB4C33">
        <w:t>. The proportion of these schools that had fair Māori representation increased from 32% in 1998 to 37% in 2012.</w:t>
      </w:r>
    </w:p>
    <w:p w:rsidR="004212E7" w:rsidRPr="00AB4C33" w:rsidRDefault="004212E7" w:rsidP="007C70A4">
      <w:pPr>
        <w:pStyle w:val="BodyText"/>
      </w:pPr>
      <w:r w:rsidRPr="00AB4C33">
        <w:t xml:space="preserve">The number of Māori parent representatives in the remaining 1,193 schools (63%) does not reflect the number of Māori students in these schools. However, demographics, such as family size, may contribute to this under representation. Based on the Population Census 2006, for every school-aged Māori child (5-19 years old) there are 1.24 Māori adults aged 25 to 49. In comparison, there are 1.81 </w:t>
      </w:r>
      <w:r w:rsidR="00EF4FB7" w:rsidRPr="00AB4C33">
        <w:t>Pākehā</w:t>
      </w:r>
      <w:r w:rsidR="00EF4FB7">
        <w:t>/</w:t>
      </w:r>
      <w:r w:rsidRPr="00AB4C33">
        <w:t xml:space="preserve">European adults for every </w:t>
      </w:r>
      <w:r w:rsidR="00EF4FB7" w:rsidRPr="00AB4C33">
        <w:t>Pākehā</w:t>
      </w:r>
      <w:r w:rsidR="00EF4FB7">
        <w:t>/</w:t>
      </w:r>
      <w:r w:rsidR="00EF4FB7" w:rsidRPr="00AB4C33">
        <w:t>European</w:t>
      </w:r>
      <w:r w:rsidRPr="00AB4C33">
        <w:t xml:space="preserve"> child. </w:t>
      </w:r>
      <w:bookmarkStart w:id="260" w:name="_Toc304214699"/>
    </w:p>
    <w:p w:rsidR="004212E7" w:rsidRPr="00AB4C33" w:rsidRDefault="004212E7" w:rsidP="00253485">
      <w:pPr>
        <w:pStyle w:val="FigureHeading"/>
        <w:rPr>
          <w:noProof/>
        </w:rPr>
      </w:pPr>
      <w:bookmarkStart w:id="261" w:name="_Toc367361612"/>
      <w:bookmarkEnd w:id="260"/>
      <w:r w:rsidRPr="00AB4C33">
        <w:rPr>
          <w:noProof/>
        </w:rPr>
        <w:t xml:space="preserve">Number of schools expected to have at least 1 Māori board member </w:t>
      </w:r>
      <w:r>
        <w:rPr>
          <w:noProof/>
        </w:rPr>
        <w:t xml:space="preserve">versus proportion of </w:t>
      </w:r>
      <w:r w:rsidRPr="00AB4C33">
        <w:rPr>
          <w:noProof/>
        </w:rPr>
        <w:t>schools with fair Māori representation, 1998–2012</w:t>
      </w:r>
      <w:bookmarkEnd w:id="261"/>
    </w:p>
    <w:p w:rsidR="004212E7" w:rsidRPr="00AB4C33" w:rsidRDefault="00B90E11" w:rsidP="00FE1B3D">
      <w:pPr>
        <w:pStyle w:val="Figure"/>
        <w:rPr>
          <w:noProof/>
          <w:highlight w:val="yellow"/>
        </w:rPr>
      </w:pPr>
      <w:r>
        <w:rPr>
          <w:noProof/>
          <w:lang w:val="en-NZ"/>
        </w:rPr>
        <w:drawing>
          <wp:inline distT="0" distB="0" distL="0" distR="0">
            <wp:extent cx="5615940" cy="2015490"/>
            <wp:effectExtent l="19050" t="0" r="3810" b="0"/>
            <wp:docPr id="95" name="Picture 94" descr="Combined line and bar graph showing 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35_HR.png"/>
                    <pic:cNvPicPr/>
                  </pic:nvPicPr>
                  <pic:blipFill>
                    <a:blip r:embed="rId69" cstate="print"/>
                    <a:stretch>
                      <a:fillRect/>
                    </a:stretch>
                  </pic:blipFill>
                  <pic:spPr>
                    <a:xfrm>
                      <a:off x="0" y="0"/>
                      <a:ext cx="5615940" cy="2015490"/>
                    </a:xfrm>
                    <a:prstGeom prst="rect">
                      <a:avLst/>
                    </a:prstGeom>
                  </pic:spPr>
                </pic:pic>
              </a:graphicData>
            </a:graphic>
          </wp:inline>
        </w:drawing>
      </w:r>
    </w:p>
    <w:bookmarkEnd w:id="259"/>
    <w:p w:rsidR="004212E7" w:rsidRPr="009901AD" w:rsidRDefault="004212E7" w:rsidP="009901AD">
      <w:pPr>
        <w:pStyle w:val="TableFootnote"/>
        <w:spacing w:after="40"/>
        <w:rPr>
          <w:bCs w:val="0"/>
          <w:highlight w:val="yellow"/>
        </w:rPr>
      </w:pPr>
    </w:p>
    <w:p w:rsidR="004212E7" w:rsidRPr="00AB4C33" w:rsidRDefault="004212E7" w:rsidP="007C70A4">
      <w:pPr>
        <w:pStyle w:val="BodyText"/>
      </w:pPr>
      <w:r w:rsidRPr="00AB4C33">
        <w:t>In 2012, there were 472 schools with a sufficient number of Pasifika students such that we would expect these students to be represented by at least one Pasifika parent on the school Board of Trustees. This expectation is based on both the number of Pasifika students and the number of positions on the Board.</w:t>
      </w:r>
    </w:p>
    <w:p w:rsidR="004212E7" w:rsidRPr="00AB4C33" w:rsidRDefault="004212E7" w:rsidP="007C70A4">
      <w:pPr>
        <w:pStyle w:val="BodyText"/>
      </w:pPr>
      <w:r w:rsidRPr="00AB4C33">
        <w:t xml:space="preserve">One of the targets included in the </w:t>
      </w:r>
      <w:r w:rsidRPr="007C70A4">
        <w:rPr>
          <w:i/>
          <w:iCs/>
        </w:rPr>
        <w:t>Pasifika Education Plan 2013</w:t>
      </w:r>
      <w:r w:rsidR="00EF4FB7">
        <w:rPr>
          <w:rFonts w:cs="Arial"/>
          <w:i/>
          <w:iCs/>
        </w:rPr>
        <w:t>–</w:t>
      </w:r>
      <w:r w:rsidRPr="007C70A4">
        <w:rPr>
          <w:i/>
          <w:iCs/>
        </w:rPr>
        <w:t xml:space="preserve">2017 </w:t>
      </w:r>
      <w:r w:rsidRPr="00AB4C33">
        <w:t>is to increase Pasifika participation on School Boards of Trustees to be proportionate to the number of Pasifika students at the school. The proportion of schools with the expected level of Pasifika representation increased from 26% in 1998 to 35% in 2012.</w:t>
      </w:r>
      <w:r w:rsidRPr="00AB4C33">
        <w:rPr>
          <w:vertAlign w:val="superscript"/>
        </w:rPr>
        <w:footnoteReference w:id="30"/>
      </w:r>
      <w:r w:rsidRPr="00AB4C33">
        <w:t xml:space="preserve"> The number of Pasifika parent representatives in the remaining 308 schools (65%) does not reflect the number of Pasifika students in these schools. As with Māori, demographics such as family size are a possible contributor to this under-representation. Based on the Population Census 2006, for every school-aged Pasifika child (5–19 years old) there are 1.17 Pasifika adults aged 25–49. In comparison, there are 1.81 Pākehā/European adults for every Pākehā/European child.</w:t>
      </w:r>
    </w:p>
    <w:p w:rsidR="004212E7" w:rsidRPr="00AB4C33" w:rsidRDefault="004212E7" w:rsidP="00253485">
      <w:pPr>
        <w:pStyle w:val="FigureHeading"/>
        <w:rPr>
          <w:noProof/>
        </w:rPr>
      </w:pPr>
      <w:bookmarkStart w:id="262" w:name="_Toc367361613"/>
      <w:r w:rsidRPr="00AB4C33">
        <w:rPr>
          <w:noProof/>
        </w:rPr>
        <w:t>Number of schools expected to have at least 1 Pasifika board member versus proportion of schools with fair Pasifika representation, 1998–2012</w:t>
      </w:r>
      <w:bookmarkEnd w:id="262"/>
    </w:p>
    <w:p w:rsidR="004212E7" w:rsidRPr="00AB4C33" w:rsidRDefault="00B90E11" w:rsidP="00FE1B3D">
      <w:pPr>
        <w:pStyle w:val="Figure"/>
        <w:rPr>
          <w:noProof/>
          <w:highlight w:val="yellow"/>
        </w:rPr>
      </w:pPr>
      <w:r>
        <w:rPr>
          <w:noProof/>
          <w:lang w:val="en-NZ"/>
        </w:rPr>
        <w:drawing>
          <wp:inline distT="0" distB="0" distL="0" distR="0">
            <wp:extent cx="5615940" cy="2012950"/>
            <wp:effectExtent l="19050" t="0" r="3810" b="0"/>
            <wp:docPr id="96" name="Picture 95" descr="Combined line and bar graph showing 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Figure_36_HR.png"/>
                    <pic:cNvPicPr/>
                  </pic:nvPicPr>
                  <pic:blipFill>
                    <a:blip r:embed="rId70" cstate="print"/>
                    <a:stretch>
                      <a:fillRect/>
                    </a:stretch>
                  </pic:blipFill>
                  <pic:spPr>
                    <a:xfrm>
                      <a:off x="0" y="0"/>
                      <a:ext cx="5615940" cy="2012950"/>
                    </a:xfrm>
                    <a:prstGeom prst="rect">
                      <a:avLst/>
                    </a:prstGeom>
                  </pic:spPr>
                </pic:pic>
              </a:graphicData>
            </a:graphic>
          </wp:inline>
        </w:drawing>
      </w:r>
    </w:p>
    <w:p w:rsidR="004212E7" w:rsidRPr="009901AD" w:rsidRDefault="004212E7" w:rsidP="009901AD">
      <w:pPr>
        <w:pStyle w:val="TableFootnote"/>
        <w:spacing w:after="40"/>
        <w:rPr>
          <w:bCs w:val="0"/>
          <w:noProof/>
          <w:szCs w:val="20"/>
          <w:highlight w:val="yellow"/>
        </w:rPr>
      </w:pPr>
    </w:p>
    <w:p w:rsidR="004212E7" w:rsidRDefault="004212E7" w:rsidP="004212E7"/>
    <w:p w:rsidR="002E31B5" w:rsidRPr="0060013A" w:rsidRDefault="002E31B5" w:rsidP="00F85A7F">
      <w:pPr>
        <w:pStyle w:val="BodyText"/>
        <w:rPr>
          <w:highlight w:val="yellow"/>
        </w:rPr>
        <w:sectPr w:rsidR="002E31B5" w:rsidRPr="0060013A" w:rsidSect="00E85C6B">
          <w:headerReference w:type="even" r:id="rId71"/>
          <w:headerReference w:type="default" r:id="rId72"/>
          <w:pgSz w:w="11906" w:h="16838"/>
          <w:pgMar w:top="1701" w:right="1361" w:bottom="1134" w:left="1701" w:header="709" w:footer="709" w:gutter="0"/>
          <w:cols w:space="567"/>
          <w:docGrid w:linePitch="360"/>
        </w:sectPr>
      </w:pPr>
    </w:p>
    <w:p w:rsidR="00154104" w:rsidRPr="0076565F" w:rsidRDefault="00154104" w:rsidP="00F81391">
      <w:pPr>
        <w:pStyle w:val="Heading1"/>
      </w:pPr>
      <w:bookmarkStart w:id="263" w:name="_Toc303511383"/>
      <w:bookmarkStart w:id="264" w:name="_Toc367361660"/>
      <w:bookmarkEnd w:id="238"/>
      <w:bookmarkEnd w:id="239"/>
      <w:bookmarkEnd w:id="240"/>
      <w:r w:rsidRPr="0076565F">
        <w:t>Appendix</w:t>
      </w:r>
      <w:bookmarkEnd w:id="263"/>
      <w:r w:rsidR="0042711D" w:rsidRPr="0076565F">
        <w:t xml:space="preserve"> </w:t>
      </w:r>
      <w:r w:rsidR="00711305">
        <w:t>one</w:t>
      </w:r>
      <w:bookmarkEnd w:id="264"/>
    </w:p>
    <w:p w:rsidR="00D14675" w:rsidRPr="0076565F" w:rsidRDefault="00D14675" w:rsidP="00D14675">
      <w:pPr>
        <w:pStyle w:val="Heading2"/>
        <w:rPr>
          <w:lang w:eastAsia="en-NZ"/>
        </w:rPr>
      </w:pPr>
      <w:bookmarkStart w:id="265" w:name="_Toc367361661"/>
      <w:r w:rsidRPr="0076565F">
        <w:rPr>
          <w:lang w:eastAsia="en-NZ"/>
        </w:rPr>
        <w:t>Plans to address pressures on school capacity</w:t>
      </w:r>
      <w:bookmarkEnd w:id="265"/>
    </w:p>
    <w:p w:rsidR="00D14675" w:rsidRPr="0076565F" w:rsidRDefault="00D14675" w:rsidP="002E741F">
      <w:pPr>
        <w:pStyle w:val="Heading3"/>
        <w:rPr>
          <w:lang w:eastAsia="en-NZ"/>
        </w:rPr>
      </w:pPr>
      <w:r w:rsidRPr="0076565F">
        <w:rPr>
          <w:lang w:eastAsia="en-NZ"/>
        </w:rPr>
        <w:t>Under Section 11Q of the Education Act 1989, the Ministry of Education is required to report on its plans to manage pressures on school capacity and to list the schools that have enrolment schemes in place.</w:t>
      </w:r>
    </w:p>
    <w:p w:rsidR="0076565F" w:rsidRPr="00BB01AA" w:rsidRDefault="0076565F" w:rsidP="007C70A4">
      <w:pPr>
        <w:pStyle w:val="BodyText"/>
      </w:pPr>
      <w:r w:rsidRPr="00BB01AA">
        <w:t>The Ministry provides three main responses to school roll growth that places pressure on school capacity. Where growth has resulted from an influx of students from areas served by other schools, a school is usually required to implement an</w:t>
      </w:r>
      <w:r w:rsidR="00EF4FB7">
        <w:t xml:space="preserve"> </w:t>
      </w:r>
      <w:r w:rsidRPr="00BB01AA">
        <w:t xml:space="preserve">enrolment scheme to ensure it is able to meet its commitment to local students. Roll trends and demographics are monitored, and schools are alerted when an enrolment scheme may need to be considered. Where there is genuine local growth from the natural catchment area of the school, particularly in an area where enrolment schemes already exist, additional classrooms are usually provided. In areas of major population growth, demographic information guides planning for new schools, with sites purchased well in advance of projected need. </w:t>
      </w:r>
    </w:p>
    <w:p w:rsidR="0076565F" w:rsidRPr="000813F7" w:rsidRDefault="0076565F" w:rsidP="000813F7">
      <w:pPr>
        <w:pStyle w:val="Heading4"/>
        <w:rPr>
          <w:rStyle w:val="BodyTextChar"/>
        </w:rPr>
      </w:pPr>
      <w:r>
        <w:t>Northern Region</w:t>
      </w:r>
    </w:p>
    <w:p w:rsidR="0076565F" w:rsidRDefault="0076565F" w:rsidP="007C70A4">
      <w:pPr>
        <w:pStyle w:val="BodyText"/>
      </w:pPr>
      <w:r w:rsidRPr="007C70A4">
        <w:t>Many</w:t>
      </w:r>
      <w:r>
        <w:t xml:space="preserve"> areas in Auckland are experiencing significant population growth in line with the Auckland Regional Growth Strategy, with which the Ministry’s new schools programme is closely aligned. </w:t>
      </w:r>
    </w:p>
    <w:p w:rsidR="0076565F" w:rsidRDefault="0076565F" w:rsidP="000813F7">
      <w:pPr>
        <w:pStyle w:val="BodyText"/>
      </w:pPr>
      <w:r>
        <w:t>The programme of construction of new schools in Auckland continues. Hingaia Peninsular School</w:t>
      </w:r>
      <w:r w:rsidR="00EF4FB7">
        <w:t xml:space="preserve"> opened in </w:t>
      </w:r>
      <w:r>
        <w:t>2012. A primary and a secondary school are currently being built at Hobsonville, using a Public Private Partnership (PPP) model. Hobsonville Point Primary School opened at the beginning of 2013 and Hobsonville Point Secondary School will open in 2014. Planning is also underway for an additional primary school and junior high school at Ormiston. These are planned to open in 2015and 2016 respectively.</w:t>
      </w:r>
    </w:p>
    <w:p w:rsidR="0076565F" w:rsidRPr="000813F7" w:rsidRDefault="0076565F" w:rsidP="000813F7">
      <w:pPr>
        <w:pStyle w:val="BodyText"/>
      </w:pPr>
      <w:r w:rsidRPr="000813F7">
        <w:t>Increased demand is als</w:t>
      </w:r>
      <w:r w:rsidR="00EF4FB7">
        <w:t xml:space="preserve">o being managed through the use </w:t>
      </w:r>
      <w:r w:rsidRPr="000813F7">
        <w:t>of enrolment schemes and the provision of additional classrooms. During 2012, 61 schemes were reviewed, one was amended and none were abandoned. Six new schemes were implemented. For the 2012 calendar year, roll growth reports recommended that a total of 90 new roll-growth classrooms be provided to schools.</w:t>
      </w:r>
    </w:p>
    <w:p w:rsidR="0076565F" w:rsidRPr="00A766F1" w:rsidRDefault="0076565F" w:rsidP="000813F7">
      <w:pPr>
        <w:pStyle w:val="Heading4"/>
      </w:pPr>
      <w:r w:rsidRPr="00A766F1">
        <w:t>Central North Region</w:t>
      </w:r>
    </w:p>
    <w:p w:rsidR="0076565F" w:rsidRPr="00056790" w:rsidRDefault="0076565F" w:rsidP="007C70A4">
      <w:pPr>
        <w:pStyle w:val="BodyText"/>
      </w:pPr>
      <w:r w:rsidRPr="00056790">
        <w:t>In early 2010, structural issues relating to some Prefabricated Modular Classroom (PMC) buildings were identified as being a significant structural risk</w:t>
      </w:r>
      <w:r>
        <w:t xml:space="preserve"> across the Hawke’s Bay.</w:t>
      </w:r>
      <w:r w:rsidR="00235FD2">
        <w:t xml:space="preserve"> </w:t>
      </w:r>
      <w:r w:rsidRPr="00056790">
        <w:t>The Hawke’s Bay PMC situation will provide the opportunity to consider how schooling may be strengthened from a wider perspective. A project group has been established within the Ministry to manage the implementation, once the process has been agreed with the Minister.</w:t>
      </w:r>
    </w:p>
    <w:p w:rsidR="0076565F" w:rsidRPr="00A766F1" w:rsidRDefault="0076565F" w:rsidP="007C70A4">
      <w:pPr>
        <w:pStyle w:val="BodyText"/>
      </w:pPr>
      <w:r>
        <w:t>There are no areas of significant demographic change in the Hawke’s Bay and most change relates to areas of decline and the need to consider how schooling should be reorganised.</w:t>
      </w:r>
      <w:r w:rsidR="00235FD2">
        <w:t xml:space="preserve"> </w:t>
      </w:r>
      <w:r>
        <w:t>Most changes will occur through the Ministry’s response to schools affected by the PMC earthquake-prone buildings reinstatement project.</w:t>
      </w:r>
    </w:p>
    <w:p w:rsidR="0076565F" w:rsidRPr="00BB01AA" w:rsidRDefault="0076565F" w:rsidP="007C70A4">
      <w:pPr>
        <w:pStyle w:val="BodyText"/>
      </w:pPr>
      <w:r w:rsidRPr="00A766F1">
        <w:t xml:space="preserve">The focus area of growth in the Bay of Plenty is </w:t>
      </w:r>
      <w:r>
        <w:t>in</w:t>
      </w:r>
      <w:r w:rsidRPr="00A766F1">
        <w:t xml:space="preserve"> Pyes Pa (The Lakes), where the Ministry owns land for future schooling.</w:t>
      </w:r>
      <w:r w:rsidR="00235FD2">
        <w:t xml:space="preserve"> </w:t>
      </w:r>
      <w:r>
        <w:t>Consideration for a new school in this area has been placed on the Central North Region’s five-year planning priority schedule.</w:t>
      </w:r>
    </w:p>
    <w:p w:rsidR="0076565F" w:rsidRPr="00BB01AA" w:rsidRDefault="0076565F" w:rsidP="007C70A4">
      <w:pPr>
        <w:pStyle w:val="BodyText"/>
      </w:pPr>
      <w:r w:rsidRPr="00BB01AA">
        <w:t>In Kawerau</w:t>
      </w:r>
      <w:r>
        <w:t xml:space="preserve"> and Murupara</w:t>
      </w:r>
      <w:r w:rsidRPr="00BB01AA">
        <w:t xml:space="preserve"> the decisions </w:t>
      </w:r>
      <w:r>
        <w:t>relating to</w:t>
      </w:r>
      <w:r w:rsidRPr="00BB01AA">
        <w:t xml:space="preserve"> the </w:t>
      </w:r>
      <w:r>
        <w:t>reorganisation of schooling are now in the implementation stages.</w:t>
      </w:r>
      <w:r w:rsidR="00235FD2">
        <w:t xml:space="preserve"> </w:t>
      </w:r>
      <w:r>
        <w:t>The Ministry continues to support the respective school Boards of Trustees through this process.</w:t>
      </w:r>
    </w:p>
    <w:p w:rsidR="0076565F" w:rsidRDefault="0076565F" w:rsidP="007C70A4">
      <w:pPr>
        <w:pStyle w:val="BodyText"/>
      </w:pPr>
      <w:r>
        <w:t>The Minister announced new schooling proposals for the north-east of Hamilton on 8 March 2013.</w:t>
      </w:r>
      <w:r w:rsidR="00235FD2">
        <w:t xml:space="preserve"> </w:t>
      </w:r>
      <w:r>
        <w:t>Consultation for a new contributing primary school in north-east Hamilton has commenced and the consultation for the intermediate/secondary level schooling proposals will be undertaken over August and September 2013.</w:t>
      </w:r>
    </w:p>
    <w:p w:rsidR="0076565F" w:rsidRPr="00BB01AA" w:rsidRDefault="0076565F" w:rsidP="007C70A4">
      <w:pPr>
        <w:pStyle w:val="BodyText"/>
      </w:pPr>
      <w:r>
        <w:t>Demographic changes across the Local Authority Districts in the Central North Region continue to be monitored through the regional planning process. Areas of minor change in relation to growth and decline are responded to through the implementation of enrolment schemes, or provision of additional classroom capacity.</w:t>
      </w:r>
    </w:p>
    <w:p w:rsidR="0076565F" w:rsidRPr="00CF1F50" w:rsidRDefault="0076565F" w:rsidP="00CF1F50">
      <w:pPr>
        <w:pStyle w:val="Heading4"/>
      </w:pPr>
      <w:r w:rsidRPr="00CF1F50">
        <w:t>Central South Region</w:t>
      </w:r>
    </w:p>
    <w:p w:rsidR="0076565F" w:rsidRPr="00BB01AA" w:rsidRDefault="0076565F" w:rsidP="007C70A4">
      <w:pPr>
        <w:pStyle w:val="BodyText"/>
      </w:pPr>
      <w:r w:rsidRPr="00BB01AA">
        <w:t>The Central South Region has continued to operate with reasonably stable rolls. There were only a few areas of growth in the primary school-aged population that caused roll pressure on some schools in the region. Additional (roll growth) accommodation and/or an enrolment scheme were implemented as appropriate.</w:t>
      </w:r>
    </w:p>
    <w:p w:rsidR="0076565F" w:rsidRPr="00BB01AA" w:rsidRDefault="0076565F" w:rsidP="007C70A4">
      <w:pPr>
        <w:pStyle w:val="BodyText"/>
      </w:pPr>
      <w:r w:rsidRPr="00BB01AA">
        <w:t xml:space="preserve">Across the region approximately 130 schools operate an enrolment scheme and the Ministry engaged with each Board in the annual review of their scheme. From these reviews, schemes were abandoned at </w:t>
      </w:r>
      <w:r>
        <w:t>two</w:t>
      </w:r>
      <w:r w:rsidRPr="00BB01AA">
        <w:t xml:space="preserve"> primary schools and </w:t>
      </w:r>
      <w:r>
        <w:t>three</w:t>
      </w:r>
      <w:r w:rsidRPr="00BB01AA">
        <w:t xml:space="preserve"> enrolment schemes were amended</w:t>
      </w:r>
      <w:r>
        <w:t>.</w:t>
      </w:r>
      <w:r w:rsidRPr="00BB01AA">
        <w:t xml:space="preserve"> There were </w:t>
      </w:r>
      <w:r>
        <w:t>six</w:t>
      </w:r>
      <w:r w:rsidRPr="00BB01AA">
        <w:t xml:space="preserve"> new enrolment schemes introduced at primary schools during 201</w:t>
      </w:r>
      <w:r>
        <w:t>2</w:t>
      </w:r>
      <w:r w:rsidRPr="00BB01AA">
        <w:t>. Enrolment schemes have generally be</w:t>
      </w:r>
      <w:r>
        <w:t>en effective in assisting Board</w:t>
      </w:r>
      <w:r w:rsidRPr="00BB01AA">
        <w:t>s to manage their rolls.</w:t>
      </w:r>
    </w:p>
    <w:p w:rsidR="0076565F" w:rsidRPr="00BB01AA" w:rsidRDefault="0076565F" w:rsidP="007C70A4">
      <w:pPr>
        <w:pStyle w:val="BodyText"/>
      </w:pPr>
      <w:r w:rsidRPr="00BB01AA">
        <w:t xml:space="preserve">Maximum Roll Increases for state-integrated schools were approved for </w:t>
      </w:r>
      <w:r>
        <w:t>three</w:t>
      </w:r>
      <w:r w:rsidRPr="00BB01AA">
        <w:t xml:space="preserve"> schools in the Region. As these school networks are under roll pressure, the approvals add a little extra capacity in the network.</w:t>
      </w:r>
    </w:p>
    <w:p w:rsidR="0076565F" w:rsidRPr="00BB01AA" w:rsidRDefault="00287DF5" w:rsidP="007C70A4">
      <w:pPr>
        <w:pStyle w:val="BodyText"/>
      </w:pPr>
      <w:r>
        <w:t>Two</w:t>
      </w:r>
      <w:r w:rsidR="0076565F">
        <w:t xml:space="preserve"> small rural </w:t>
      </w:r>
      <w:r>
        <w:t xml:space="preserve">schools were closed </w:t>
      </w:r>
      <w:r w:rsidR="0076565F">
        <w:t>in 2012 and the new Amesbury School in the Wellington suburb of Churton Park opened from Term 1, 2012. Other major cha</w:t>
      </w:r>
      <w:r>
        <w:t>nge proposals</w:t>
      </w:r>
      <w:r w:rsidR="0076565F">
        <w:t xml:space="preserve"> included approvals for one decapitation (Rewa Rewa School) to become Year 1-6, one recapitation (Manakau School) to become Year 1-8 and late in the year an approval for the integration of Wanganui Collegiate School. </w:t>
      </w:r>
    </w:p>
    <w:p w:rsidR="0076565F" w:rsidRPr="00CF1F50" w:rsidRDefault="0076565F" w:rsidP="00CF1F50">
      <w:pPr>
        <w:pStyle w:val="Heading4"/>
      </w:pPr>
      <w:r w:rsidRPr="00CF1F50">
        <w:t>Southern Region</w:t>
      </w:r>
    </w:p>
    <w:p w:rsidR="0076565F" w:rsidRPr="000703CC" w:rsidRDefault="0076565F" w:rsidP="007C70A4">
      <w:pPr>
        <w:pStyle w:val="BodyText"/>
      </w:pPr>
      <w:r w:rsidRPr="000703CC">
        <w:t>Enrolment patterns across Christchurch City and the neighbouring districts of Waimakariri and Selwyn continue to be disrupted as a result of the earthquakes in September 2010 and February 2011. The Minister began consultation on closures and mergers of schools in affected areas in 2012.</w:t>
      </w:r>
    </w:p>
    <w:p w:rsidR="0076565F" w:rsidRPr="000703CC" w:rsidRDefault="00287DF5" w:rsidP="007C70A4">
      <w:pPr>
        <w:pStyle w:val="BodyText"/>
      </w:pPr>
      <w:r>
        <w:t>Twelve classrooms</w:t>
      </w:r>
      <w:r w:rsidR="0076565F">
        <w:t xml:space="preserve"> </w:t>
      </w:r>
      <w:r>
        <w:t xml:space="preserve">were </w:t>
      </w:r>
      <w:r w:rsidR="0076565F" w:rsidRPr="000703CC">
        <w:t>constructed at C</w:t>
      </w:r>
      <w:r>
        <w:t>lea</w:t>
      </w:r>
      <w:r w:rsidR="00A776DA">
        <w:t>r</w:t>
      </w:r>
      <w:r>
        <w:t xml:space="preserve">view Primary in Rolleston </w:t>
      </w:r>
      <w:r w:rsidR="0076565F" w:rsidRPr="000703CC">
        <w:t>ready for the start of the 2013 school year. The enrolment scheme home zone for Remarkables Primary School wa</w:t>
      </w:r>
      <w:r w:rsidR="0076565F">
        <w:t>s</w:t>
      </w:r>
      <w:r w:rsidR="0076565F" w:rsidRPr="000703CC">
        <w:t xml:space="preserve"> reduced</w:t>
      </w:r>
      <w:r w:rsidR="0076565F">
        <w:t xml:space="preserve"> in size </w:t>
      </w:r>
      <w:r w:rsidR="0076565F" w:rsidRPr="000703CC">
        <w:t xml:space="preserve">to </w:t>
      </w:r>
      <w:r w:rsidR="0076565F">
        <w:t xml:space="preserve">manage the </w:t>
      </w:r>
      <w:r w:rsidR="0076565F" w:rsidRPr="000703CC">
        <w:t>risk of overcrowding</w:t>
      </w:r>
      <w:r w:rsidR="0076565F">
        <w:t xml:space="preserve"> at the school and a</w:t>
      </w:r>
      <w:r w:rsidR="0076565F" w:rsidRPr="000703CC">
        <w:t>dditional classrooms have also been provided.</w:t>
      </w:r>
      <w:r w:rsidR="00235FD2">
        <w:t xml:space="preserve"> </w:t>
      </w:r>
      <w:r w:rsidR="0076565F" w:rsidRPr="000703CC">
        <w:t>Planning a new school in Wakatipu Basin was progressed, with an anticipated opening date of 2015.</w:t>
      </w:r>
    </w:p>
    <w:p w:rsidR="0076565F" w:rsidRPr="000703CC" w:rsidRDefault="0076565F" w:rsidP="007C70A4">
      <w:pPr>
        <w:pStyle w:val="BodyText"/>
      </w:pPr>
      <w:r w:rsidRPr="000703CC">
        <w:t>Three</w:t>
      </w:r>
      <w:r w:rsidR="00EF4FB7">
        <w:t xml:space="preserve"> </w:t>
      </w:r>
      <w:r w:rsidRPr="000703CC">
        <w:t>new enrolment schemes were implemented during 2012 due to continued localised population growth within the region. No schools aba</w:t>
      </w:r>
      <w:r>
        <w:t>ndoned enrolment schemes</w:t>
      </w:r>
      <w:r w:rsidRPr="000703CC">
        <w:t xml:space="preserve">. </w:t>
      </w:r>
    </w:p>
    <w:p w:rsidR="005669F6" w:rsidRPr="00E93EC6" w:rsidRDefault="00834CA7" w:rsidP="00546C49">
      <w:pPr>
        <w:pStyle w:val="Heading2"/>
        <w:sectPr w:rsidR="005669F6" w:rsidRPr="00E93EC6" w:rsidSect="00E85C6B">
          <w:headerReference w:type="even" r:id="rId73"/>
          <w:headerReference w:type="default" r:id="rId74"/>
          <w:pgSz w:w="11906" w:h="16838"/>
          <w:pgMar w:top="1701" w:right="1134" w:bottom="1134" w:left="1134" w:header="709" w:footer="709" w:gutter="0"/>
          <w:cols w:space="567"/>
          <w:docGrid w:linePitch="360"/>
        </w:sectPr>
      </w:pPr>
      <w:r w:rsidRPr="0060013A">
        <w:rPr>
          <w:highlight w:val="yellow"/>
        </w:rPr>
        <w:br w:type="page"/>
      </w:r>
      <w:bookmarkStart w:id="266" w:name="_Toc367361662"/>
      <w:bookmarkStart w:id="267" w:name="_Toc303511386"/>
      <w:r w:rsidR="005669F6" w:rsidRPr="00E93EC6">
        <w:t>Schools with enrolment schemes in place for part of or all of 201</w:t>
      </w:r>
      <w:r w:rsidR="00B3676A" w:rsidRPr="00E93EC6">
        <w:t>2</w:t>
      </w:r>
      <w:bookmarkEnd w:id="266"/>
    </w:p>
    <w:tbl>
      <w:tblPr>
        <w:tblW w:w="4763" w:type="dxa"/>
        <w:jc w:val="center"/>
        <w:tblLayout w:type="fixed"/>
        <w:tblCellMar>
          <w:left w:w="57" w:type="dxa"/>
          <w:right w:w="57" w:type="dxa"/>
        </w:tblCellMar>
        <w:tblLook w:val="04A0"/>
      </w:tblPr>
      <w:tblGrid>
        <w:gridCol w:w="748"/>
        <w:gridCol w:w="2333"/>
        <w:gridCol w:w="907"/>
        <w:gridCol w:w="775"/>
      </w:tblGrid>
      <w:tr w:rsidR="009901AD" w:rsidRPr="00D77804" w:rsidTr="009901AD">
        <w:trPr>
          <w:tblHeader/>
          <w:jc w:val="center"/>
        </w:trPr>
        <w:tc>
          <w:tcPr>
            <w:tcW w:w="748" w:type="dxa"/>
            <w:vAlign w:val="bottom"/>
          </w:tcPr>
          <w:p w:rsidR="009901AD" w:rsidRPr="00D77804" w:rsidRDefault="009901AD" w:rsidP="009901AD">
            <w:pPr>
              <w:pStyle w:val="AppendixTableHeading"/>
            </w:pPr>
            <w:r w:rsidRPr="00D77804">
              <w:t>Institution number</w:t>
            </w:r>
          </w:p>
        </w:tc>
        <w:tc>
          <w:tcPr>
            <w:tcW w:w="2333" w:type="dxa"/>
            <w:vAlign w:val="bottom"/>
          </w:tcPr>
          <w:p w:rsidR="009901AD" w:rsidRPr="00D77804" w:rsidRDefault="009901AD" w:rsidP="009901AD">
            <w:pPr>
              <w:pStyle w:val="AppendixTableHeading"/>
            </w:pPr>
            <w:r w:rsidRPr="00D77804">
              <w:t>School name</w:t>
            </w:r>
          </w:p>
        </w:tc>
        <w:tc>
          <w:tcPr>
            <w:tcW w:w="907" w:type="dxa"/>
            <w:vAlign w:val="bottom"/>
          </w:tcPr>
          <w:p w:rsidR="009901AD" w:rsidRPr="00D77804" w:rsidRDefault="009901AD" w:rsidP="009901AD">
            <w:pPr>
              <w:pStyle w:val="AppendixTableHeading"/>
            </w:pPr>
            <w:r w:rsidRPr="00D77804">
              <w:t>Date enrolment scheme was approved</w:t>
            </w:r>
          </w:p>
        </w:tc>
        <w:tc>
          <w:tcPr>
            <w:tcW w:w="775" w:type="dxa"/>
            <w:vAlign w:val="bottom"/>
          </w:tcPr>
          <w:p w:rsidR="009901AD" w:rsidRPr="00D77804" w:rsidRDefault="009901AD" w:rsidP="009901AD">
            <w:pPr>
              <w:pStyle w:val="AppendixTableHeadingright"/>
            </w:pPr>
            <w:r w:rsidRPr="00D77804">
              <w:t>Adjacent school with enrolment scheme exists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3700</w:t>
            </w:r>
          </w:p>
        </w:tc>
        <w:tc>
          <w:tcPr>
            <w:tcW w:w="2333" w:type="dxa"/>
            <w:shd w:val="clear" w:color="auto" w:fill="auto"/>
          </w:tcPr>
          <w:p w:rsidR="009901AD" w:rsidRDefault="009901AD" w:rsidP="009901AD">
            <w:pPr>
              <w:pStyle w:val="AppendixTableText"/>
            </w:pPr>
            <w:r>
              <w:t>Abbotsford School</w:t>
            </w:r>
          </w:p>
        </w:tc>
        <w:tc>
          <w:tcPr>
            <w:tcW w:w="907" w:type="dxa"/>
            <w:shd w:val="clear" w:color="auto" w:fill="auto"/>
          </w:tcPr>
          <w:p w:rsidR="009901AD" w:rsidRDefault="009901AD" w:rsidP="009901AD">
            <w:pPr>
              <w:pStyle w:val="AppendixTableText"/>
            </w:pPr>
            <w:r>
              <w:t>23/08/2005</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1680</w:t>
            </w:r>
          </w:p>
        </w:tc>
        <w:tc>
          <w:tcPr>
            <w:tcW w:w="2333" w:type="dxa"/>
            <w:shd w:val="clear" w:color="auto" w:fill="auto"/>
          </w:tcPr>
          <w:p w:rsidR="009901AD" w:rsidRDefault="009901AD" w:rsidP="009901AD">
            <w:pPr>
              <w:pStyle w:val="AppendixTableText"/>
            </w:pPr>
            <w:r>
              <w:t>Aberdeen School</w:t>
            </w:r>
          </w:p>
        </w:tc>
        <w:tc>
          <w:tcPr>
            <w:tcW w:w="907" w:type="dxa"/>
            <w:shd w:val="clear" w:color="auto" w:fill="auto"/>
          </w:tcPr>
          <w:p w:rsidR="009901AD" w:rsidRDefault="009901AD" w:rsidP="009901AD">
            <w:pPr>
              <w:pStyle w:val="AppendixTableText"/>
            </w:pPr>
            <w:r>
              <w:t>20/12/1999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1195</w:t>
            </w:r>
          </w:p>
        </w:tc>
        <w:tc>
          <w:tcPr>
            <w:tcW w:w="2333" w:type="dxa"/>
            <w:shd w:val="clear" w:color="auto" w:fill="auto"/>
          </w:tcPr>
          <w:p w:rsidR="009901AD" w:rsidRDefault="009901AD" w:rsidP="009901AD">
            <w:pPr>
              <w:pStyle w:val="AppendixTableText"/>
            </w:pPr>
            <w:r>
              <w:t>Adventure School</w:t>
            </w:r>
          </w:p>
        </w:tc>
        <w:tc>
          <w:tcPr>
            <w:tcW w:w="907" w:type="dxa"/>
            <w:shd w:val="clear" w:color="auto" w:fill="auto"/>
          </w:tcPr>
          <w:p w:rsidR="009901AD" w:rsidRDefault="009901AD" w:rsidP="009901AD">
            <w:pPr>
              <w:pStyle w:val="AppendixTableText"/>
            </w:pPr>
            <w:r>
              <w:t>23/06/2008</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82</w:t>
            </w:r>
          </w:p>
        </w:tc>
        <w:tc>
          <w:tcPr>
            <w:tcW w:w="2333" w:type="dxa"/>
            <w:shd w:val="clear" w:color="auto" w:fill="auto"/>
          </w:tcPr>
          <w:p w:rsidR="009901AD" w:rsidRDefault="009901AD" w:rsidP="009901AD">
            <w:pPr>
              <w:pStyle w:val="AppendixTableText"/>
            </w:pPr>
            <w:r>
              <w:t>Aidanfield Christian School</w:t>
            </w:r>
          </w:p>
        </w:tc>
        <w:tc>
          <w:tcPr>
            <w:tcW w:w="907" w:type="dxa"/>
            <w:shd w:val="clear" w:color="auto" w:fill="auto"/>
          </w:tcPr>
          <w:p w:rsidR="009901AD" w:rsidRDefault="009901AD" w:rsidP="009901AD">
            <w:pPr>
              <w:pStyle w:val="AppendixTableText"/>
            </w:pPr>
            <w:r>
              <w:t>8/09/2005</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6948</w:t>
            </w:r>
          </w:p>
        </w:tc>
        <w:tc>
          <w:tcPr>
            <w:tcW w:w="2333" w:type="dxa"/>
            <w:shd w:val="clear" w:color="auto" w:fill="auto"/>
          </w:tcPr>
          <w:p w:rsidR="009901AD" w:rsidRDefault="009901AD" w:rsidP="009901AD">
            <w:pPr>
              <w:pStyle w:val="AppendixTableText"/>
            </w:pPr>
            <w:r>
              <w:t>Albany Junior High School</w:t>
            </w:r>
          </w:p>
        </w:tc>
        <w:tc>
          <w:tcPr>
            <w:tcW w:w="907" w:type="dxa"/>
            <w:shd w:val="clear" w:color="auto" w:fill="auto"/>
          </w:tcPr>
          <w:p w:rsidR="009901AD" w:rsidRDefault="009901AD" w:rsidP="009901AD">
            <w:pPr>
              <w:pStyle w:val="AppendixTableText"/>
            </w:pPr>
            <w:r>
              <w:t>30/10/2004</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1202</w:t>
            </w:r>
          </w:p>
        </w:tc>
        <w:tc>
          <w:tcPr>
            <w:tcW w:w="2333" w:type="dxa"/>
            <w:shd w:val="clear" w:color="auto" w:fill="auto"/>
          </w:tcPr>
          <w:p w:rsidR="009901AD" w:rsidRDefault="009901AD" w:rsidP="009901AD">
            <w:pPr>
              <w:pStyle w:val="AppendixTableText"/>
            </w:pPr>
            <w:r>
              <w:t>Albany School</w:t>
            </w:r>
          </w:p>
        </w:tc>
        <w:tc>
          <w:tcPr>
            <w:tcW w:w="907" w:type="dxa"/>
            <w:shd w:val="clear" w:color="auto" w:fill="auto"/>
          </w:tcPr>
          <w:p w:rsidR="009901AD" w:rsidRDefault="009901AD" w:rsidP="009901AD">
            <w:pPr>
              <w:pStyle w:val="AppendixTableText"/>
            </w:pPr>
            <w:r>
              <w:t>24/10/2000</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563</w:t>
            </w:r>
          </w:p>
        </w:tc>
        <w:tc>
          <w:tcPr>
            <w:tcW w:w="2333" w:type="dxa"/>
            <w:shd w:val="clear" w:color="auto" w:fill="auto"/>
          </w:tcPr>
          <w:p w:rsidR="009901AD" w:rsidRDefault="009901AD" w:rsidP="009901AD">
            <w:pPr>
              <w:pStyle w:val="AppendixTableText"/>
            </w:pPr>
            <w:r>
              <w:t>Albany Senior High School</w:t>
            </w:r>
          </w:p>
        </w:tc>
        <w:tc>
          <w:tcPr>
            <w:tcW w:w="907" w:type="dxa"/>
            <w:shd w:val="clear" w:color="auto" w:fill="auto"/>
          </w:tcPr>
          <w:p w:rsidR="009901AD" w:rsidRDefault="009901AD" w:rsidP="009901AD">
            <w:pPr>
              <w:pStyle w:val="AppendixTableText"/>
            </w:pPr>
            <w:r>
              <w:t>22/07/2008</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6929</w:t>
            </w:r>
          </w:p>
        </w:tc>
        <w:tc>
          <w:tcPr>
            <w:tcW w:w="2333" w:type="dxa"/>
            <w:shd w:val="clear" w:color="auto" w:fill="auto"/>
          </w:tcPr>
          <w:p w:rsidR="009901AD" w:rsidRDefault="009901AD" w:rsidP="009901AD">
            <w:pPr>
              <w:pStyle w:val="AppendixTableText"/>
            </w:pPr>
            <w:r>
              <w:t>Alfriston College</w:t>
            </w:r>
          </w:p>
        </w:tc>
        <w:tc>
          <w:tcPr>
            <w:tcW w:w="907" w:type="dxa"/>
            <w:shd w:val="clear" w:color="auto" w:fill="auto"/>
          </w:tcPr>
          <w:p w:rsidR="009901AD" w:rsidRDefault="009901AD" w:rsidP="009901AD">
            <w:pPr>
              <w:pStyle w:val="AppendixTableText"/>
            </w:pPr>
            <w:r>
              <w:t>5/05/2003</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1203</w:t>
            </w:r>
          </w:p>
        </w:tc>
        <w:tc>
          <w:tcPr>
            <w:tcW w:w="2333" w:type="dxa"/>
            <w:shd w:val="clear" w:color="auto" w:fill="auto"/>
          </w:tcPr>
          <w:p w:rsidR="009901AD" w:rsidRDefault="009901AD" w:rsidP="009901AD">
            <w:pPr>
              <w:pStyle w:val="AppendixTableText"/>
            </w:pPr>
            <w:r>
              <w:t>Alfriston School</w:t>
            </w:r>
          </w:p>
        </w:tc>
        <w:tc>
          <w:tcPr>
            <w:tcW w:w="907" w:type="dxa"/>
            <w:shd w:val="clear" w:color="auto" w:fill="auto"/>
          </w:tcPr>
          <w:p w:rsidR="009901AD" w:rsidRDefault="009901AD" w:rsidP="009901AD">
            <w:pPr>
              <w:pStyle w:val="AppendixTableText"/>
            </w:pPr>
            <w:r>
              <w:t>30/09/1999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1681</w:t>
            </w:r>
          </w:p>
        </w:tc>
        <w:tc>
          <w:tcPr>
            <w:tcW w:w="2333" w:type="dxa"/>
            <w:shd w:val="clear" w:color="auto" w:fill="auto"/>
          </w:tcPr>
          <w:p w:rsidR="009901AD" w:rsidRDefault="009901AD" w:rsidP="009901AD">
            <w:pPr>
              <w:pStyle w:val="AppendixTableText"/>
            </w:pPr>
            <w:r>
              <w:t>Allandale School</w:t>
            </w:r>
          </w:p>
        </w:tc>
        <w:tc>
          <w:tcPr>
            <w:tcW w:w="907" w:type="dxa"/>
            <w:shd w:val="clear" w:color="auto" w:fill="auto"/>
          </w:tcPr>
          <w:p w:rsidR="009901AD" w:rsidRDefault="009901AD" w:rsidP="009901AD">
            <w:pPr>
              <w:pStyle w:val="AppendixTableText"/>
            </w:pPr>
            <w:r>
              <w:t>10/11/2010</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3274</w:t>
            </w:r>
          </w:p>
        </w:tc>
        <w:tc>
          <w:tcPr>
            <w:tcW w:w="2333" w:type="dxa"/>
            <w:shd w:val="clear" w:color="auto" w:fill="auto"/>
          </w:tcPr>
          <w:p w:rsidR="009901AD" w:rsidRDefault="009901AD" w:rsidP="009901AD">
            <w:pPr>
              <w:pStyle w:val="AppendixTableText"/>
            </w:pPr>
            <w:r>
              <w:t>Allenton School</w:t>
            </w:r>
          </w:p>
        </w:tc>
        <w:tc>
          <w:tcPr>
            <w:tcW w:w="907" w:type="dxa"/>
            <w:shd w:val="clear" w:color="auto" w:fill="auto"/>
          </w:tcPr>
          <w:p w:rsidR="009901AD" w:rsidRDefault="009901AD" w:rsidP="009901AD">
            <w:pPr>
              <w:pStyle w:val="AppendixTableText"/>
            </w:pPr>
            <w:r>
              <w:t>31/05/2002</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3276</w:t>
            </w:r>
          </w:p>
        </w:tc>
        <w:tc>
          <w:tcPr>
            <w:tcW w:w="2333" w:type="dxa"/>
            <w:shd w:val="clear" w:color="auto" w:fill="auto"/>
          </w:tcPr>
          <w:p w:rsidR="009901AD" w:rsidRDefault="009901AD" w:rsidP="009901AD">
            <w:pPr>
              <w:pStyle w:val="AppendixTableText"/>
            </w:pPr>
            <w:r>
              <w:t>Amberley School</w:t>
            </w:r>
          </w:p>
        </w:tc>
        <w:tc>
          <w:tcPr>
            <w:tcW w:w="907" w:type="dxa"/>
            <w:shd w:val="clear" w:color="auto" w:fill="auto"/>
          </w:tcPr>
          <w:p w:rsidR="009901AD" w:rsidRDefault="009901AD" w:rsidP="009901AD">
            <w:pPr>
              <w:pStyle w:val="AppendixTableText"/>
            </w:pPr>
            <w:r>
              <w:t>24/01/2007</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614</w:t>
            </w:r>
          </w:p>
        </w:tc>
        <w:tc>
          <w:tcPr>
            <w:tcW w:w="2333" w:type="dxa"/>
            <w:shd w:val="clear" w:color="auto" w:fill="auto"/>
          </w:tcPr>
          <w:p w:rsidR="009901AD" w:rsidRDefault="009901AD" w:rsidP="009901AD">
            <w:pPr>
              <w:pStyle w:val="AppendixTableText"/>
            </w:pPr>
            <w:r>
              <w:t>Amesbury School</w:t>
            </w:r>
          </w:p>
        </w:tc>
        <w:tc>
          <w:tcPr>
            <w:tcW w:w="907" w:type="dxa"/>
            <w:shd w:val="clear" w:color="auto" w:fill="auto"/>
          </w:tcPr>
          <w:p w:rsidR="009901AD" w:rsidRDefault="009901AD" w:rsidP="009901AD">
            <w:pPr>
              <w:pStyle w:val="AppendixTableText"/>
            </w:pPr>
            <w:r>
              <w:t>7/03/2011</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96</w:t>
            </w:r>
          </w:p>
        </w:tc>
        <w:tc>
          <w:tcPr>
            <w:tcW w:w="2333" w:type="dxa"/>
            <w:shd w:val="clear" w:color="auto" w:fill="auto"/>
          </w:tcPr>
          <w:p w:rsidR="009901AD" w:rsidRDefault="009901AD" w:rsidP="009901AD">
            <w:pPr>
              <w:pStyle w:val="AppendixTableText"/>
            </w:pPr>
            <w:r>
              <w:t>Aorere College</w:t>
            </w:r>
          </w:p>
        </w:tc>
        <w:tc>
          <w:tcPr>
            <w:tcW w:w="907" w:type="dxa"/>
            <w:shd w:val="clear" w:color="auto" w:fill="auto"/>
          </w:tcPr>
          <w:p w:rsidR="009901AD" w:rsidRDefault="009901AD" w:rsidP="009901AD">
            <w:pPr>
              <w:pStyle w:val="AppendixTableText"/>
            </w:pPr>
            <w:r>
              <w:t>4/09/2009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253</w:t>
            </w:r>
          </w:p>
        </w:tc>
        <w:tc>
          <w:tcPr>
            <w:tcW w:w="2333" w:type="dxa"/>
            <w:shd w:val="clear" w:color="auto" w:fill="auto"/>
          </w:tcPr>
          <w:p w:rsidR="009901AD" w:rsidRDefault="009901AD" w:rsidP="009901AD">
            <w:pPr>
              <w:pStyle w:val="AppendixTableText"/>
            </w:pPr>
            <w:r>
              <w:t>Aotea College</w:t>
            </w:r>
          </w:p>
        </w:tc>
        <w:tc>
          <w:tcPr>
            <w:tcW w:w="907" w:type="dxa"/>
            <w:shd w:val="clear" w:color="auto" w:fill="auto"/>
          </w:tcPr>
          <w:p w:rsidR="009901AD" w:rsidRDefault="009901AD" w:rsidP="009901AD">
            <w:pPr>
              <w:pStyle w:val="AppendixTableText"/>
            </w:pPr>
            <w:r>
              <w:t>30/07/2001</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2802</w:t>
            </w:r>
          </w:p>
        </w:tc>
        <w:tc>
          <w:tcPr>
            <w:tcW w:w="2333" w:type="dxa"/>
            <w:shd w:val="clear" w:color="auto" w:fill="auto"/>
          </w:tcPr>
          <w:p w:rsidR="009901AD" w:rsidRDefault="009901AD" w:rsidP="009901AD">
            <w:pPr>
              <w:pStyle w:val="AppendixTableText"/>
            </w:pPr>
            <w:r>
              <w:t>Arakura School</w:t>
            </w:r>
          </w:p>
        </w:tc>
        <w:tc>
          <w:tcPr>
            <w:tcW w:w="907" w:type="dxa"/>
            <w:shd w:val="clear" w:color="auto" w:fill="auto"/>
          </w:tcPr>
          <w:p w:rsidR="009901AD" w:rsidRDefault="009901AD" w:rsidP="009901AD">
            <w:pPr>
              <w:pStyle w:val="AppendixTableText"/>
            </w:pPr>
            <w:r>
              <w:t>12/12/2005</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1208</w:t>
            </w:r>
          </w:p>
        </w:tc>
        <w:tc>
          <w:tcPr>
            <w:tcW w:w="2333" w:type="dxa"/>
            <w:shd w:val="clear" w:color="auto" w:fill="auto"/>
          </w:tcPr>
          <w:p w:rsidR="009901AD" w:rsidRDefault="009901AD" w:rsidP="009901AD">
            <w:pPr>
              <w:pStyle w:val="AppendixTableText"/>
            </w:pPr>
            <w:r>
              <w:t>Ardmore School</w:t>
            </w:r>
          </w:p>
        </w:tc>
        <w:tc>
          <w:tcPr>
            <w:tcW w:w="907" w:type="dxa"/>
            <w:shd w:val="clear" w:color="auto" w:fill="auto"/>
          </w:tcPr>
          <w:p w:rsidR="009901AD" w:rsidRDefault="009901AD" w:rsidP="009901AD">
            <w:pPr>
              <w:pStyle w:val="AppendixTableText"/>
            </w:pPr>
            <w:r>
              <w:t>23/09/1999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3930</w:t>
            </w:r>
          </w:p>
        </w:tc>
        <w:tc>
          <w:tcPr>
            <w:tcW w:w="2333" w:type="dxa"/>
            <w:shd w:val="clear" w:color="auto" w:fill="auto"/>
          </w:tcPr>
          <w:p w:rsidR="009901AD" w:rsidRDefault="009901AD" w:rsidP="009901AD">
            <w:pPr>
              <w:pStyle w:val="AppendixTableText"/>
            </w:pPr>
            <w:r>
              <w:t>Arrowtown School</w:t>
            </w:r>
          </w:p>
        </w:tc>
        <w:tc>
          <w:tcPr>
            <w:tcW w:w="907" w:type="dxa"/>
            <w:shd w:val="clear" w:color="auto" w:fill="auto"/>
          </w:tcPr>
          <w:p w:rsidR="009901AD" w:rsidRDefault="009901AD" w:rsidP="009901AD">
            <w:pPr>
              <w:pStyle w:val="AppendixTableText"/>
            </w:pPr>
            <w:r>
              <w:t>7/01/2002</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2543</w:t>
            </w:r>
          </w:p>
        </w:tc>
        <w:tc>
          <w:tcPr>
            <w:tcW w:w="2333" w:type="dxa"/>
            <w:shd w:val="clear" w:color="auto" w:fill="auto"/>
          </w:tcPr>
          <w:p w:rsidR="009901AD" w:rsidRDefault="009901AD" w:rsidP="009901AD">
            <w:pPr>
              <w:pStyle w:val="AppendixTableText"/>
            </w:pPr>
            <w:r>
              <w:t>Arthur Miller School</w:t>
            </w:r>
          </w:p>
        </w:tc>
        <w:tc>
          <w:tcPr>
            <w:tcW w:w="907" w:type="dxa"/>
            <w:shd w:val="clear" w:color="auto" w:fill="auto"/>
          </w:tcPr>
          <w:p w:rsidR="009901AD" w:rsidRDefault="009901AD" w:rsidP="009901AD">
            <w:pPr>
              <w:pStyle w:val="AppendixTableText"/>
            </w:pPr>
            <w:r>
              <w:t>27/02/2004</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1689</w:t>
            </w:r>
          </w:p>
        </w:tc>
        <w:tc>
          <w:tcPr>
            <w:tcW w:w="2333" w:type="dxa"/>
            <w:shd w:val="clear" w:color="auto" w:fill="auto"/>
          </w:tcPr>
          <w:p w:rsidR="009901AD" w:rsidRDefault="009901AD" w:rsidP="009901AD">
            <w:pPr>
              <w:pStyle w:val="AppendixTableText"/>
            </w:pPr>
            <w:r>
              <w:t>Ashbrook School</w:t>
            </w:r>
          </w:p>
        </w:tc>
        <w:tc>
          <w:tcPr>
            <w:tcW w:w="907" w:type="dxa"/>
            <w:shd w:val="clear" w:color="auto" w:fill="auto"/>
          </w:tcPr>
          <w:p w:rsidR="009901AD" w:rsidRDefault="009901AD" w:rsidP="009901AD">
            <w:pPr>
              <w:pStyle w:val="AppendixTableText"/>
            </w:pPr>
            <w:r>
              <w:t>20/12/1999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3284</w:t>
            </w:r>
          </w:p>
        </w:tc>
        <w:tc>
          <w:tcPr>
            <w:tcW w:w="2333" w:type="dxa"/>
            <w:shd w:val="clear" w:color="auto" w:fill="auto"/>
          </w:tcPr>
          <w:p w:rsidR="009901AD" w:rsidRDefault="009901AD" w:rsidP="009901AD">
            <w:pPr>
              <w:pStyle w:val="AppendixTableText"/>
            </w:pPr>
            <w:r>
              <w:t>Ashgrove School</w:t>
            </w:r>
          </w:p>
        </w:tc>
        <w:tc>
          <w:tcPr>
            <w:tcW w:w="907" w:type="dxa"/>
            <w:shd w:val="clear" w:color="auto" w:fill="auto"/>
          </w:tcPr>
          <w:p w:rsidR="009901AD" w:rsidRDefault="009901AD" w:rsidP="009901AD">
            <w:pPr>
              <w:pStyle w:val="AppendixTableText"/>
            </w:pPr>
            <w:r>
              <w:t>24/01/2003</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3285</w:t>
            </w:r>
          </w:p>
        </w:tc>
        <w:tc>
          <w:tcPr>
            <w:tcW w:w="2333" w:type="dxa"/>
            <w:shd w:val="clear" w:color="auto" w:fill="auto"/>
          </w:tcPr>
          <w:p w:rsidR="009901AD" w:rsidRDefault="009901AD" w:rsidP="009901AD">
            <w:pPr>
              <w:pStyle w:val="AppendixTableText"/>
            </w:pPr>
            <w:r>
              <w:t>Ashley School</w:t>
            </w:r>
          </w:p>
        </w:tc>
        <w:tc>
          <w:tcPr>
            <w:tcW w:w="907" w:type="dxa"/>
            <w:shd w:val="clear" w:color="auto" w:fill="auto"/>
          </w:tcPr>
          <w:p w:rsidR="009901AD" w:rsidRDefault="009901AD" w:rsidP="009901AD">
            <w:pPr>
              <w:pStyle w:val="AppendixTableText"/>
            </w:pPr>
            <w:r>
              <w:t>7/03/2008</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53</w:t>
            </w:r>
          </w:p>
        </w:tc>
        <w:tc>
          <w:tcPr>
            <w:tcW w:w="2333" w:type="dxa"/>
            <w:shd w:val="clear" w:color="auto" w:fill="auto"/>
          </w:tcPr>
          <w:p w:rsidR="009901AD" w:rsidRDefault="009901AD" w:rsidP="009901AD">
            <w:pPr>
              <w:pStyle w:val="AppendixTableText"/>
            </w:pPr>
            <w:r>
              <w:t>Auckland Girls' Grammar School</w:t>
            </w:r>
          </w:p>
        </w:tc>
        <w:tc>
          <w:tcPr>
            <w:tcW w:w="907" w:type="dxa"/>
            <w:shd w:val="clear" w:color="auto" w:fill="auto"/>
          </w:tcPr>
          <w:p w:rsidR="009901AD" w:rsidRDefault="009901AD" w:rsidP="009901AD">
            <w:pPr>
              <w:pStyle w:val="AppendixTableText"/>
            </w:pPr>
            <w:r>
              <w:t>25/08/1999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54</w:t>
            </w:r>
          </w:p>
        </w:tc>
        <w:tc>
          <w:tcPr>
            <w:tcW w:w="2333" w:type="dxa"/>
            <w:shd w:val="clear" w:color="auto" w:fill="auto"/>
          </w:tcPr>
          <w:p w:rsidR="009901AD" w:rsidRDefault="009901AD" w:rsidP="009901AD">
            <w:pPr>
              <w:pStyle w:val="AppendixTableText"/>
            </w:pPr>
            <w:r>
              <w:t>Auckland Grammar</w:t>
            </w:r>
          </w:p>
        </w:tc>
        <w:tc>
          <w:tcPr>
            <w:tcW w:w="907" w:type="dxa"/>
            <w:shd w:val="clear" w:color="auto" w:fill="auto"/>
          </w:tcPr>
          <w:p w:rsidR="009901AD" w:rsidRDefault="009901AD" w:rsidP="009901AD">
            <w:pPr>
              <w:pStyle w:val="AppendixTableText"/>
            </w:pPr>
            <w:r>
              <w:t>1/12/1999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1211</w:t>
            </w:r>
          </w:p>
        </w:tc>
        <w:tc>
          <w:tcPr>
            <w:tcW w:w="2333" w:type="dxa"/>
            <w:shd w:val="clear" w:color="auto" w:fill="auto"/>
          </w:tcPr>
          <w:p w:rsidR="009901AD" w:rsidRDefault="009901AD" w:rsidP="009901AD">
            <w:pPr>
              <w:pStyle w:val="AppendixTableText"/>
            </w:pPr>
            <w:r>
              <w:t>Auckland Normal Intermediate</w:t>
            </w:r>
          </w:p>
        </w:tc>
        <w:tc>
          <w:tcPr>
            <w:tcW w:w="907" w:type="dxa"/>
            <w:shd w:val="clear" w:color="auto" w:fill="auto"/>
          </w:tcPr>
          <w:p w:rsidR="009901AD" w:rsidRDefault="009901AD" w:rsidP="009901AD">
            <w:pPr>
              <w:pStyle w:val="AppendixTableText"/>
            </w:pPr>
            <w:r>
              <w:t>13/10/1999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2152</w:t>
            </w:r>
          </w:p>
        </w:tc>
        <w:tc>
          <w:tcPr>
            <w:tcW w:w="2333" w:type="dxa"/>
            <w:shd w:val="clear" w:color="auto" w:fill="auto"/>
          </w:tcPr>
          <w:p w:rsidR="009901AD" w:rsidRDefault="009901AD" w:rsidP="009901AD">
            <w:pPr>
              <w:pStyle w:val="AppendixTableText"/>
            </w:pPr>
            <w:r>
              <w:t>Auroa School</w:t>
            </w:r>
          </w:p>
        </w:tc>
        <w:tc>
          <w:tcPr>
            <w:tcW w:w="907" w:type="dxa"/>
            <w:shd w:val="clear" w:color="auto" w:fill="auto"/>
          </w:tcPr>
          <w:p w:rsidR="009901AD" w:rsidRDefault="009901AD" w:rsidP="009901AD">
            <w:pPr>
              <w:pStyle w:val="AppendixTableText"/>
            </w:pPr>
            <w:r>
              <w:t>1/10/2008</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78</w:t>
            </w:r>
          </w:p>
        </w:tc>
        <w:tc>
          <w:tcPr>
            <w:tcW w:w="2333" w:type="dxa"/>
            <w:shd w:val="clear" w:color="auto" w:fill="auto"/>
          </w:tcPr>
          <w:p w:rsidR="009901AD" w:rsidRDefault="009901AD" w:rsidP="009901AD">
            <w:pPr>
              <w:pStyle w:val="AppendixTableText"/>
            </w:pPr>
            <w:r>
              <w:t>Avondale College</w:t>
            </w:r>
          </w:p>
        </w:tc>
        <w:tc>
          <w:tcPr>
            <w:tcW w:w="907" w:type="dxa"/>
            <w:shd w:val="clear" w:color="auto" w:fill="auto"/>
          </w:tcPr>
          <w:p w:rsidR="009901AD" w:rsidRDefault="009901AD" w:rsidP="009901AD">
            <w:pPr>
              <w:pStyle w:val="AppendixTableText"/>
            </w:pPr>
            <w:r>
              <w:t>3/08/1999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1212</w:t>
            </w:r>
          </w:p>
        </w:tc>
        <w:tc>
          <w:tcPr>
            <w:tcW w:w="2333" w:type="dxa"/>
            <w:shd w:val="clear" w:color="auto" w:fill="auto"/>
          </w:tcPr>
          <w:p w:rsidR="009901AD" w:rsidRDefault="009901AD" w:rsidP="009901AD">
            <w:pPr>
              <w:pStyle w:val="AppendixTableText"/>
            </w:pPr>
            <w:r>
              <w:t>Avondale Intermediate</w:t>
            </w:r>
          </w:p>
        </w:tc>
        <w:tc>
          <w:tcPr>
            <w:tcW w:w="907" w:type="dxa"/>
            <w:shd w:val="clear" w:color="auto" w:fill="auto"/>
          </w:tcPr>
          <w:p w:rsidR="009901AD" w:rsidRDefault="009901AD" w:rsidP="009901AD">
            <w:pPr>
              <w:pStyle w:val="AppendixTableText"/>
            </w:pPr>
            <w:r>
              <w:t>31/10/2002</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1213</w:t>
            </w:r>
          </w:p>
        </w:tc>
        <w:tc>
          <w:tcPr>
            <w:tcW w:w="2333" w:type="dxa"/>
            <w:shd w:val="clear" w:color="auto" w:fill="auto"/>
          </w:tcPr>
          <w:p w:rsidR="009901AD" w:rsidRDefault="009901AD" w:rsidP="009901AD">
            <w:pPr>
              <w:pStyle w:val="AppendixTableText"/>
            </w:pPr>
            <w:r>
              <w:t>Avondale Primary School (Auckland)</w:t>
            </w:r>
          </w:p>
        </w:tc>
        <w:tc>
          <w:tcPr>
            <w:tcW w:w="907" w:type="dxa"/>
            <w:shd w:val="clear" w:color="auto" w:fill="auto"/>
          </w:tcPr>
          <w:p w:rsidR="009901AD" w:rsidRDefault="009901AD" w:rsidP="009901AD">
            <w:pPr>
              <w:pStyle w:val="AppendixTableText"/>
            </w:pPr>
            <w:r>
              <w:t>28/09/1999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3287</w:t>
            </w:r>
          </w:p>
        </w:tc>
        <w:tc>
          <w:tcPr>
            <w:tcW w:w="2333" w:type="dxa"/>
            <w:shd w:val="clear" w:color="auto" w:fill="auto"/>
          </w:tcPr>
          <w:p w:rsidR="009901AD" w:rsidRDefault="009901AD" w:rsidP="009901AD">
            <w:pPr>
              <w:pStyle w:val="AppendixTableText"/>
            </w:pPr>
            <w:r>
              <w:t>Avonhead School</w:t>
            </w:r>
          </w:p>
        </w:tc>
        <w:tc>
          <w:tcPr>
            <w:tcW w:w="907" w:type="dxa"/>
            <w:shd w:val="clear" w:color="auto" w:fill="auto"/>
          </w:tcPr>
          <w:p w:rsidR="009901AD" w:rsidRDefault="009901AD" w:rsidP="009901AD">
            <w:pPr>
              <w:pStyle w:val="AppendixTableText"/>
            </w:pPr>
            <w:r>
              <w:t>22/10/1999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324</w:t>
            </w:r>
          </w:p>
        </w:tc>
        <w:tc>
          <w:tcPr>
            <w:tcW w:w="2333" w:type="dxa"/>
            <w:shd w:val="clear" w:color="auto" w:fill="auto"/>
          </w:tcPr>
          <w:p w:rsidR="009901AD" w:rsidRDefault="009901AD" w:rsidP="009901AD">
            <w:pPr>
              <w:pStyle w:val="AppendixTableText"/>
            </w:pPr>
            <w:r>
              <w:t>Avonside Girls' High School</w:t>
            </w:r>
          </w:p>
        </w:tc>
        <w:tc>
          <w:tcPr>
            <w:tcW w:w="907" w:type="dxa"/>
            <w:shd w:val="clear" w:color="auto" w:fill="auto"/>
          </w:tcPr>
          <w:p w:rsidR="009901AD" w:rsidRDefault="009901AD" w:rsidP="009901AD">
            <w:pPr>
              <w:pStyle w:val="AppendixTableText"/>
            </w:pPr>
            <w:r>
              <w:t>3/05/1999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1691</w:t>
            </w:r>
          </w:p>
        </w:tc>
        <w:tc>
          <w:tcPr>
            <w:tcW w:w="2333" w:type="dxa"/>
            <w:shd w:val="clear" w:color="auto" w:fill="auto"/>
          </w:tcPr>
          <w:p w:rsidR="009901AD" w:rsidRDefault="009901AD" w:rsidP="009901AD">
            <w:pPr>
              <w:pStyle w:val="AppendixTableText"/>
            </w:pPr>
            <w:r>
              <w:t>Awakeri School</w:t>
            </w:r>
          </w:p>
        </w:tc>
        <w:tc>
          <w:tcPr>
            <w:tcW w:w="907" w:type="dxa"/>
            <w:shd w:val="clear" w:color="auto" w:fill="auto"/>
          </w:tcPr>
          <w:p w:rsidR="009901AD" w:rsidRDefault="009901AD" w:rsidP="009901AD">
            <w:pPr>
              <w:pStyle w:val="AppendixTableText"/>
            </w:pPr>
            <w:r>
              <w:t>20/12/1999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2544</w:t>
            </w:r>
          </w:p>
        </w:tc>
        <w:tc>
          <w:tcPr>
            <w:tcW w:w="2333" w:type="dxa"/>
            <w:shd w:val="clear" w:color="auto" w:fill="auto"/>
          </w:tcPr>
          <w:p w:rsidR="009901AD" w:rsidRDefault="009901AD" w:rsidP="009901AD">
            <w:pPr>
              <w:pStyle w:val="AppendixTableText"/>
            </w:pPr>
            <w:r>
              <w:t>Awapuni School (Gisborne)</w:t>
            </w:r>
          </w:p>
        </w:tc>
        <w:tc>
          <w:tcPr>
            <w:tcW w:w="907" w:type="dxa"/>
            <w:shd w:val="clear" w:color="auto" w:fill="auto"/>
          </w:tcPr>
          <w:p w:rsidR="009901AD" w:rsidRDefault="009901AD" w:rsidP="009901AD">
            <w:pPr>
              <w:pStyle w:val="AppendixTableText"/>
            </w:pPr>
            <w:r>
              <w:t>19/11/2004</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3709</w:t>
            </w:r>
          </w:p>
        </w:tc>
        <w:tc>
          <w:tcPr>
            <w:tcW w:w="2333" w:type="dxa"/>
            <w:shd w:val="clear" w:color="auto" w:fill="auto"/>
          </w:tcPr>
          <w:p w:rsidR="009901AD" w:rsidRDefault="009901AD" w:rsidP="009901AD">
            <w:pPr>
              <w:pStyle w:val="AppendixTableText"/>
            </w:pPr>
            <w:r>
              <w:t>Balaclava School</w:t>
            </w:r>
          </w:p>
        </w:tc>
        <w:tc>
          <w:tcPr>
            <w:tcW w:w="907" w:type="dxa"/>
            <w:shd w:val="clear" w:color="auto" w:fill="auto"/>
          </w:tcPr>
          <w:p w:rsidR="009901AD" w:rsidRDefault="009901AD" w:rsidP="009901AD">
            <w:pPr>
              <w:pStyle w:val="AppendixTableText"/>
            </w:pPr>
            <w:r>
              <w:t>19/03/2009</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3711</w:t>
            </w:r>
          </w:p>
        </w:tc>
        <w:tc>
          <w:tcPr>
            <w:tcW w:w="2333" w:type="dxa"/>
            <w:shd w:val="clear" w:color="auto" w:fill="auto"/>
          </w:tcPr>
          <w:p w:rsidR="009901AD" w:rsidRDefault="009901AD" w:rsidP="009901AD">
            <w:pPr>
              <w:pStyle w:val="AppendixTableText"/>
            </w:pPr>
            <w:r>
              <w:t>Balmacewen Intermediate</w:t>
            </w:r>
          </w:p>
        </w:tc>
        <w:tc>
          <w:tcPr>
            <w:tcW w:w="907" w:type="dxa"/>
            <w:shd w:val="clear" w:color="auto" w:fill="auto"/>
          </w:tcPr>
          <w:p w:rsidR="009901AD" w:rsidRDefault="009901AD" w:rsidP="009901AD">
            <w:pPr>
              <w:pStyle w:val="AppendixTableText"/>
            </w:pPr>
            <w:r>
              <w:t>16/08/2010</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1219</w:t>
            </w:r>
          </w:p>
        </w:tc>
        <w:tc>
          <w:tcPr>
            <w:tcW w:w="2333" w:type="dxa"/>
            <w:shd w:val="clear" w:color="auto" w:fill="auto"/>
          </w:tcPr>
          <w:p w:rsidR="009901AD" w:rsidRDefault="009901AD" w:rsidP="009901AD">
            <w:pPr>
              <w:pStyle w:val="AppendixTableText"/>
            </w:pPr>
            <w:r>
              <w:t>Balmoral School (Auckland)</w:t>
            </w:r>
          </w:p>
        </w:tc>
        <w:tc>
          <w:tcPr>
            <w:tcW w:w="907" w:type="dxa"/>
            <w:shd w:val="clear" w:color="auto" w:fill="auto"/>
          </w:tcPr>
          <w:p w:rsidR="009901AD" w:rsidRDefault="009901AD" w:rsidP="009901AD">
            <w:pPr>
              <w:pStyle w:val="AppendixTableText"/>
            </w:pPr>
            <w:r>
              <w:t>29/11/1999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3289</w:t>
            </w:r>
          </w:p>
        </w:tc>
        <w:tc>
          <w:tcPr>
            <w:tcW w:w="2333" w:type="dxa"/>
            <w:shd w:val="clear" w:color="auto" w:fill="auto"/>
          </w:tcPr>
          <w:p w:rsidR="009901AD" w:rsidRDefault="009901AD" w:rsidP="009901AD">
            <w:pPr>
              <w:pStyle w:val="AppendixTableText"/>
            </w:pPr>
            <w:r>
              <w:t>Banks Avenue School</w:t>
            </w:r>
          </w:p>
        </w:tc>
        <w:tc>
          <w:tcPr>
            <w:tcW w:w="907" w:type="dxa"/>
            <w:shd w:val="clear" w:color="auto" w:fill="auto"/>
          </w:tcPr>
          <w:p w:rsidR="009901AD" w:rsidRDefault="009901AD" w:rsidP="009901AD">
            <w:pPr>
              <w:pStyle w:val="AppendixTableText"/>
            </w:pPr>
            <w:r>
              <w:t>26/05/2004</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2112</w:t>
            </w:r>
          </w:p>
        </w:tc>
        <w:tc>
          <w:tcPr>
            <w:tcW w:w="2333" w:type="dxa"/>
            <w:shd w:val="clear" w:color="auto" w:fill="auto"/>
          </w:tcPr>
          <w:p w:rsidR="009901AD" w:rsidRDefault="009901AD" w:rsidP="009901AD">
            <w:pPr>
              <w:pStyle w:val="AppendixTableText"/>
            </w:pPr>
            <w:r>
              <w:t>Barton Rural School</w:t>
            </w:r>
          </w:p>
        </w:tc>
        <w:tc>
          <w:tcPr>
            <w:tcW w:w="907" w:type="dxa"/>
            <w:shd w:val="clear" w:color="auto" w:fill="auto"/>
          </w:tcPr>
          <w:p w:rsidR="009901AD" w:rsidRDefault="009901AD" w:rsidP="009901AD">
            <w:pPr>
              <w:pStyle w:val="AppendixTableText"/>
            </w:pPr>
            <w:r>
              <w:t>31/08/2004</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6960</w:t>
            </w:r>
          </w:p>
        </w:tc>
        <w:tc>
          <w:tcPr>
            <w:tcW w:w="2333" w:type="dxa"/>
            <w:shd w:val="clear" w:color="auto" w:fill="auto"/>
          </w:tcPr>
          <w:p w:rsidR="009901AD" w:rsidRDefault="009901AD" w:rsidP="009901AD">
            <w:pPr>
              <w:pStyle w:val="AppendixTableText"/>
            </w:pPr>
            <w:r>
              <w:t>Baverstock Oaks School</w:t>
            </w:r>
          </w:p>
        </w:tc>
        <w:tc>
          <w:tcPr>
            <w:tcW w:w="907" w:type="dxa"/>
            <w:shd w:val="clear" w:color="auto" w:fill="auto"/>
          </w:tcPr>
          <w:p w:rsidR="009901AD" w:rsidRDefault="009901AD" w:rsidP="009901AD">
            <w:pPr>
              <w:pStyle w:val="AppendixTableText"/>
            </w:pPr>
            <w:r>
              <w:t>25/08/2004</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1220</w:t>
            </w:r>
          </w:p>
        </w:tc>
        <w:tc>
          <w:tcPr>
            <w:tcW w:w="2333" w:type="dxa"/>
            <w:shd w:val="clear" w:color="auto" w:fill="auto"/>
          </w:tcPr>
          <w:p w:rsidR="009901AD" w:rsidRDefault="009901AD" w:rsidP="009901AD">
            <w:pPr>
              <w:pStyle w:val="AppendixTableText"/>
            </w:pPr>
            <w:r>
              <w:t>Bayfield School</w:t>
            </w:r>
          </w:p>
        </w:tc>
        <w:tc>
          <w:tcPr>
            <w:tcW w:w="907" w:type="dxa"/>
            <w:shd w:val="clear" w:color="auto" w:fill="auto"/>
          </w:tcPr>
          <w:p w:rsidR="009901AD" w:rsidRDefault="009901AD" w:rsidP="009901AD">
            <w:pPr>
              <w:pStyle w:val="AppendixTableText"/>
            </w:pPr>
            <w:r>
              <w:t>7/09/1999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3291</w:t>
            </w:r>
          </w:p>
        </w:tc>
        <w:tc>
          <w:tcPr>
            <w:tcW w:w="2333" w:type="dxa"/>
            <w:shd w:val="clear" w:color="auto" w:fill="auto"/>
          </w:tcPr>
          <w:p w:rsidR="009901AD" w:rsidRDefault="009901AD" w:rsidP="009901AD">
            <w:pPr>
              <w:pStyle w:val="AppendixTableText"/>
            </w:pPr>
            <w:r>
              <w:t>Beckenham School</w:t>
            </w:r>
          </w:p>
        </w:tc>
        <w:tc>
          <w:tcPr>
            <w:tcW w:w="907" w:type="dxa"/>
            <w:shd w:val="clear" w:color="auto" w:fill="auto"/>
          </w:tcPr>
          <w:p w:rsidR="009901AD" w:rsidRDefault="009901AD" w:rsidP="009901AD">
            <w:pPr>
              <w:pStyle w:val="AppendixTableText"/>
            </w:pPr>
            <w:r>
              <w:t>22/10/1999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3292</w:t>
            </w:r>
          </w:p>
        </w:tc>
        <w:tc>
          <w:tcPr>
            <w:tcW w:w="2333" w:type="dxa"/>
            <w:shd w:val="clear" w:color="auto" w:fill="auto"/>
          </w:tcPr>
          <w:p w:rsidR="009901AD" w:rsidRDefault="009901AD" w:rsidP="009901AD">
            <w:pPr>
              <w:pStyle w:val="AppendixTableText"/>
            </w:pPr>
            <w:r>
              <w:t>Belfast School</w:t>
            </w:r>
          </w:p>
        </w:tc>
        <w:tc>
          <w:tcPr>
            <w:tcW w:w="907" w:type="dxa"/>
            <w:shd w:val="clear" w:color="auto" w:fill="auto"/>
          </w:tcPr>
          <w:p w:rsidR="009901AD" w:rsidRDefault="009901AD" w:rsidP="009901AD">
            <w:pPr>
              <w:pStyle w:val="AppendixTableText"/>
            </w:pPr>
            <w:r>
              <w:t>29/01/2008</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2157</w:t>
            </w:r>
          </w:p>
        </w:tc>
        <w:tc>
          <w:tcPr>
            <w:tcW w:w="2333" w:type="dxa"/>
            <w:shd w:val="clear" w:color="auto" w:fill="auto"/>
          </w:tcPr>
          <w:p w:rsidR="009901AD" w:rsidRDefault="009901AD" w:rsidP="009901AD">
            <w:pPr>
              <w:pStyle w:val="AppendixTableText"/>
            </w:pPr>
            <w:r>
              <w:t>Bell Block School</w:t>
            </w:r>
          </w:p>
        </w:tc>
        <w:tc>
          <w:tcPr>
            <w:tcW w:w="907" w:type="dxa"/>
            <w:shd w:val="clear" w:color="auto" w:fill="auto"/>
          </w:tcPr>
          <w:p w:rsidR="009901AD" w:rsidRDefault="009901AD" w:rsidP="009901AD">
            <w:pPr>
              <w:pStyle w:val="AppendixTableText"/>
            </w:pPr>
            <w:r>
              <w:t>21/12/2011</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1225</w:t>
            </w:r>
          </w:p>
        </w:tc>
        <w:tc>
          <w:tcPr>
            <w:tcW w:w="2333" w:type="dxa"/>
            <w:shd w:val="clear" w:color="auto" w:fill="auto"/>
          </w:tcPr>
          <w:p w:rsidR="009901AD" w:rsidRDefault="009901AD" w:rsidP="009901AD">
            <w:pPr>
              <w:pStyle w:val="AppendixTableText"/>
            </w:pPr>
            <w:r>
              <w:t>Belmont Intermediate</w:t>
            </w:r>
          </w:p>
        </w:tc>
        <w:tc>
          <w:tcPr>
            <w:tcW w:w="907" w:type="dxa"/>
            <w:shd w:val="clear" w:color="auto" w:fill="auto"/>
          </w:tcPr>
          <w:p w:rsidR="009901AD" w:rsidRDefault="009901AD" w:rsidP="009901AD">
            <w:pPr>
              <w:pStyle w:val="AppendixTableText"/>
            </w:pPr>
            <w:r>
              <w:t>3/10/2011</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1695</w:t>
            </w:r>
          </w:p>
        </w:tc>
        <w:tc>
          <w:tcPr>
            <w:tcW w:w="2333" w:type="dxa"/>
            <w:shd w:val="clear" w:color="auto" w:fill="auto"/>
          </w:tcPr>
          <w:p w:rsidR="009901AD" w:rsidRDefault="009901AD" w:rsidP="009901AD">
            <w:pPr>
              <w:pStyle w:val="AppendixTableText"/>
            </w:pPr>
            <w:r>
              <w:t>Berkley Normal Middle School</w:t>
            </w:r>
          </w:p>
        </w:tc>
        <w:tc>
          <w:tcPr>
            <w:tcW w:w="907" w:type="dxa"/>
            <w:shd w:val="clear" w:color="auto" w:fill="auto"/>
          </w:tcPr>
          <w:p w:rsidR="009901AD" w:rsidRDefault="009901AD" w:rsidP="009901AD">
            <w:pPr>
              <w:pStyle w:val="AppendixTableText"/>
            </w:pPr>
            <w:r>
              <w:t>20/09/2007</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1697</w:t>
            </w:r>
          </w:p>
        </w:tc>
        <w:tc>
          <w:tcPr>
            <w:tcW w:w="2333" w:type="dxa"/>
            <w:shd w:val="clear" w:color="auto" w:fill="auto"/>
          </w:tcPr>
          <w:p w:rsidR="009901AD" w:rsidRDefault="009901AD" w:rsidP="009901AD">
            <w:pPr>
              <w:pStyle w:val="AppendixTableText"/>
            </w:pPr>
            <w:r>
              <w:t>Bethlehem School</w:t>
            </w:r>
          </w:p>
        </w:tc>
        <w:tc>
          <w:tcPr>
            <w:tcW w:w="907" w:type="dxa"/>
            <w:shd w:val="clear" w:color="auto" w:fill="auto"/>
          </w:tcPr>
          <w:p w:rsidR="009901AD" w:rsidRDefault="009901AD" w:rsidP="009901AD">
            <w:pPr>
              <w:pStyle w:val="AppendixTableText"/>
            </w:pPr>
            <w:r>
              <w:t>13/12/2002</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2810</w:t>
            </w:r>
          </w:p>
        </w:tc>
        <w:tc>
          <w:tcPr>
            <w:tcW w:w="2333" w:type="dxa"/>
            <w:shd w:val="clear" w:color="auto" w:fill="auto"/>
          </w:tcPr>
          <w:p w:rsidR="009901AD" w:rsidRDefault="009901AD" w:rsidP="009901AD">
            <w:pPr>
              <w:pStyle w:val="AppendixTableText"/>
            </w:pPr>
            <w:r>
              <w:t>Birchville School</w:t>
            </w:r>
          </w:p>
        </w:tc>
        <w:tc>
          <w:tcPr>
            <w:tcW w:w="907" w:type="dxa"/>
            <w:shd w:val="clear" w:color="auto" w:fill="auto"/>
          </w:tcPr>
          <w:p w:rsidR="009901AD" w:rsidRDefault="009901AD" w:rsidP="009901AD">
            <w:pPr>
              <w:pStyle w:val="AppendixTableText"/>
            </w:pPr>
            <w:r>
              <w:t>25/07/2006</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1231</w:t>
            </w:r>
          </w:p>
        </w:tc>
        <w:tc>
          <w:tcPr>
            <w:tcW w:w="2333" w:type="dxa"/>
            <w:shd w:val="clear" w:color="auto" w:fill="auto"/>
          </w:tcPr>
          <w:p w:rsidR="009901AD" w:rsidRDefault="009901AD" w:rsidP="009901AD">
            <w:pPr>
              <w:pStyle w:val="AppendixTableText"/>
            </w:pPr>
            <w:r>
              <w:t>Birkenhead School</w:t>
            </w:r>
          </w:p>
        </w:tc>
        <w:tc>
          <w:tcPr>
            <w:tcW w:w="907" w:type="dxa"/>
            <w:shd w:val="clear" w:color="auto" w:fill="auto"/>
          </w:tcPr>
          <w:p w:rsidR="009901AD" w:rsidRDefault="009901AD" w:rsidP="009901AD">
            <w:pPr>
              <w:pStyle w:val="AppendixTableText"/>
            </w:pPr>
            <w:r>
              <w:t>23/09/1999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3295</w:t>
            </w:r>
          </w:p>
        </w:tc>
        <w:tc>
          <w:tcPr>
            <w:tcW w:w="2333" w:type="dxa"/>
            <w:shd w:val="clear" w:color="auto" w:fill="auto"/>
          </w:tcPr>
          <w:p w:rsidR="009901AD" w:rsidRDefault="009901AD" w:rsidP="009901AD">
            <w:pPr>
              <w:pStyle w:val="AppendixTableText"/>
            </w:pPr>
            <w:r>
              <w:t>Blaketown School</w:t>
            </w:r>
          </w:p>
        </w:tc>
        <w:tc>
          <w:tcPr>
            <w:tcW w:w="907" w:type="dxa"/>
            <w:shd w:val="clear" w:color="auto" w:fill="auto"/>
          </w:tcPr>
          <w:p w:rsidR="009901AD" w:rsidRDefault="009901AD" w:rsidP="009901AD">
            <w:pPr>
              <w:pStyle w:val="AppendixTableText"/>
            </w:pPr>
            <w:r>
              <w:t>2/11/2007</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2546</w:t>
            </w:r>
          </w:p>
        </w:tc>
        <w:tc>
          <w:tcPr>
            <w:tcW w:w="2333" w:type="dxa"/>
            <w:shd w:val="clear" w:color="auto" w:fill="auto"/>
          </w:tcPr>
          <w:p w:rsidR="009901AD" w:rsidRDefault="009901AD" w:rsidP="009901AD">
            <w:pPr>
              <w:pStyle w:val="AppendixTableText"/>
            </w:pPr>
            <w:r>
              <w:t>Bledisloe School</w:t>
            </w:r>
          </w:p>
        </w:tc>
        <w:tc>
          <w:tcPr>
            <w:tcW w:w="907" w:type="dxa"/>
            <w:shd w:val="clear" w:color="auto" w:fill="auto"/>
          </w:tcPr>
          <w:p w:rsidR="009901AD" w:rsidRDefault="009901AD" w:rsidP="009901AD">
            <w:pPr>
              <w:pStyle w:val="AppendixTableText"/>
            </w:pPr>
            <w:r>
              <w:t>14/11/2008</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1232</w:t>
            </w:r>
          </w:p>
        </w:tc>
        <w:tc>
          <w:tcPr>
            <w:tcW w:w="2333" w:type="dxa"/>
            <w:shd w:val="clear" w:color="auto" w:fill="auto"/>
          </w:tcPr>
          <w:p w:rsidR="009901AD" w:rsidRDefault="009901AD" w:rsidP="009901AD">
            <w:pPr>
              <w:pStyle w:val="AppendixTableText"/>
            </w:pPr>
            <w:r>
              <w:t>Blockhouse Bay Intermediate</w:t>
            </w:r>
          </w:p>
        </w:tc>
        <w:tc>
          <w:tcPr>
            <w:tcW w:w="907" w:type="dxa"/>
            <w:shd w:val="clear" w:color="auto" w:fill="auto"/>
          </w:tcPr>
          <w:p w:rsidR="009901AD" w:rsidRDefault="009901AD" w:rsidP="009901AD">
            <w:pPr>
              <w:pStyle w:val="AppendixTableText"/>
            </w:pPr>
            <w:r>
              <w:t>29/08/2008</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1233</w:t>
            </w:r>
          </w:p>
        </w:tc>
        <w:tc>
          <w:tcPr>
            <w:tcW w:w="2333" w:type="dxa"/>
            <w:shd w:val="clear" w:color="auto" w:fill="auto"/>
          </w:tcPr>
          <w:p w:rsidR="009901AD" w:rsidRDefault="009901AD" w:rsidP="009901AD">
            <w:pPr>
              <w:pStyle w:val="AppendixTableText"/>
            </w:pPr>
            <w:r>
              <w:t>Blockhouse Bay School</w:t>
            </w:r>
          </w:p>
        </w:tc>
        <w:tc>
          <w:tcPr>
            <w:tcW w:w="907" w:type="dxa"/>
            <w:shd w:val="clear" w:color="auto" w:fill="auto"/>
          </w:tcPr>
          <w:p w:rsidR="009901AD" w:rsidRDefault="009901AD" w:rsidP="009901AD">
            <w:pPr>
              <w:pStyle w:val="AppendixTableText"/>
            </w:pPr>
            <w:r>
              <w:t>8/09/1999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1234</w:t>
            </w:r>
          </w:p>
        </w:tc>
        <w:tc>
          <w:tcPr>
            <w:tcW w:w="2333" w:type="dxa"/>
            <w:shd w:val="clear" w:color="auto" w:fill="auto"/>
          </w:tcPr>
          <w:p w:rsidR="009901AD" w:rsidRDefault="009901AD" w:rsidP="009901AD">
            <w:pPr>
              <w:pStyle w:val="AppendixTableText"/>
            </w:pPr>
            <w:r>
              <w:t>Bombay School</w:t>
            </w:r>
          </w:p>
        </w:tc>
        <w:tc>
          <w:tcPr>
            <w:tcW w:w="907" w:type="dxa"/>
            <w:shd w:val="clear" w:color="auto" w:fill="auto"/>
          </w:tcPr>
          <w:p w:rsidR="009901AD" w:rsidRDefault="009901AD" w:rsidP="009901AD">
            <w:pPr>
              <w:pStyle w:val="AppendixTableText"/>
            </w:pPr>
            <w:r>
              <w:t>14/08/2002</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1235</w:t>
            </w:r>
          </w:p>
        </w:tc>
        <w:tc>
          <w:tcPr>
            <w:tcW w:w="2333" w:type="dxa"/>
            <w:shd w:val="clear" w:color="auto" w:fill="auto"/>
          </w:tcPr>
          <w:p w:rsidR="009901AD" w:rsidRDefault="009901AD" w:rsidP="009901AD">
            <w:pPr>
              <w:pStyle w:val="AppendixTableText"/>
            </w:pPr>
            <w:r>
              <w:t>Botany Downs School</w:t>
            </w:r>
          </w:p>
        </w:tc>
        <w:tc>
          <w:tcPr>
            <w:tcW w:w="907" w:type="dxa"/>
            <w:shd w:val="clear" w:color="auto" w:fill="auto"/>
          </w:tcPr>
          <w:p w:rsidR="009901AD" w:rsidRDefault="009901AD" w:rsidP="009901AD">
            <w:pPr>
              <w:pStyle w:val="AppendixTableText"/>
            </w:pPr>
            <w:r>
              <w:t>12/03/2004</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6930</w:t>
            </w:r>
          </w:p>
        </w:tc>
        <w:tc>
          <w:tcPr>
            <w:tcW w:w="2333" w:type="dxa"/>
            <w:shd w:val="clear" w:color="auto" w:fill="auto"/>
          </w:tcPr>
          <w:p w:rsidR="009901AD" w:rsidRDefault="009901AD" w:rsidP="009901AD">
            <w:pPr>
              <w:pStyle w:val="AppendixTableText"/>
            </w:pPr>
            <w:r>
              <w:t>Botany Downs Secondary College</w:t>
            </w:r>
          </w:p>
        </w:tc>
        <w:tc>
          <w:tcPr>
            <w:tcW w:w="907" w:type="dxa"/>
            <w:shd w:val="clear" w:color="auto" w:fill="auto"/>
          </w:tcPr>
          <w:p w:rsidR="009901AD" w:rsidRDefault="009901AD" w:rsidP="009901AD">
            <w:pPr>
              <w:pStyle w:val="AppendixTableText"/>
            </w:pPr>
            <w:r>
              <w:t>20/12/2002</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2813</w:t>
            </w:r>
          </w:p>
        </w:tc>
        <w:tc>
          <w:tcPr>
            <w:tcW w:w="2333" w:type="dxa"/>
            <w:shd w:val="clear" w:color="auto" w:fill="auto"/>
          </w:tcPr>
          <w:p w:rsidR="009901AD" w:rsidRDefault="009901AD" w:rsidP="009901AD">
            <w:pPr>
              <w:pStyle w:val="AppendixTableText"/>
            </w:pPr>
            <w:r>
              <w:t>Boulcott School</w:t>
            </w:r>
          </w:p>
        </w:tc>
        <w:tc>
          <w:tcPr>
            <w:tcW w:w="907" w:type="dxa"/>
            <w:shd w:val="clear" w:color="auto" w:fill="auto"/>
          </w:tcPr>
          <w:p w:rsidR="009901AD" w:rsidRDefault="009901AD" w:rsidP="009901AD">
            <w:pPr>
              <w:pStyle w:val="AppendixTableText"/>
            </w:pPr>
            <w:r>
              <w:t>30/06/2000</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20</w:t>
            </w:r>
          </w:p>
        </w:tc>
        <w:tc>
          <w:tcPr>
            <w:tcW w:w="2333" w:type="dxa"/>
            <w:shd w:val="clear" w:color="auto" w:fill="auto"/>
          </w:tcPr>
          <w:p w:rsidR="009901AD" w:rsidRDefault="009901AD" w:rsidP="009901AD">
            <w:pPr>
              <w:pStyle w:val="AppendixTableText"/>
            </w:pPr>
            <w:r>
              <w:t>Bream Bay College</w:t>
            </w:r>
          </w:p>
        </w:tc>
        <w:tc>
          <w:tcPr>
            <w:tcW w:w="907" w:type="dxa"/>
            <w:shd w:val="clear" w:color="auto" w:fill="auto"/>
          </w:tcPr>
          <w:p w:rsidR="009901AD" w:rsidRDefault="009901AD" w:rsidP="009901AD">
            <w:pPr>
              <w:pStyle w:val="AppendixTableText"/>
            </w:pPr>
            <w:r>
              <w:t>14/12/2007</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vAlign w:val="bottom"/>
          </w:tcPr>
          <w:p w:rsidR="009901AD" w:rsidRPr="00D77804" w:rsidRDefault="009901AD" w:rsidP="009901AD">
            <w:pPr>
              <w:pStyle w:val="AppendixTableHeading"/>
            </w:pPr>
            <w:r w:rsidRPr="00D77804">
              <w:t>Institution number</w:t>
            </w:r>
          </w:p>
        </w:tc>
        <w:tc>
          <w:tcPr>
            <w:tcW w:w="2333" w:type="dxa"/>
            <w:shd w:val="clear" w:color="auto" w:fill="auto"/>
            <w:vAlign w:val="bottom"/>
          </w:tcPr>
          <w:p w:rsidR="009901AD" w:rsidRPr="00D77804" w:rsidRDefault="009901AD" w:rsidP="009901AD">
            <w:pPr>
              <w:pStyle w:val="AppendixTableHeading"/>
            </w:pPr>
            <w:r w:rsidRPr="00D77804">
              <w:t>School name</w:t>
            </w:r>
          </w:p>
        </w:tc>
        <w:tc>
          <w:tcPr>
            <w:tcW w:w="907" w:type="dxa"/>
            <w:shd w:val="clear" w:color="auto" w:fill="auto"/>
            <w:vAlign w:val="bottom"/>
          </w:tcPr>
          <w:p w:rsidR="009901AD" w:rsidRPr="00D77804" w:rsidRDefault="009901AD" w:rsidP="009901AD">
            <w:pPr>
              <w:pStyle w:val="AppendixTableHeading"/>
            </w:pPr>
            <w:r w:rsidRPr="00D77804">
              <w:t>Date enrolment scheme was approved</w:t>
            </w:r>
          </w:p>
        </w:tc>
        <w:tc>
          <w:tcPr>
            <w:tcW w:w="775" w:type="dxa"/>
            <w:shd w:val="clear" w:color="auto" w:fill="auto"/>
            <w:vAlign w:val="bottom"/>
          </w:tcPr>
          <w:p w:rsidR="009901AD" w:rsidRPr="00D77804" w:rsidRDefault="009901AD" w:rsidP="009901AD">
            <w:pPr>
              <w:pStyle w:val="AppendixTableHeadingright"/>
            </w:pPr>
            <w:r w:rsidRPr="00D77804">
              <w:t>Adjacent school with enrolment scheme exists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2547</w:t>
            </w:r>
          </w:p>
        </w:tc>
        <w:tc>
          <w:tcPr>
            <w:tcW w:w="2333" w:type="dxa"/>
            <w:shd w:val="clear" w:color="auto" w:fill="auto"/>
          </w:tcPr>
          <w:p w:rsidR="009901AD" w:rsidRDefault="009901AD" w:rsidP="009901AD">
            <w:pPr>
              <w:pStyle w:val="AppendixTableText"/>
            </w:pPr>
            <w:r>
              <w:t>Bridge Pa School</w:t>
            </w:r>
          </w:p>
        </w:tc>
        <w:tc>
          <w:tcPr>
            <w:tcW w:w="907" w:type="dxa"/>
            <w:shd w:val="clear" w:color="auto" w:fill="auto"/>
          </w:tcPr>
          <w:p w:rsidR="009901AD" w:rsidRDefault="009901AD" w:rsidP="009901AD">
            <w:pPr>
              <w:pStyle w:val="AppendixTableText"/>
            </w:pPr>
            <w:r>
              <w:t>29/06/2004</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3183</w:t>
            </w:r>
          </w:p>
        </w:tc>
        <w:tc>
          <w:tcPr>
            <w:tcW w:w="2333" w:type="dxa"/>
            <w:shd w:val="clear" w:color="auto" w:fill="auto"/>
          </w:tcPr>
          <w:p w:rsidR="009901AD" w:rsidRDefault="009901AD" w:rsidP="009901AD">
            <w:pPr>
              <w:pStyle w:val="AppendixTableText"/>
            </w:pPr>
            <w:r>
              <w:t>Brightwater School</w:t>
            </w:r>
          </w:p>
        </w:tc>
        <w:tc>
          <w:tcPr>
            <w:tcW w:w="907" w:type="dxa"/>
            <w:shd w:val="clear" w:color="auto" w:fill="auto"/>
          </w:tcPr>
          <w:p w:rsidR="009901AD" w:rsidRDefault="009901AD" w:rsidP="009901AD">
            <w:pPr>
              <w:pStyle w:val="AppendixTableText"/>
            </w:pPr>
            <w:r>
              <w:t>26/07/2010</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1236</w:t>
            </w:r>
          </w:p>
        </w:tc>
        <w:tc>
          <w:tcPr>
            <w:tcW w:w="2333" w:type="dxa"/>
            <w:shd w:val="clear" w:color="auto" w:fill="auto"/>
          </w:tcPr>
          <w:p w:rsidR="009901AD" w:rsidRDefault="009901AD" w:rsidP="009901AD">
            <w:pPr>
              <w:pStyle w:val="AppendixTableText"/>
            </w:pPr>
            <w:r>
              <w:t>Brookby School</w:t>
            </w:r>
          </w:p>
        </w:tc>
        <w:tc>
          <w:tcPr>
            <w:tcW w:w="907" w:type="dxa"/>
            <w:shd w:val="clear" w:color="auto" w:fill="auto"/>
          </w:tcPr>
          <w:p w:rsidR="009901AD" w:rsidRDefault="009901AD" w:rsidP="009901AD">
            <w:pPr>
              <w:pStyle w:val="AppendixTableText"/>
            </w:pPr>
            <w:r>
              <w:t>30/11/1999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3185</w:t>
            </w:r>
          </w:p>
        </w:tc>
        <w:tc>
          <w:tcPr>
            <w:tcW w:w="2333" w:type="dxa"/>
            <w:shd w:val="clear" w:color="auto" w:fill="auto"/>
          </w:tcPr>
          <w:p w:rsidR="009901AD" w:rsidRDefault="009901AD" w:rsidP="009901AD">
            <w:pPr>
              <w:pStyle w:val="AppendixTableText"/>
            </w:pPr>
            <w:r>
              <w:t>Brooklyn School (Motueka)</w:t>
            </w:r>
          </w:p>
        </w:tc>
        <w:tc>
          <w:tcPr>
            <w:tcW w:w="907" w:type="dxa"/>
            <w:shd w:val="clear" w:color="auto" w:fill="auto"/>
          </w:tcPr>
          <w:p w:rsidR="009901AD" w:rsidRDefault="009901AD" w:rsidP="009901AD">
            <w:pPr>
              <w:pStyle w:val="AppendixTableText"/>
            </w:pPr>
            <w:r>
              <w:t>12/07/2011</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2816</w:t>
            </w:r>
          </w:p>
        </w:tc>
        <w:tc>
          <w:tcPr>
            <w:tcW w:w="2333" w:type="dxa"/>
            <w:shd w:val="clear" w:color="auto" w:fill="auto"/>
          </w:tcPr>
          <w:p w:rsidR="009901AD" w:rsidRDefault="009901AD" w:rsidP="009901AD">
            <w:pPr>
              <w:pStyle w:val="AppendixTableText"/>
            </w:pPr>
            <w:r>
              <w:t>Brooklyn School (Wellington)</w:t>
            </w:r>
          </w:p>
        </w:tc>
        <w:tc>
          <w:tcPr>
            <w:tcW w:w="907" w:type="dxa"/>
            <w:shd w:val="clear" w:color="auto" w:fill="auto"/>
          </w:tcPr>
          <w:p w:rsidR="009901AD" w:rsidRDefault="009901AD" w:rsidP="009901AD">
            <w:pPr>
              <w:pStyle w:val="AppendixTableText"/>
            </w:pPr>
            <w:r>
              <w:t>6/09/1999</w:t>
            </w:r>
          </w:p>
        </w:tc>
        <w:tc>
          <w:tcPr>
            <w:tcW w:w="775" w:type="dxa"/>
            <w:shd w:val="clear" w:color="auto" w:fill="auto"/>
          </w:tcPr>
          <w:p w:rsidR="009901AD" w:rsidRDefault="009901AD" w:rsidP="00287DF5">
            <w:pPr>
              <w:pStyle w:val="AppendixTableText"/>
              <w:jc w:val="center"/>
            </w:pPr>
            <w:r>
              <w:t>Yes</w:t>
            </w:r>
          </w:p>
        </w:tc>
      </w:tr>
      <w:tr w:rsidR="009901AD" w:rsidRPr="00D77804" w:rsidTr="009901AD">
        <w:trPr>
          <w:tblHeader/>
          <w:jc w:val="center"/>
        </w:trPr>
        <w:tc>
          <w:tcPr>
            <w:tcW w:w="748" w:type="dxa"/>
            <w:shd w:val="clear" w:color="auto" w:fill="auto"/>
          </w:tcPr>
          <w:p w:rsidR="009901AD" w:rsidRDefault="009901AD" w:rsidP="009901AD">
            <w:pPr>
              <w:pStyle w:val="AppendixTableText"/>
            </w:pPr>
            <w:r>
              <w:t>3303</w:t>
            </w:r>
          </w:p>
        </w:tc>
        <w:tc>
          <w:tcPr>
            <w:tcW w:w="2333" w:type="dxa"/>
            <w:shd w:val="clear" w:color="auto" w:fill="auto"/>
          </w:tcPr>
          <w:p w:rsidR="009901AD" w:rsidRDefault="009901AD" w:rsidP="009901AD">
            <w:pPr>
              <w:pStyle w:val="AppendixTableText"/>
            </w:pPr>
            <w:r>
              <w:t>Broomfield School</w:t>
            </w:r>
          </w:p>
        </w:tc>
        <w:tc>
          <w:tcPr>
            <w:tcW w:w="907" w:type="dxa"/>
            <w:shd w:val="clear" w:color="auto" w:fill="auto"/>
          </w:tcPr>
          <w:p w:rsidR="009901AD" w:rsidRDefault="009901AD" w:rsidP="009901AD">
            <w:pPr>
              <w:pStyle w:val="AppendixTableText"/>
            </w:pPr>
            <w:r>
              <w:t>16/11/2005</w:t>
            </w:r>
          </w:p>
        </w:tc>
        <w:tc>
          <w:tcPr>
            <w:tcW w:w="775" w:type="dxa"/>
            <w:shd w:val="clear" w:color="auto" w:fill="auto"/>
          </w:tcPr>
          <w:p w:rsidR="009901AD" w:rsidRDefault="009901AD" w:rsidP="00287DF5">
            <w:pPr>
              <w:pStyle w:val="AppendixTableText"/>
              <w:jc w:val="center"/>
            </w:pPr>
            <w:r>
              <w:t>No</w:t>
            </w:r>
          </w:p>
        </w:tc>
      </w:tr>
      <w:tr w:rsidR="009901AD" w:rsidRPr="00D77804" w:rsidTr="009901AD">
        <w:trPr>
          <w:tblHeader/>
          <w:jc w:val="center"/>
        </w:trPr>
        <w:tc>
          <w:tcPr>
            <w:tcW w:w="748" w:type="dxa"/>
            <w:shd w:val="clear" w:color="auto" w:fill="auto"/>
          </w:tcPr>
          <w:p w:rsidR="009901AD" w:rsidRDefault="009901AD" w:rsidP="009901AD">
            <w:pPr>
              <w:pStyle w:val="AppendixTableText"/>
            </w:pPr>
            <w:r>
              <w:t>1237</w:t>
            </w:r>
          </w:p>
        </w:tc>
        <w:tc>
          <w:tcPr>
            <w:tcW w:w="2333" w:type="dxa"/>
            <w:shd w:val="clear" w:color="auto" w:fill="auto"/>
          </w:tcPr>
          <w:p w:rsidR="009901AD" w:rsidRDefault="009901AD" w:rsidP="009901AD">
            <w:pPr>
              <w:pStyle w:val="AppendixTableText"/>
            </w:pPr>
            <w:r>
              <w:t>Browns Bay School</w:t>
            </w:r>
          </w:p>
        </w:tc>
        <w:tc>
          <w:tcPr>
            <w:tcW w:w="907" w:type="dxa"/>
            <w:shd w:val="clear" w:color="auto" w:fill="auto"/>
          </w:tcPr>
          <w:p w:rsidR="009901AD" w:rsidRDefault="009901AD" w:rsidP="009901AD">
            <w:pPr>
              <w:pStyle w:val="AppendixTableText"/>
            </w:pPr>
            <w:r>
              <w:t>7/10/1999</w:t>
            </w:r>
          </w:p>
        </w:tc>
        <w:tc>
          <w:tcPr>
            <w:tcW w:w="775" w:type="dxa"/>
            <w:shd w:val="clear" w:color="auto" w:fill="auto"/>
          </w:tcPr>
          <w:p w:rsidR="009901AD" w:rsidRDefault="009901AD" w:rsidP="00287DF5">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1239</w:t>
            </w:r>
          </w:p>
        </w:tc>
        <w:tc>
          <w:tcPr>
            <w:tcW w:w="2333" w:type="dxa"/>
            <w:shd w:val="clear" w:color="auto" w:fill="auto"/>
          </w:tcPr>
          <w:p w:rsidR="006D2D1A" w:rsidRDefault="006D2D1A" w:rsidP="008429FD">
            <w:pPr>
              <w:pStyle w:val="AppendixTableText"/>
            </w:pPr>
            <w:r>
              <w:t>Buckland School</w:t>
            </w:r>
          </w:p>
        </w:tc>
        <w:tc>
          <w:tcPr>
            <w:tcW w:w="907" w:type="dxa"/>
            <w:shd w:val="clear" w:color="auto" w:fill="auto"/>
          </w:tcPr>
          <w:p w:rsidR="006D2D1A" w:rsidRDefault="006D2D1A" w:rsidP="008429FD">
            <w:pPr>
              <w:pStyle w:val="AppendixTableText"/>
            </w:pPr>
            <w:r>
              <w:t>29/10/1999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1240</w:t>
            </w:r>
          </w:p>
        </w:tc>
        <w:tc>
          <w:tcPr>
            <w:tcW w:w="2333" w:type="dxa"/>
            <w:shd w:val="clear" w:color="auto" w:fill="auto"/>
          </w:tcPr>
          <w:p w:rsidR="006D2D1A" w:rsidRDefault="006D2D1A" w:rsidP="008429FD">
            <w:pPr>
              <w:pStyle w:val="AppendixTableText"/>
            </w:pPr>
            <w:r>
              <w:t>Bucklands Beach Intermediate</w:t>
            </w:r>
          </w:p>
        </w:tc>
        <w:tc>
          <w:tcPr>
            <w:tcW w:w="907" w:type="dxa"/>
            <w:shd w:val="clear" w:color="auto" w:fill="auto"/>
          </w:tcPr>
          <w:p w:rsidR="006D2D1A" w:rsidRDefault="006D2D1A" w:rsidP="008429FD">
            <w:pPr>
              <w:pStyle w:val="AppendixTableText"/>
            </w:pPr>
            <w:r>
              <w:t>9/08/1999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1241</w:t>
            </w:r>
          </w:p>
        </w:tc>
        <w:tc>
          <w:tcPr>
            <w:tcW w:w="2333" w:type="dxa"/>
            <w:shd w:val="clear" w:color="auto" w:fill="auto"/>
          </w:tcPr>
          <w:p w:rsidR="006D2D1A" w:rsidRDefault="006D2D1A" w:rsidP="008429FD">
            <w:pPr>
              <w:pStyle w:val="AppendixTableText"/>
            </w:pPr>
            <w:r>
              <w:t>Bucklands Beach Primary School</w:t>
            </w:r>
          </w:p>
        </w:tc>
        <w:tc>
          <w:tcPr>
            <w:tcW w:w="907" w:type="dxa"/>
            <w:shd w:val="clear" w:color="auto" w:fill="auto"/>
          </w:tcPr>
          <w:p w:rsidR="006D2D1A" w:rsidRDefault="006D2D1A" w:rsidP="008429FD">
            <w:pPr>
              <w:pStyle w:val="AppendixTableText"/>
            </w:pPr>
            <w:r>
              <w:t>12/02/2010</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319</w:t>
            </w:r>
          </w:p>
        </w:tc>
        <w:tc>
          <w:tcPr>
            <w:tcW w:w="2333" w:type="dxa"/>
            <w:shd w:val="clear" w:color="auto" w:fill="auto"/>
          </w:tcPr>
          <w:p w:rsidR="006D2D1A" w:rsidRDefault="006D2D1A" w:rsidP="008429FD">
            <w:pPr>
              <w:pStyle w:val="AppendixTableText"/>
            </w:pPr>
            <w:r>
              <w:t>Burnside High School</w:t>
            </w:r>
          </w:p>
        </w:tc>
        <w:tc>
          <w:tcPr>
            <w:tcW w:w="907" w:type="dxa"/>
            <w:shd w:val="clear" w:color="auto" w:fill="auto"/>
          </w:tcPr>
          <w:p w:rsidR="006D2D1A" w:rsidRDefault="006D2D1A" w:rsidP="008429FD">
            <w:pPr>
              <w:pStyle w:val="AppendixTableText"/>
            </w:pPr>
            <w:r>
              <w:t>4/06/1999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3306</w:t>
            </w:r>
          </w:p>
        </w:tc>
        <w:tc>
          <w:tcPr>
            <w:tcW w:w="2333" w:type="dxa"/>
            <w:shd w:val="clear" w:color="auto" w:fill="auto"/>
          </w:tcPr>
          <w:p w:rsidR="006D2D1A" w:rsidRDefault="006D2D1A" w:rsidP="008429FD">
            <w:pPr>
              <w:pStyle w:val="AppendixTableText"/>
            </w:pPr>
            <w:r>
              <w:t>Burwood School</w:t>
            </w:r>
          </w:p>
        </w:tc>
        <w:tc>
          <w:tcPr>
            <w:tcW w:w="907" w:type="dxa"/>
            <w:shd w:val="clear" w:color="auto" w:fill="auto"/>
          </w:tcPr>
          <w:p w:rsidR="006D2D1A" w:rsidRDefault="006D2D1A" w:rsidP="008429FD">
            <w:pPr>
              <w:pStyle w:val="AppendixTableText"/>
            </w:pPr>
            <w:r>
              <w:t>5/11/1999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1700</w:t>
            </w:r>
          </w:p>
        </w:tc>
        <w:tc>
          <w:tcPr>
            <w:tcW w:w="2333" w:type="dxa"/>
            <w:shd w:val="clear" w:color="auto" w:fill="auto"/>
          </w:tcPr>
          <w:p w:rsidR="006D2D1A" w:rsidRDefault="006D2D1A" w:rsidP="008429FD">
            <w:pPr>
              <w:pStyle w:val="AppendixTableText"/>
            </w:pPr>
            <w:r>
              <w:t>Cambridge East School</w:t>
            </w:r>
          </w:p>
        </w:tc>
        <w:tc>
          <w:tcPr>
            <w:tcW w:w="907" w:type="dxa"/>
            <w:shd w:val="clear" w:color="auto" w:fill="auto"/>
          </w:tcPr>
          <w:p w:rsidR="006D2D1A" w:rsidRDefault="006D2D1A" w:rsidP="008429FD">
            <w:pPr>
              <w:pStyle w:val="AppendixTableText"/>
            </w:pPr>
            <w:r>
              <w:t>15/03/2005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142</w:t>
            </w:r>
          </w:p>
        </w:tc>
        <w:tc>
          <w:tcPr>
            <w:tcW w:w="2333" w:type="dxa"/>
            <w:shd w:val="clear" w:color="auto" w:fill="auto"/>
          </w:tcPr>
          <w:p w:rsidR="006D2D1A" w:rsidRDefault="006D2D1A" w:rsidP="008429FD">
            <w:pPr>
              <w:pStyle w:val="AppendixTableText"/>
            </w:pPr>
            <w:r>
              <w:t>Cambridge High School</w:t>
            </w:r>
          </w:p>
        </w:tc>
        <w:tc>
          <w:tcPr>
            <w:tcW w:w="907" w:type="dxa"/>
            <w:shd w:val="clear" w:color="auto" w:fill="auto"/>
          </w:tcPr>
          <w:p w:rsidR="006D2D1A" w:rsidRDefault="006D2D1A" w:rsidP="008429FD">
            <w:pPr>
              <w:pStyle w:val="AppendixTableText"/>
            </w:pPr>
            <w:r>
              <w:t>23/05/2011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1242</w:t>
            </w:r>
          </w:p>
        </w:tc>
        <w:tc>
          <w:tcPr>
            <w:tcW w:w="2333" w:type="dxa"/>
            <w:shd w:val="clear" w:color="auto" w:fill="auto"/>
          </w:tcPr>
          <w:p w:rsidR="006D2D1A" w:rsidRDefault="006D2D1A" w:rsidP="008429FD">
            <w:pPr>
              <w:pStyle w:val="AppendixTableText"/>
            </w:pPr>
            <w:r>
              <w:t>Campbells Bay School</w:t>
            </w:r>
          </w:p>
        </w:tc>
        <w:tc>
          <w:tcPr>
            <w:tcW w:w="907" w:type="dxa"/>
            <w:shd w:val="clear" w:color="auto" w:fill="auto"/>
          </w:tcPr>
          <w:p w:rsidR="006D2D1A" w:rsidRDefault="006D2D1A" w:rsidP="008429FD">
            <w:pPr>
              <w:pStyle w:val="AppendixTableText"/>
            </w:pPr>
            <w:r>
              <w:t>6/10/1999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211</w:t>
            </w:r>
          </w:p>
        </w:tc>
        <w:tc>
          <w:tcPr>
            <w:tcW w:w="2333" w:type="dxa"/>
            <w:shd w:val="clear" w:color="auto" w:fill="auto"/>
          </w:tcPr>
          <w:p w:rsidR="006D2D1A" w:rsidRDefault="006D2D1A" w:rsidP="008429FD">
            <w:pPr>
              <w:pStyle w:val="AppendixTableText"/>
            </w:pPr>
            <w:r>
              <w:t>Campion College</w:t>
            </w:r>
          </w:p>
        </w:tc>
        <w:tc>
          <w:tcPr>
            <w:tcW w:w="907" w:type="dxa"/>
            <w:shd w:val="clear" w:color="auto" w:fill="auto"/>
          </w:tcPr>
          <w:p w:rsidR="006D2D1A" w:rsidRDefault="006D2D1A" w:rsidP="008429FD">
            <w:pPr>
              <w:pStyle w:val="AppendixTableText"/>
            </w:pPr>
            <w:r>
              <w:t>17/07/2006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3308</w:t>
            </w:r>
          </w:p>
        </w:tc>
        <w:tc>
          <w:tcPr>
            <w:tcW w:w="2333" w:type="dxa"/>
            <w:shd w:val="clear" w:color="auto" w:fill="auto"/>
          </w:tcPr>
          <w:p w:rsidR="006D2D1A" w:rsidRDefault="006D2D1A" w:rsidP="008429FD">
            <w:pPr>
              <w:pStyle w:val="AppendixTableText"/>
            </w:pPr>
            <w:r>
              <w:t>Carew Peel Forest School</w:t>
            </w:r>
          </w:p>
        </w:tc>
        <w:tc>
          <w:tcPr>
            <w:tcW w:w="907" w:type="dxa"/>
            <w:shd w:val="clear" w:color="auto" w:fill="auto"/>
          </w:tcPr>
          <w:p w:rsidR="006D2D1A" w:rsidRDefault="006D2D1A" w:rsidP="008429FD">
            <w:pPr>
              <w:pStyle w:val="AppendixTableText"/>
            </w:pPr>
            <w:r>
              <w:t>25/01/2008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2345</w:t>
            </w:r>
          </w:p>
        </w:tc>
        <w:tc>
          <w:tcPr>
            <w:tcW w:w="2333" w:type="dxa"/>
            <w:shd w:val="clear" w:color="auto" w:fill="auto"/>
          </w:tcPr>
          <w:p w:rsidR="006D2D1A" w:rsidRDefault="006D2D1A" w:rsidP="008429FD">
            <w:pPr>
              <w:pStyle w:val="AppendixTableText"/>
            </w:pPr>
            <w:r>
              <w:t>Carlton School</w:t>
            </w:r>
          </w:p>
        </w:tc>
        <w:tc>
          <w:tcPr>
            <w:tcW w:w="907" w:type="dxa"/>
            <w:shd w:val="clear" w:color="auto" w:fill="auto"/>
          </w:tcPr>
          <w:p w:rsidR="006D2D1A" w:rsidRDefault="006D2D1A" w:rsidP="008429FD">
            <w:pPr>
              <w:pStyle w:val="AppendixTableText"/>
            </w:pPr>
            <w:r>
              <w:t>7/08/2008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35</w:t>
            </w:r>
          </w:p>
        </w:tc>
        <w:tc>
          <w:tcPr>
            <w:tcW w:w="2333" w:type="dxa"/>
            <w:shd w:val="clear" w:color="auto" w:fill="auto"/>
          </w:tcPr>
          <w:p w:rsidR="006D2D1A" w:rsidRDefault="006D2D1A" w:rsidP="008429FD">
            <w:pPr>
              <w:pStyle w:val="AppendixTableText"/>
            </w:pPr>
            <w:r>
              <w:t>Carmel College</w:t>
            </w:r>
          </w:p>
        </w:tc>
        <w:tc>
          <w:tcPr>
            <w:tcW w:w="907" w:type="dxa"/>
            <w:shd w:val="clear" w:color="auto" w:fill="auto"/>
          </w:tcPr>
          <w:p w:rsidR="006D2D1A" w:rsidRDefault="006D2D1A" w:rsidP="008429FD">
            <w:pPr>
              <w:pStyle w:val="AppendixTableText"/>
            </w:pPr>
            <w:r>
              <w:t>16/05/2007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2820</w:t>
            </w:r>
          </w:p>
        </w:tc>
        <w:tc>
          <w:tcPr>
            <w:tcW w:w="2333" w:type="dxa"/>
            <w:shd w:val="clear" w:color="auto" w:fill="auto"/>
          </w:tcPr>
          <w:p w:rsidR="006D2D1A" w:rsidRDefault="006D2D1A" w:rsidP="008429FD">
            <w:pPr>
              <w:pStyle w:val="AppendixTableText"/>
            </w:pPr>
            <w:r>
              <w:t>Carterton School</w:t>
            </w:r>
          </w:p>
        </w:tc>
        <w:tc>
          <w:tcPr>
            <w:tcW w:w="907" w:type="dxa"/>
            <w:shd w:val="clear" w:color="auto" w:fill="auto"/>
          </w:tcPr>
          <w:p w:rsidR="006D2D1A" w:rsidRDefault="006D2D1A" w:rsidP="008429FD">
            <w:pPr>
              <w:pStyle w:val="AppendixTableText"/>
            </w:pPr>
            <w:r>
              <w:t>21/11/2012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2821</w:t>
            </w:r>
          </w:p>
        </w:tc>
        <w:tc>
          <w:tcPr>
            <w:tcW w:w="2333" w:type="dxa"/>
            <w:shd w:val="clear" w:color="auto" w:fill="auto"/>
          </w:tcPr>
          <w:p w:rsidR="006D2D1A" w:rsidRDefault="006D2D1A" w:rsidP="008429FD">
            <w:pPr>
              <w:pStyle w:val="AppendixTableText"/>
            </w:pPr>
            <w:r>
              <w:t>Cashmere Avenue School</w:t>
            </w:r>
          </w:p>
        </w:tc>
        <w:tc>
          <w:tcPr>
            <w:tcW w:w="907" w:type="dxa"/>
            <w:shd w:val="clear" w:color="auto" w:fill="auto"/>
          </w:tcPr>
          <w:p w:rsidR="006D2D1A" w:rsidRDefault="006D2D1A" w:rsidP="008429FD">
            <w:pPr>
              <w:pStyle w:val="AppendixTableText"/>
            </w:pPr>
            <w:r>
              <w:t>12/07/2004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340</w:t>
            </w:r>
          </w:p>
        </w:tc>
        <w:tc>
          <w:tcPr>
            <w:tcW w:w="2333" w:type="dxa"/>
            <w:shd w:val="clear" w:color="auto" w:fill="auto"/>
          </w:tcPr>
          <w:p w:rsidR="006D2D1A" w:rsidRDefault="006D2D1A" w:rsidP="008429FD">
            <w:pPr>
              <w:pStyle w:val="AppendixTableText"/>
            </w:pPr>
            <w:r>
              <w:t>Cashmere High School</w:t>
            </w:r>
          </w:p>
        </w:tc>
        <w:tc>
          <w:tcPr>
            <w:tcW w:w="907" w:type="dxa"/>
            <w:shd w:val="clear" w:color="auto" w:fill="auto"/>
          </w:tcPr>
          <w:p w:rsidR="006D2D1A" w:rsidRDefault="006D2D1A" w:rsidP="008429FD">
            <w:pPr>
              <w:pStyle w:val="AppendixTableText"/>
            </w:pPr>
            <w:r>
              <w:t>27/05/1999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3310</w:t>
            </w:r>
          </w:p>
        </w:tc>
        <w:tc>
          <w:tcPr>
            <w:tcW w:w="2333" w:type="dxa"/>
            <w:shd w:val="clear" w:color="auto" w:fill="auto"/>
          </w:tcPr>
          <w:p w:rsidR="006D2D1A" w:rsidRDefault="006D2D1A" w:rsidP="008429FD">
            <w:pPr>
              <w:pStyle w:val="AppendixTableText"/>
            </w:pPr>
            <w:r>
              <w:t>Cashmere Primary School</w:t>
            </w:r>
          </w:p>
        </w:tc>
        <w:tc>
          <w:tcPr>
            <w:tcW w:w="907" w:type="dxa"/>
            <w:shd w:val="clear" w:color="auto" w:fill="auto"/>
          </w:tcPr>
          <w:p w:rsidR="006D2D1A" w:rsidRDefault="006D2D1A" w:rsidP="008429FD">
            <w:pPr>
              <w:pStyle w:val="AppendixTableText"/>
            </w:pPr>
            <w:r>
              <w:t>29/11/1999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2418</w:t>
            </w:r>
          </w:p>
        </w:tc>
        <w:tc>
          <w:tcPr>
            <w:tcW w:w="2333" w:type="dxa"/>
            <w:shd w:val="clear" w:color="auto" w:fill="auto"/>
          </w:tcPr>
          <w:p w:rsidR="006D2D1A" w:rsidRDefault="006D2D1A" w:rsidP="008429FD">
            <w:pPr>
              <w:pStyle w:val="AppendixTableText"/>
            </w:pPr>
            <w:r>
              <w:t>Central Normal School</w:t>
            </w:r>
          </w:p>
        </w:tc>
        <w:tc>
          <w:tcPr>
            <w:tcW w:w="907" w:type="dxa"/>
            <w:shd w:val="clear" w:color="auto" w:fill="auto"/>
          </w:tcPr>
          <w:p w:rsidR="006D2D1A" w:rsidRDefault="006D2D1A" w:rsidP="008429FD">
            <w:pPr>
              <w:pStyle w:val="AppendixTableText"/>
            </w:pPr>
            <w:r>
              <w:t>18/12/2003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1581</w:t>
            </w:r>
          </w:p>
        </w:tc>
        <w:tc>
          <w:tcPr>
            <w:tcW w:w="2333" w:type="dxa"/>
            <w:shd w:val="clear" w:color="auto" w:fill="auto"/>
          </w:tcPr>
          <w:p w:rsidR="006D2D1A" w:rsidRDefault="006D2D1A" w:rsidP="008429FD">
            <w:pPr>
              <w:pStyle w:val="AppendixTableText"/>
            </w:pPr>
            <w:r>
              <w:t>Chapel Downs School</w:t>
            </w:r>
          </w:p>
        </w:tc>
        <w:tc>
          <w:tcPr>
            <w:tcW w:w="907" w:type="dxa"/>
            <w:shd w:val="clear" w:color="auto" w:fill="auto"/>
          </w:tcPr>
          <w:p w:rsidR="006D2D1A" w:rsidRDefault="006D2D1A" w:rsidP="008429FD">
            <w:pPr>
              <w:pStyle w:val="AppendixTableText"/>
            </w:pPr>
            <w:r>
              <w:t>24/11/1999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1244</w:t>
            </w:r>
          </w:p>
        </w:tc>
        <w:tc>
          <w:tcPr>
            <w:tcW w:w="2333" w:type="dxa"/>
            <w:shd w:val="clear" w:color="auto" w:fill="auto"/>
          </w:tcPr>
          <w:p w:rsidR="006D2D1A" w:rsidRDefault="006D2D1A" w:rsidP="008429FD">
            <w:pPr>
              <w:pStyle w:val="AppendixTableText"/>
            </w:pPr>
            <w:r>
              <w:t>Chelsea School</w:t>
            </w:r>
          </w:p>
        </w:tc>
        <w:tc>
          <w:tcPr>
            <w:tcW w:w="907" w:type="dxa"/>
            <w:shd w:val="clear" w:color="auto" w:fill="auto"/>
          </w:tcPr>
          <w:p w:rsidR="006D2D1A" w:rsidRDefault="006D2D1A" w:rsidP="008429FD">
            <w:pPr>
              <w:pStyle w:val="AppendixTableText"/>
            </w:pPr>
            <w:r>
              <w:t>23/09/1999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3314</w:t>
            </w:r>
          </w:p>
        </w:tc>
        <w:tc>
          <w:tcPr>
            <w:tcW w:w="2333" w:type="dxa"/>
            <w:shd w:val="clear" w:color="auto" w:fill="auto"/>
          </w:tcPr>
          <w:p w:rsidR="006D2D1A" w:rsidRDefault="006D2D1A" w:rsidP="008429FD">
            <w:pPr>
              <w:pStyle w:val="AppendixTableText"/>
            </w:pPr>
            <w:r>
              <w:t>Chisnallwood Intermediate</w:t>
            </w:r>
          </w:p>
        </w:tc>
        <w:tc>
          <w:tcPr>
            <w:tcW w:w="907" w:type="dxa"/>
            <w:shd w:val="clear" w:color="auto" w:fill="auto"/>
          </w:tcPr>
          <w:p w:rsidR="006D2D1A" w:rsidRDefault="006D2D1A" w:rsidP="008429FD">
            <w:pPr>
              <w:pStyle w:val="AppendixTableText"/>
            </w:pPr>
            <w:r>
              <w:t>16/09/2005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327</w:t>
            </w:r>
          </w:p>
        </w:tc>
        <w:tc>
          <w:tcPr>
            <w:tcW w:w="2333" w:type="dxa"/>
            <w:shd w:val="clear" w:color="auto" w:fill="auto"/>
          </w:tcPr>
          <w:p w:rsidR="006D2D1A" w:rsidRDefault="006D2D1A" w:rsidP="008429FD">
            <w:pPr>
              <w:pStyle w:val="AppendixTableText"/>
            </w:pPr>
            <w:r>
              <w:t>Christchurch Boys' High School</w:t>
            </w:r>
          </w:p>
        </w:tc>
        <w:tc>
          <w:tcPr>
            <w:tcW w:w="907" w:type="dxa"/>
            <w:shd w:val="clear" w:color="auto" w:fill="auto"/>
          </w:tcPr>
          <w:p w:rsidR="006D2D1A" w:rsidRDefault="006D2D1A" w:rsidP="008429FD">
            <w:pPr>
              <w:pStyle w:val="AppendixTableText"/>
            </w:pPr>
            <w:r>
              <w:t>4/06/1999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328</w:t>
            </w:r>
          </w:p>
        </w:tc>
        <w:tc>
          <w:tcPr>
            <w:tcW w:w="2333" w:type="dxa"/>
            <w:shd w:val="clear" w:color="auto" w:fill="auto"/>
          </w:tcPr>
          <w:p w:rsidR="006D2D1A" w:rsidRDefault="006D2D1A" w:rsidP="008429FD">
            <w:pPr>
              <w:pStyle w:val="AppendixTableText"/>
            </w:pPr>
            <w:r>
              <w:t>Christchurch Girls' High School</w:t>
            </w:r>
          </w:p>
        </w:tc>
        <w:tc>
          <w:tcPr>
            <w:tcW w:w="907" w:type="dxa"/>
            <w:shd w:val="clear" w:color="auto" w:fill="auto"/>
          </w:tcPr>
          <w:p w:rsidR="006D2D1A" w:rsidRDefault="006D2D1A" w:rsidP="008429FD">
            <w:pPr>
              <w:pStyle w:val="AppendixTableText"/>
            </w:pPr>
            <w:r>
              <w:t>27/05/1999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3318</w:t>
            </w:r>
          </w:p>
        </w:tc>
        <w:tc>
          <w:tcPr>
            <w:tcW w:w="2333" w:type="dxa"/>
            <w:shd w:val="clear" w:color="auto" w:fill="auto"/>
          </w:tcPr>
          <w:p w:rsidR="006D2D1A" w:rsidRDefault="006D2D1A" w:rsidP="008429FD">
            <w:pPr>
              <w:pStyle w:val="AppendixTableText"/>
            </w:pPr>
            <w:r>
              <w:t>Christchurch South Intermediate</w:t>
            </w:r>
          </w:p>
        </w:tc>
        <w:tc>
          <w:tcPr>
            <w:tcW w:w="907" w:type="dxa"/>
            <w:shd w:val="clear" w:color="auto" w:fill="auto"/>
          </w:tcPr>
          <w:p w:rsidR="006D2D1A" w:rsidRDefault="006D2D1A" w:rsidP="008429FD">
            <w:pPr>
              <w:pStyle w:val="AppendixTableText"/>
            </w:pPr>
            <w:r>
              <w:t>4/12/2008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1246</w:t>
            </w:r>
          </w:p>
        </w:tc>
        <w:tc>
          <w:tcPr>
            <w:tcW w:w="2333" w:type="dxa"/>
            <w:shd w:val="clear" w:color="auto" w:fill="auto"/>
          </w:tcPr>
          <w:p w:rsidR="006D2D1A" w:rsidRDefault="006D2D1A" w:rsidP="008429FD">
            <w:pPr>
              <w:pStyle w:val="AppendixTableText"/>
            </w:pPr>
            <w:r>
              <w:t>Churchill Park School</w:t>
            </w:r>
          </w:p>
        </w:tc>
        <w:tc>
          <w:tcPr>
            <w:tcW w:w="907" w:type="dxa"/>
            <w:shd w:val="clear" w:color="auto" w:fill="auto"/>
          </w:tcPr>
          <w:p w:rsidR="006D2D1A" w:rsidRDefault="006D2D1A" w:rsidP="008429FD">
            <w:pPr>
              <w:pStyle w:val="AppendixTableText"/>
            </w:pPr>
            <w:r>
              <w:t>19/10/1999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2824</w:t>
            </w:r>
          </w:p>
        </w:tc>
        <w:tc>
          <w:tcPr>
            <w:tcW w:w="2333" w:type="dxa"/>
            <w:shd w:val="clear" w:color="auto" w:fill="auto"/>
          </w:tcPr>
          <w:p w:rsidR="006D2D1A" w:rsidRDefault="006D2D1A" w:rsidP="008429FD">
            <w:pPr>
              <w:pStyle w:val="AppendixTableText"/>
            </w:pPr>
            <w:r>
              <w:t>Churton Park School</w:t>
            </w:r>
          </w:p>
        </w:tc>
        <w:tc>
          <w:tcPr>
            <w:tcW w:w="907" w:type="dxa"/>
            <w:shd w:val="clear" w:color="auto" w:fill="auto"/>
          </w:tcPr>
          <w:p w:rsidR="006D2D1A" w:rsidRDefault="006D2D1A" w:rsidP="008429FD">
            <w:pPr>
              <w:pStyle w:val="AppendixTableText"/>
            </w:pPr>
            <w:r>
              <w:t>23/04/2001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3321</w:t>
            </w:r>
          </w:p>
        </w:tc>
        <w:tc>
          <w:tcPr>
            <w:tcW w:w="2333" w:type="dxa"/>
            <w:shd w:val="clear" w:color="auto" w:fill="auto"/>
          </w:tcPr>
          <w:p w:rsidR="006D2D1A" w:rsidRDefault="006D2D1A" w:rsidP="008429FD">
            <w:pPr>
              <w:pStyle w:val="AppendixTableText"/>
            </w:pPr>
            <w:r>
              <w:t>Clarkville School</w:t>
            </w:r>
          </w:p>
        </w:tc>
        <w:tc>
          <w:tcPr>
            <w:tcW w:w="907" w:type="dxa"/>
            <w:shd w:val="clear" w:color="auto" w:fill="auto"/>
          </w:tcPr>
          <w:p w:rsidR="006D2D1A" w:rsidRDefault="006D2D1A" w:rsidP="008429FD">
            <w:pPr>
              <w:pStyle w:val="AppendixTableText"/>
            </w:pPr>
            <w:r>
              <w:t>22/11/1999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1247</w:t>
            </w:r>
          </w:p>
        </w:tc>
        <w:tc>
          <w:tcPr>
            <w:tcW w:w="2333" w:type="dxa"/>
            <w:shd w:val="clear" w:color="auto" w:fill="auto"/>
          </w:tcPr>
          <w:p w:rsidR="006D2D1A" w:rsidRDefault="006D2D1A" w:rsidP="008429FD">
            <w:pPr>
              <w:pStyle w:val="AppendixTableText"/>
            </w:pPr>
            <w:r>
              <w:t>Clayton Park School</w:t>
            </w:r>
          </w:p>
        </w:tc>
        <w:tc>
          <w:tcPr>
            <w:tcW w:w="907" w:type="dxa"/>
            <w:shd w:val="clear" w:color="auto" w:fill="auto"/>
          </w:tcPr>
          <w:p w:rsidR="006D2D1A" w:rsidRDefault="006D2D1A" w:rsidP="008429FD">
            <w:pPr>
              <w:pStyle w:val="AppendixTableText"/>
            </w:pPr>
            <w:r>
              <w:t>23/03/2001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6980</w:t>
            </w:r>
          </w:p>
        </w:tc>
        <w:tc>
          <w:tcPr>
            <w:tcW w:w="2333" w:type="dxa"/>
            <w:shd w:val="clear" w:color="auto" w:fill="auto"/>
          </w:tcPr>
          <w:p w:rsidR="006D2D1A" w:rsidRDefault="006D2D1A" w:rsidP="008429FD">
            <w:pPr>
              <w:pStyle w:val="AppendixTableText"/>
            </w:pPr>
            <w:r>
              <w:t>Clearview Primary</w:t>
            </w:r>
          </w:p>
        </w:tc>
        <w:tc>
          <w:tcPr>
            <w:tcW w:w="907" w:type="dxa"/>
            <w:shd w:val="clear" w:color="auto" w:fill="auto"/>
          </w:tcPr>
          <w:p w:rsidR="006D2D1A" w:rsidRDefault="006D2D1A" w:rsidP="008429FD">
            <w:pPr>
              <w:pStyle w:val="AppendixTableText"/>
            </w:pPr>
            <w:r>
              <w:t>27/08/2009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1248</w:t>
            </w:r>
          </w:p>
        </w:tc>
        <w:tc>
          <w:tcPr>
            <w:tcW w:w="2333" w:type="dxa"/>
            <w:shd w:val="clear" w:color="auto" w:fill="auto"/>
          </w:tcPr>
          <w:p w:rsidR="006D2D1A" w:rsidRDefault="006D2D1A" w:rsidP="008429FD">
            <w:pPr>
              <w:pStyle w:val="AppendixTableText"/>
            </w:pPr>
            <w:r>
              <w:t>Clendon Park School</w:t>
            </w:r>
          </w:p>
        </w:tc>
        <w:tc>
          <w:tcPr>
            <w:tcW w:w="907" w:type="dxa"/>
            <w:shd w:val="clear" w:color="auto" w:fill="auto"/>
          </w:tcPr>
          <w:p w:rsidR="006D2D1A" w:rsidRDefault="006D2D1A" w:rsidP="008429FD">
            <w:pPr>
              <w:pStyle w:val="AppendixTableText"/>
            </w:pPr>
            <w:r>
              <w:t>29/06/2005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1249</w:t>
            </w:r>
          </w:p>
        </w:tc>
        <w:tc>
          <w:tcPr>
            <w:tcW w:w="2333" w:type="dxa"/>
            <w:shd w:val="clear" w:color="auto" w:fill="auto"/>
          </w:tcPr>
          <w:p w:rsidR="006D2D1A" w:rsidRDefault="006D2D1A" w:rsidP="008429FD">
            <w:pPr>
              <w:pStyle w:val="AppendixTableText"/>
            </w:pPr>
            <w:r>
              <w:t>Clevedon School</w:t>
            </w:r>
          </w:p>
        </w:tc>
        <w:tc>
          <w:tcPr>
            <w:tcW w:w="907" w:type="dxa"/>
            <w:shd w:val="clear" w:color="auto" w:fill="auto"/>
          </w:tcPr>
          <w:p w:rsidR="006D2D1A" w:rsidRDefault="006D2D1A" w:rsidP="008429FD">
            <w:pPr>
              <w:pStyle w:val="AppendixTableText"/>
            </w:pPr>
            <w:r>
              <w:t>6/11/2006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2826</w:t>
            </w:r>
          </w:p>
        </w:tc>
        <w:tc>
          <w:tcPr>
            <w:tcW w:w="2333" w:type="dxa"/>
            <w:shd w:val="clear" w:color="auto" w:fill="auto"/>
          </w:tcPr>
          <w:p w:rsidR="006D2D1A" w:rsidRDefault="006D2D1A" w:rsidP="008429FD">
            <w:pPr>
              <w:pStyle w:val="AppendixTableText"/>
            </w:pPr>
            <w:r>
              <w:t>Clifton Terrace Model School</w:t>
            </w:r>
          </w:p>
        </w:tc>
        <w:tc>
          <w:tcPr>
            <w:tcW w:w="907" w:type="dxa"/>
            <w:shd w:val="clear" w:color="auto" w:fill="auto"/>
          </w:tcPr>
          <w:p w:rsidR="006D2D1A" w:rsidRDefault="006D2D1A" w:rsidP="008429FD">
            <w:pPr>
              <w:pStyle w:val="AppendixTableText"/>
            </w:pPr>
            <w:r>
              <w:t>24/08/1999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2549</w:t>
            </w:r>
          </w:p>
        </w:tc>
        <w:tc>
          <w:tcPr>
            <w:tcW w:w="2333" w:type="dxa"/>
            <w:shd w:val="clear" w:color="auto" w:fill="auto"/>
          </w:tcPr>
          <w:p w:rsidR="006D2D1A" w:rsidRDefault="006D2D1A" w:rsidP="008429FD">
            <w:pPr>
              <w:pStyle w:val="AppendixTableText"/>
            </w:pPr>
            <w:r>
              <w:t>Clive School</w:t>
            </w:r>
          </w:p>
        </w:tc>
        <w:tc>
          <w:tcPr>
            <w:tcW w:w="907" w:type="dxa"/>
            <w:shd w:val="clear" w:color="auto" w:fill="auto"/>
          </w:tcPr>
          <w:p w:rsidR="006D2D1A" w:rsidRDefault="006D2D1A" w:rsidP="008429FD">
            <w:pPr>
              <w:pStyle w:val="AppendixTableText"/>
            </w:pPr>
            <w:r>
              <w:t>14/06/2004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2827</w:t>
            </w:r>
          </w:p>
        </w:tc>
        <w:tc>
          <w:tcPr>
            <w:tcW w:w="2333" w:type="dxa"/>
            <w:shd w:val="clear" w:color="auto" w:fill="auto"/>
          </w:tcPr>
          <w:p w:rsidR="006D2D1A" w:rsidRDefault="006D2D1A" w:rsidP="008429FD">
            <w:pPr>
              <w:pStyle w:val="AppendixTableText"/>
            </w:pPr>
            <w:r>
              <w:t>Clyde Quay School</w:t>
            </w:r>
          </w:p>
        </w:tc>
        <w:tc>
          <w:tcPr>
            <w:tcW w:w="907" w:type="dxa"/>
            <w:shd w:val="clear" w:color="auto" w:fill="auto"/>
          </w:tcPr>
          <w:p w:rsidR="006D2D1A" w:rsidRDefault="006D2D1A" w:rsidP="008429FD">
            <w:pPr>
              <w:pStyle w:val="AppendixTableText"/>
            </w:pPr>
            <w:r>
              <w:t>3/05/2005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3725</w:t>
            </w:r>
          </w:p>
        </w:tc>
        <w:tc>
          <w:tcPr>
            <w:tcW w:w="2333" w:type="dxa"/>
            <w:shd w:val="clear" w:color="auto" w:fill="auto"/>
          </w:tcPr>
          <w:p w:rsidR="006D2D1A" w:rsidRDefault="006D2D1A" w:rsidP="008429FD">
            <w:pPr>
              <w:pStyle w:val="AppendixTableText"/>
            </w:pPr>
            <w:r>
              <w:t>Clyde School</w:t>
            </w:r>
          </w:p>
        </w:tc>
        <w:tc>
          <w:tcPr>
            <w:tcW w:w="907" w:type="dxa"/>
            <w:shd w:val="clear" w:color="auto" w:fill="auto"/>
          </w:tcPr>
          <w:p w:rsidR="006D2D1A" w:rsidRDefault="006D2D1A" w:rsidP="008429FD">
            <w:pPr>
              <w:pStyle w:val="AppendixTableText"/>
            </w:pPr>
            <w:r>
              <w:t>6/12/2007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1252</w:t>
            </w:r>
          </w:p>
        </w:tc>
        <w:tc>
          <w:tcPr>
            <w:tcW w:w="2333" w:type="dxa"/>
            <w:shd w:val="clear" w:color="auto" w:fill="auto"/>
          </w:tcPr>
          <w:p w:rsidR="006D2D1A" w:rsidRDefault="006D2D1A" w:rsidP="008429FD">
            <w:pPr>
              <w:pStyle w:val="AppendixTableText"/>
            </w:pPr>
            <w:r>
              <w:t>Coatesville School</w:t>
            </w:r>
          </w:p>
        </w:tc>
        <w:tc>
          <w:tcPr>
            <w:tcW w:w="907" w:type="dxa"/>
            <w:shd w:val="clear" w:color="auto" w:fill="auto"/>
          </w:tcPr>
          <w:p w:rsidR="006D2D1A" w:rsidRDefault="006D2D1A" w:rsidP="008429FD">
            <w:pPr>
              <w:pStyle w:val="AppendixTableText"/>
            </w:pPr>
            <w:r>
              <w:t>23/06/1999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3323</w:t>
            </w:r>
          </w:p>
        </w:tc>
        <w:tc>
          <w:tcPr>
            <w:tcW w:w="2333" w:type="dxa"/>
            <w:shd w:val="clear" w:color="auto" w:fill="auto"/>
          </w:tcPr>
          <w:p w:rsidR="006D2D1A" w:rsidRDefault="006D2D1A" w:rsidP="008429FD">
            <w:pPr>
              <w:pStyle w:val="AppendixTableText"/>
            </w:pPr>
            <w:r>
              <w:t>Cobham Intermediate</w:t>
            </w:r>
          </w:p>
        </w:tc>
        <w:tc>
          <w:tcPr>
            <w:tcW w:w="907" w:type="dxa"/>
            <w:shd w:val="clear" w:color="auto" w:fill="auto"/>
          </w:tcPr>
          <w:p w:rsidR="006D2D1A" w:rsidRDefault="006D2D1A" w:rsidP="008429FD">
            <w:pPr>
              <w:pStyle w:val="AppendixTableText"/>
            </w:pPr>
            <w:r>
              <w:t>22/10/1999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1253</w:t>
            </w:r>
          </w:p>
        </w:tc>
        <w:tc>
          <w:tcPr>
            <w:tcW w:w="2333" w:type="dxa"/>
            <w:shd w:val="clear" w:color="auto" w:fill="auto"/>
          </w:tcPr>
          <w:p w:rsidR="006D2D1A" w:rsidRDefault="006D2D1A" w:rsidP="008429FD">
            <w:pPr>
              <w:pStyle w:val="AppendixTableText"/>
            </w:pPr>
            <w:r>
              <w:t>Cockle Bay School</w:t>
            </w:r>
          </w:p>
        </w:tc>
        <w:tc>
          <w:tcPr>
            <w:tcW w:w="907" w:type="dxa"/>
            <w:shd w:val="clear" w:color="auto" w:fill="auto"/>
          </w:tcPr>
          <w:p w:rsidR="006D2D1A" w:rsidRDefault="006D2D1A" w:rsidP="008429FD">
            <w:pPr>
              <w:pStyle w:val="AppendixTableText"/>
            </w:pPr>
            <w:r>
              <w:t>5/08/1999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2352</w:t>
            </w:r>
          </w:p>
        </w:tc>
        <w:tc>
          <w:tcPr>
            <w:tcW w:w="2333" w:type="dxa"/>
            <w:shd w:val="clear" w:color="auto" w:fill="auto"/>
          </w:tcPr>
          <w:p w:rsidR="006D2D1A" w:rsidRDefault="006D2D1A" w:rsidP="008429FD">
            <w:pPr>
              <w:pStyle w:val="AppendixTableText"/>
            </w:pPr>
            <w:r>
              <w:t>Coley Street School</w:t>
            </w:r>
          </w:p>
        </w:tc>
        <w:tc>
          <w:tcPr>
            <w:tcW w:w="907" w:type="dxa"/>
            <w:shd w:val="clear" w:color="auto" w:fill="auto"/>
          </w:tcPr>
          <w:p w:rsidR="006D2D1A" w:rsidRDefault="006D2D1A" w:rsidP="008429FD">
            <w:pPr>
              <w:pStyle w:val="AppendixTableText"/>
            </w:pPr>
            <w:r>
              <w:t>7/09/2006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2353</w:t>
            </w:r>
          </w:p>
        </w:tc>
        <w:tc>
          <w:tcPr>
            <w:tcW w:w="2333" w:type="dxa"/>
            <w:shd w:val="clear" w:color="auto" w:fill="auto"/>
          </w:tcPr>
          <w:p w:rsidR="006D2D1A" w:rsidRDefault="006D2D1A" w:rsidP="008429FD">
            <w:pPr>
              <w:pStyle w:val="AppendixTableText"/>
            </w:pPr>
            <w:r>
              <w:t>College Street Normal School</w:t>
            </w:r>
          </w:p>
        </w:tc>
        <w:tc>
          <w:tcPr>
            <w:tcW w:w="907" w:type="dxa"/>
            <w:shd w:val="clear" w:color="auto" w:fill="auto"/>
          </w:tcPr>
          <w:p w:rsidR="006D2D1A" w:rsidRDefault="006D2D1A" w:rsidP="008429FD">
            <w:pPr>
              <w:pStyle w:val="AppendixTableText"/>
            </w:pPr>
            <w:r>
              <w:t>17/08/2004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386</w:t>
            </w:r>
          </w:p>
        </w:tc>
        <w:tc>
          <w:tcPr>
            <w:tcW w:w="2333" w:type="dxa"/>
            <w:shd w:val="clear" w:color="auto" w:fill="auto"/>
          </w:tcPr>
          <w:p w:rsidR="006D2D1A" w:rsidRDefault="006D2D1A" w:rsidP="008429FD">
            <w:pPr>
              <w:pStyle w:val="AppendixTableText"/>
            </w:pPr>
            <w:r>
              <w:t>Columba College</w:t>
            </w:r>
          </w:p>
        </w:tc>
        <w:tc>
          <w:tcPr>
            <w:tcW w:w="907" w:type="dxa"/>
            <w:shd w:val="clear" w:color="auto" w:fill="auto"/>
          </w:tcPr>
          <w:p w:rsidR="006D2D1A" w:rsidRDefault="006D2D1A" w:rsidP="008429FD">
            <w:pPr>
              <w:pStyle w:val="AppendixTableText"/>
            </w:pPr>
            <w:r>
              <w:t>19/07/2004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2354</w:t>
            </w:r>
          </w:p>
        </w:tc>
        <w:tc>
          <w:tcPr>
            <w:tcW w:w="2333" w:type="dxa"/>
            <w:shd w:val="clear" w:color="auto" w:fill="auto"/>
          </w:tcPr>
          <w:p w:rsidR="006D2D1A" w:rsidRDefault="006D2D1A" w:rsidP="008429FD">
            <w:pPr>
              <w:pStyle w:val="AppendixTableText"/>
            </w:pPr>
            <w:r>
              <w:t>Colyton School</w:t>
            </w:r>
          </w:p>
        </w:tc>
        <w:tc>
          <w:tcPr>
            <w:tcW w:w="907" w:type="dxa"/>
            <w:shd w:val="clear" w:color="auto" w:fill="auto"/>
          </w:tcPr>
          <w:p w:rsidR="006D2D1A" w:rsidRDefault="006D2D1A" w:rsidP="008429FD">
            <w:pPr>
              <w:pStyle w:val="AppendixTableText"/>
            </w:pPr>
            <w:r>
              <w:t>14/05/2008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1255</w:t>
            </w:r>
          </w:p>
        </w:tc>
        <w:tc>
          <w:tcPr>
            <w:tcW w:w="2333" w:type="dxa"/>
            <w:shd w:val="clear" w:color="auto" w:fill="auto"/>
          </w:tcPr>
          <w:p w:rsidR="006D2D1A" w:rsidRDefault="006D2D1A" w:rsidP="008429FD">
            <w:pPr>
              <w:pStyle w:val="AppendixTableText"/>
            </w:pPr>
            <w:r>
              <w:t>Conifer Grove School</w:t>
            </w:r>
          </w:p>
        </w:tc>
        <w:tc>
          <w:tcPr>
            <w:tcW w:w="907" w:type="dxa"/>
            <w:shd w:val="clear" w:color="auto" w:fill="auto"/>
          </w:tcPr>
          <w:p w:rsidR="006D2D1A" w:rsidRDefault="006D2D1A" w:rsidP="008429FD">
            <w:pPr>
              <w:pStyle w:val="AppendixTableText"/>
            </w:pPr>
            <w:r>
              <w:t>19/10/1999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1256</w:t>
            </w:r>
          </w:p>
        </w:tc>
        <w:tc>
          <w:tcPr>
            <w:tcW w:w="2333" w:type="dxa"/>
            <w:shd w:val="clear" w:color="auto" w:fill="auto"/>
          </w:tcPr>
          <w:p w:rsidR="006D2D1A" w:rsidRDefault="006D2D1A" w:rsidP="008429FD">
            <w:pPr>
              <w:pStyle w:val="AppendixTableText"/>
            </w:pPr>
            <w:r>
              <w:t>Cornwall Park District School</w:t>
            </w:r>
          </w:p>
        </w:tc>
        <w:tc>
          <w:tcPr>
            <w:tcW w:w="907" w:type="dxa"/>
            <w:shd w:val="clear" w:color="auto" w:fill="auto"/>
          </w:tcPr>
          <w:p w:rsidR="006D2D1A" w:rsidRDefault="006D2D1A" w:rsidP="008429FD">
            <w:pPr>
              <w:pStyle w:val="AppendixTableText"/>
            </w:pPr>
            <w:r>
              <w:t>25/11/1999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3324</w:t>
            </w:r>
          </w:p>
        </w:tc>
        <w:tc>
          <w:tcPr>
            <w:tcW w:w="2333" w:type="dxa"/>
            <w:shd w:val="clear" w:color="auto" w:fill="auto"/>
          </w:tcPr>
          <w:p w:rsidR="006D2D1A" w:rsidRDefault="006D2D1A" w:rsidP="008429FD">
            <w:pPr>
              <w:pStyle w:val="AppendixTableText"/>
            </w:pPr>
            <w:r>
              <w:t>Cotswold School</w:t>
            </w:r>
          </w:p>
        </w:tc>
        <w:tc>
          <w:tcPr>
            <w:tcW w:w="907" w:type="dxa"/>
            <w:shd w:val="clear" w:color="auto" w:fill="auto"/>
          </w:tcPr>
          <w:p w:rsidR="006D2D1A" w:rsidRDefault="006D2D1A" w:rsidP="008429FD">
            <w:pPr>
              <w:pStyle w:val="AppendixTableText"/>
            </w:pPr>
            <w:r>
              <w:t>22/11/1999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357</w:t>
            </w:r>
          </w:p>
        </w:tc>
        <w:tc>
          <w:tcPr>
            <w:tcW w:w="2333" w:type="dxa"/>
            <w:shd w:val="clear" w:color="auto" w:fill="auto"/>
          </w:tcPr>
          <w:p w:rsidR="006D2D1A" w:rsidRDefault="006D2D1A" w:rsidP="008429FD">
            <w:pPr>
              <w:pStyle w:val="AppendixTableText"/>
            </w:pPr>
            <w:r>
              <w:t>Craighead Diocesan School</w:t>
            </w:r>
          </w:p>
        </w:tc>
        <w:tc>
          <w:tcPr>
            <w:tcW w:w="907" w:type="dxa"/>
            <w:shd w:val="clear" w:color="auto" w:fill="auto"/>
          </w:tcPr>
          <w:p w:rsidR="006D2D1A" w:rsidRDefault="006D2D1A" w:rsidP="008429FD">
            <w:pPr>
              <w:pStyle w:val="AppendixTableText"/>
            </w:pPr>
            <w:r>
              <w:t>10/07/2006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3729</w:t>
            </w:r>
          </w:p>
        </w:tc>
        <w:tc>
          <w:tcPr>
            <w:tcW w:w="2333" w:type="dxa"/>
            <w:shd w:val="clear" w:color="auto" w:fill="auto"/>
          </w:tcPr>
          <w:p w:rsidR="006D2D1A" w:rsidRDefault="006D2D1A" w:rsidP="008429FD">
            <w:pPr>
              <w:pStyle w:val="AppendixTableText"/>
            </w:pPr>
            <w:r>
              <w:t>Cromwell Primary School</w:t>
            </w:r>
          </w:p>
        </w:tc>
        <w:tc>
          <w:tcPr>
            <w:tcW w:w="907" w:type="dxa"/>
            <w:shd w:val="clear" w:color="auto" w:fill="auto"/>
          </w:tcPr>
          <w:p w:rsidR="006D2D1A" w:rsidRDefault="006D2D1A" w:rsidP="008429FD">
            <w:pPr>
              <w:pStyle w:val="AppendixTableText"/>
            </w:pPr>
            <w:r>
              <w:t>22/11/2002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3325</w:t>
            </w:r>
          </w:p>
        </w:tc>
        <w:tc>
          <w:tcPr>
            <w:tcW w:w="2333" w:type="dxa"/>
            <w:shd w:val="clear" w:color="auto" w:fill="auto"/>
          </w:tcPr>
          <w:p w:rsidR="006D2D1A" w:rsidRDefault="006D2D1A" w:rsidP="008429FD">
            <w:pPr>
              <w:pStyle w:val="AppendixTableText"/>
            </w:pPr>
            <w:r>
              <w:t>Cust School</w:t>
            </w:r>
          </w:p>
        </w:tc>
        <w:tc>
          <w:tcPr>
            <w:tcW w:w="907" w:type="dxa"/>
            <w:shd w:val="clear" w:color="auto" w:fill="auto"/>
          </w:tcPr>
          <w:p w:rsidR="006D2D1A" w:rsidRDefault="006D2D1A" w:rsidP="008429FD">
            <w:pPr>
              <w:pStyle w:val="AppendixTableText"/>
            </w:pPr>
            <w:r>
              <w:t>31/03/2006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346</w:t>
            </w:r>
          </w:p>
        </w:tc>
        <w:tc>
          <w:tcPr>
            <w:tcW w:w="2333" w:type="dxa"/>
            <w:shd w:val="clear" w:color="auto" w:fill="auto"/>
          </w:tcPr>
          <w:p w:rsidR="006D2D1A" w:rsidRDefault="006D2D1A" w:rsidP="008429FD">
            <w:pPr>
              <w:pStyle w:val="AppendixTableText"/>
            </w:pPr>
            <w:r>
              <w:t>Darfield High School</w:t>
            </w:r>
          </w:p>
        </w:tc>
        <w:tc>
          <w:tcPr>
            <w:tcW w:w="907" w:type="dxa"/>
            <w:shd w:val="clear" w:color="auto" w:fill="auto"/>
          </w:tcPr>
          <w:p w:rsidR="006D2D1A" w:rsidRDefault="006D2D1A" w:rsidP="008429FD">
            <w:pPr>
              <w:pStyle w:val="AppendixTableText"/>
            </w:pPr>
            <w:r>
              <w:t>25/08/2006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3326</w:t>
            </w:r>
          </w:p>
        </w:tc>
        <w:tc>
          <w:tcPr>
            <w:tcW w:w="2333" w:type="dxa"/>
            <w:shd w:val="clear" w:color="auto" w:fill="auto"/>
          </w:tcPr>
          <w:p w:rsidR="006D2D1A" w:rsidRDefault="006D2D1A" w:rsidP="008429FD">
            <w:pPr>
              <w:pStyle w:val="AppendixTableText"/>
            </w:pPr>
            <w:r>
              <w:t>Darfield School</w:t>
            </w:r>
          </w:p>
        </w:tc>
        <w:tc>
          <w:tcPr>
            <w:tcW w:w="907" w:type="dxa"/>
            <w:shd w:val="clear" w:color="auto" w:fill="auto"/>
          </w:tcPr>
          <w:p w:rsidR="006D2D1A" w:rsidRDefault="006D2D1A" w:rsidP="008429FD">
            <w:pPr>
              <w:pStyle w:val="AppendixTableText"/>
            </w:pPr>
            <w:r>
              <w:t>18/10/2006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1709</w:t>
            </w:r>
          </w:p>
        </w:tc>
        <w:tc>
          <w:tcPr>
            <w:tcW w:w="2333" w:type="dxa"/>
            <w:shd w:val="clear" w:color="auto" w:fill="auto"/>
          </w:tcPr>
          <w:p w:rsidR="006D2D1A" w:rsidRDefault="006D2D1A" w:rsidP="008429FD">
            <w:pPr>
              <w:pStyle w:val="AppendixTableText"/>
            </w:pPr>
            <w:r>
              <w:t>David Street School</w:t>
            </w:r>
          </w:p>
        </w:tc>
        <w:tc>
          <w:tcPr>
            <w:tcW w:w="907" w:type="dxa"/>
            <w:shd w:val="clear" w:color="auto" w:fill="auto"/>
          </w:tcPr>
          <w:p w:rsidR="006D2D1A" w:rsidRDefault="006D2D1A" w:rsidP="008429FD">
            <w:pPr>
              <w:pStyle w:val="AppendixTableText"/>
            </w:pPr>
            <w:r>
              <w:t>7/07/2003</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1710</w:t>
            </w:r>
          </w:p>
        </w:tc>
        <w:tc>
          <w:tcPr>
            <w:tcW w:w="2333" w:type="dxa"/>
            <w:shd w:val="clear" w:color="auto" w:fill="auto"/>
          </w:tcPr>
          <w:p w:rsidR="006D2D1A" w:rsidRDefault="006D2D1A" w:rsidP="008429FD">
            <w:pPr>
              <w:pStyle w:val="AppendixTableText"/>
            </w:pPr>
            <w:r>
              <w:t>Deanwell School</w:t>
            </w:r>
          </w:p>
        </w:tc>
        <w:tc>
          <w:tcPr>
            <w:tcW w:w="907" w:type="dxa"/>
            <w:shd w:val="clear" w:color="auto" w:fill="auto"/>
          </w:tcPr>
          <w:p w:rsidR="006D2D1A" w:rsidRDefault="006D2D1A" w:rsidP="008429FD">
            <w:pPr>
              <w:pStyle w:val="AppendixTableText"/>
            </w:pPr>
            <w:r>
              <w:t>30/04/2007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1260</w:t>
            </w:r>
          </w:p>
        </w:tc>
        <w:tc>
          <w:tcPr>
            <w:tcW w:w="2333" w:type="dxa"/>
            <w:shd w:val="clear" w:color="auto" w:fill="auto"/>
          </w:tcPr>
          <w:p w:rsidR="006D2D1A" w:rsidRDefault="006D2D1A" w:rsidP="008429FD">
            <w:pPr>
              <w:pStyle w:val="AppendixTableText"/>
            </w:pPr>
            <w:r>
              <w:t>Devonport School</w:t>
            </w:r>
          </w:p>
        </w:tc>
        <w:tc>
          <w:tcPr>
            <w:tcW w:w="907" w:type="dxa"/>
            <w:shd w:val="clear" w:color="auto" w:fill="auto"/>
          </w:tcPr>
          <w:p w:rsidR="006D2D1A" w:rsidRDefault="006D2D1A" w:rsidP="008429FD">
            <w:pPr>
              <w:pStyle w:val="AppendixTableText"/>
            </w:pPr>
            <w:r>
              <w:t>27/11/2009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1635</w:t>
            </w:r>
          </w:p>
        </w:tc>
        <w:tc>
          <w:tcPr>
            <w:tcW w:w="2333" w:type="dxa"/>
            <w:shd w:val="clear" w:color="auto" w:fill="auto"/>
          </w:tcPr>
          <w:p w:rsidR="006D2D1A" w:rsidRDefault="006D2D1A" w:rsidP="008429FD">
            <w:pPr>
              <w:pStyle w:val="AppendixTableText"/>
            </w:pPr>
            <w:r>
              <w:t>Discovery One School</w:t>
            </w:r>
          </w:p>
        </w:tc>
        <w:tc>
          <w:tcPr>
            <w:tcW w:w="907" w:type="dxa"/>
            <w:shd w:val="clear" w:color="auto" w:fill="auto"/>
          </w:tcPr>
          <w:p w:rsidR="006D2D1A" w:rsidRDefault="006D2D1A" w:rsidP="008429FD">
            <w:pPr>
              <w:pStyle w:val="AppendixTableText"/>
            </w:pPr>
            <w:r>
              <w:t>27/08/2001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2832</w:t>
            </w:r>
          </w:p>
        </w:tc>
        <w:tc>
          <w:tcPr>
            <w:tcW w:w="2333" w:type="dxa"/>
            <w:shd w:val="clear" w:color="auto" w:fill="auto"/>
          </w:tcPr>
          <w:p w:rsidR="006D2D1A" w:rsidRDefault="006D2D1A" w:rsidP="008429FD">
            <w:pPr>
              <w:pStyle w:val="AppendixTableText"/>
            </w:pPr>
            <w:r>
              <w:t>Discovery School</w:t>
            </w:r>
          </w:p>
        </w:tc>
        <w:tc>
          <w:tcPr>
            <w:tcW w:w="907" w:type="dxa"/>
            <w:shd w:val="clear" w:color="auto" w:fill="auto"/>
          </w:tcPr>
          <w:p w:rsidR="006D2D1A" w:rsidRDefault="006D2D1A" w:rsidP="008429FD">
            <w:pPr>
              <w:pStyle w:val="AppendixTableText"/>
            </w:pPr>
            <w:r>
              <w:t>24/08/2004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1650</w:t>
            </w:r>
          </w:p>
        </w:tc>
        <w:tc>
          <w:tcPr>
            <w:tcW w:w="2333" w:type="dxa"/>
            <w:shd w:val="clear" w:color="auto" w:fill="auto"/>
          </w:tcPr>
          <w:p w:rsidR="006D2D1A" w:rsidRDefault="006D2D1A" w:rsidP="008429FD">
            <w:pPr>
              <w:pStyle w:val="AppendixTableText"/>
            </w:pPr>
            <w:r>
              <w:t>Drummond Primary School</w:t>
            </w:r>
          </w:p>
        </w:tc>
        <w:tc>
          <w:tcPr>
            <w:tcW w:w="907" w:type="dxa"/>
            <w:shd w:val="clear" w:color="auto" w:fill="auto"/>
          </w:tcPr>
          <w:p w:rsidR="006D2D1A" w:rsidRDefault="006D2D1A" w:rsidP="008429FD">
            <w:pPr>
              <w:pStyle w:val="AppendixTableText"/>
            </w:pPr>
            <w:r>
              <w:t>27/08/2007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1263</w:t>
            </w:r>
          </w:p>
        </w:tc>
        <w:tc>
          <w:tcPr>
            <w:tcW w:w="2333" w:type="dxa"/>
            <w:shd w:val="clear" w:color="auto" w:fill="auto"/>
          </w:tcPr>
          <w:p w:rsidR="006D2D1A" w:rsidRDefault="006D2D1A" w:rsidP="008429FD">
            <w:pPr>
              <w:pStyle w:val="AppendixTableText"/>
            </w:pPr>
            <w:r>
              <w:t>Drury School</w:t>
            </w:r>
          </w:p>
        </w:tc>
        <w:tc>
          <w:tcPr>
            <w:tcW w:w="907" w:type="dxa"/>
            <w:shd w:val="clear" w:color="auto" w:fill="auto"/>
          </w:tcPr>
          <w:p w:rsidR="006D2D1A" w:rsidRDefault="006D2D1A" w:rsidP="008429FD">
            <w:pPr>
              <w:pStyle w:val="AppendixTableText"/>
            </w:pPr>
            <w:r>
              <w:t>9/08/1999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1192</w:t>
            </w:r>
          </w:p>
        </w:tc>
        <w:tc>
          <w:tcPr>
            <w:tcW w:w="2333" w:type="dxa"/>
            <w:shd w:val="clear" w:color="auto" w:fill="auto"/>
          </w:tcPr>
          <w:p w:rsidR="006D2D1A" w:rsidRDefault="006D2D1A" w:rsidP="008429FD">
            <w:pPr>
              <w:pStyle w:val="AppendixTableText"/>
            </w:pPr>
            <w:r>
              <w:t>Dunedin Rudolf Steiner School</w:t>
            </w:r>
          </w:p>
        </w:tc>
        <w:tc>
          <w:tcPr>
            <w:tcW w:w="907" w:type="dxa"/>
            <w:shd w:val="clear" w:color="auto" w:fill="auto"/>
          </w:tcPr>
          <w:p w:rsidR="006D2D1A" w:rsidRDefault="006D2D1A" w:rsidP="008429FD">
            <w:pPr>
              <w:pStyle w:val="AppendixTableText"/>
            </w:pPr>
            <w:r>
              <w:t>11/07/2008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3331</w:t>
            </w:r>
          </w:p>
        </w:tc>
        <w:tc>
          <w:tcPr>
            <w:tcW w:w="2333" w:type="dxa"/>
            <w:shd w:val="clear" w:color="auto" w:fill="auto"/>
          </w:tcPr>
          <w:p w:rsidR="006D2D1A" w:rsidRDefault="006D2D1A" w:rsidP="008429FD">
            <w:pPr>
              <w:pStyle w:val="AppendixTableText"/>
            </w:pPr>
            <w:r>
              <w:t>Dunsandel School</w:t>
            </w:r>
          </w:p>
        </w:tc>
        <w:tc>
          <w:tcPr>
            <w:tcW w:w="907" w:type="dxa"/>
            <w:shd w:val="clear" w:color="auto" w:fill="auto"/>
          </w:tcPr>
          <w:p w:rsidR="006D2D1A" w:rsidRDefault="006D2D1A" w:rsidP="008429FD">
            <w:pPr>
              <w:pStyle w:val="AppendixTableText"/>
            </w:pPr>
            <w:r>
              <w:t>12/02/2010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2355</w:t>
            </w:r>
          </w:p>
        </w:tc>
        <w:tc>
          <w:tcPr>
            <w:tcW w:w="2333" w:type="dxa"/>
            <w:shd w:val="clear" w:color="auto" w:fill="auto"/>
          </w:tcPr>
          <w:p w:rsidR="006D2D1A" w:rsidRDefault="006D2D1A" w:rsidP="008429FD">
            <w:pPr>
              <w:pStyle w:val="AppendixTableText"/>
            </w:pPr>
            <w:r>
              <w:t>Durie Hill School</w:t>
            </w:r>
          </w:p>
        </w:tc>
        <w:tc>
          <w:tcPr>
            <w:tcW w:w="907" w:type="dxa"/>
            <w:shd w:val="clear" w:color="auto" w:fill="auto"/>
          </w:tcPr>
          <w:p w:rsidR="006D2D1A" w:rsidRDefault="006D2D1A" w:rsidP="008429FD">
            <w:pPr>
              <w:pStyle w:val="AppendixTableText"/>
            </w:pPr>
            <w:r>
              <w:t>8/10/2006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3733</w:t>
            </w:r>
          </w:p>
        </w:tc>
        <w:tc>
          <w:tcPr>
            <w:tcW w:w="2333" w:type="dxa"/>
            <w:shd w:val="clear" w:color="auto" w:fill="auto"/>
          </w:tcPr>
          <w:p w:rsidR="006D2D1A" w:rsidRDefault="006D2D1A" w:rsidP="008429FD">
            <w:pPr>
              <w:pStyle w:val="AppendixTableText"/>
            </w:pPr>
            <w:r>
              <w:t>East Taieri School</w:t>
            </w:r>
          </w:p>
        </w:tc>
        <w:tc>
          <w:tcPr>
            <w:tcW w:w="907" w:type="dxa"/>
            <w:shd w:val="clear" w:color="auto" w:fill="auto"/>
          </w:tcPr>
          <w:p w:rsidR="006D2D1A" w:rsidRDefault="006D2D1A" w:rsidP="008429FD">
            <w:pPr>
              <w:pStyle w:val="AppendixTableText"/>
            </w:pPr>
            <w:r>
              <w:t>12/12/2006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2834</w:t>
            </w:r>
          </w:p>
        </w:tc>
        <w:tc>
          <w:tcPr>
            <w:tcW w:w="2333" w:type="dxa"/>
            <w:shd w:val="clear" w:color="auto" w:fill="auto"/>
          </w:tcPr>
          <w:p w:rsidR="006D2D1A" w:rsidRDefault="006D2D1A" w:rsidP="008429FD">
            <w:pPr>
              <w:pStyle w:val="AppendixTableText"/>
            </w:pPr>
            <w:r>
              <w:t>Eastern Hutt School</w:t>
            </w:r>
          </w:p>
        </w:tc>
        <w:tc>
          <w:tcPr>
            <w:tcW w:w="907" w:type="dxa"/>
            <w:shd w:val="clear" w:color="auto" w:fill="auto"/>
          </w:tcPr>
          <w:p w:rsidR="006D2D1A" w:rsidRDefault="006D2D1A" w:rsidP="008429FD">
            <w:pPr>
              <w:pStyle w:val="AppendixTableText"/>
            </w:pPr>
            <w:r>
              <w:t>17/10/2001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1265</w:t>
            </w:r>
          </w:p>
        </w:tc>
        <w:tc>
          <w:tcPr>
            <w:tcW w:w="2333" w:type="dxa"/>
            <w:shd w:val="clear" w:color="auto" w:fill="auto"/>
          </w:tcPr>
          <w:p w:rsidR="006D2D1A" w:rsidRDefault="006D2D1A" w:rsidP="008429FD">
            <w:pPr>
              <w:pStyle w:val="AppendixTableText"/>
            </w:pPr>
            <w:r>
              <w:t>Edendale School (Auckland)</w:t>
            </w:r>
          </w:p>
        </w:tc>
        <w:tc>
          <w:tcPr>
            <w:tcW w:w="907" w:type="dxa"/>
            <w:shd w:val="clear" w:color="auto" w:fill="auto"/>
          </w:tcPr>
          <w:p w:rsidR="006D2D1A" w:rsidRDefault="006D2D1A" w:rsidP="008429FD">
            <w:pPr>
              <w:pStyle w:val="AppendixTableText"/>
            </w:pPr>
            <w:r>
              <w:t>1/03/2010</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3947</w:t>
            </w:r>
          </w:p>
        </w:tc>
        <w:tc>
          <w:tcPr>
            <w:tcW w:w="2333" w:type="dxa"/>
            <w:shd w:val="clear" w:color="auto" w:fill="auto"/>
          </w:tcPr>
          <w:p w:rsidR="006D2D1A" w:rsidRDefault="006D2D1A" w:rsidP="008429FD">
            <w:pPr>
              <w:pStyle w:val="AppendixTableText"/>
            </w:pPr>
            <w:r>
              <w:t>Edendale School (Southland)</w:t>
            </w:r>
          </w:p>
        </w:tc>
        <w:tc>
          <w:tcPr>
            <w:tcW w:w="907" w:type="dxa"/>
            <w:shd w:val="clear" w:color="auto" w:fill="auto"/>
          </w:tcPr>
          <w:p w:rsidR="006D2D1A" w:rsidRDefault="006D2D1A" w:rsidP="008429FD">
            <w:pPr>
              <w:pStyle w:val="AppendixTableText"/>
            </w:pPr>
            <w:r>
              <w:t>22/08/2008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79</w:t>
            </w:r>
          </w:p>
        </w:tc>
        <w:tc>
          <w:tcPr>
            <w:tcW w:w="2333" w:type="dxa"/>
            <w:shd w:val="clear" w:color="auto" w:fill="auto"/>
          </w:tcPr>
          <w:p w:rsidR="006D2D1A" w:rsidRDefault="006D2D1A" w:rsidP="008429FD">
            <w:pPr>
              <w:pStyle w:val="AppendixTableText"/>
            </w:pPr>
            <w:r>
              <w:t>Edgewater College</w:t>
            </w:r>
          </w:p>
        </w:tc>
        <w:tc>
          <w:tcPr>
            <w:tcW w:w="907" w:type="dxa"/>
            <w:shd w:val="clear" w:color="auto" w:fill="auto"/>
          </w:tcPr>
          <w:p w:rsidR="006D2D1A" w:rsidRDefault="006D2D1A" w:rsidP="008429FD">
            <w:pPr>
              <w:pStyle w:val="AppendixTableText"/>
            </w:pPr>
            <w:r>
              <w:t>22/07/2003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1266</w:t>
            </w:r>
          </w:p>
        </w:tc>
        <w:tc>
          <w:tcPr>
            <w:tcW w:w="2333" w:type="dxa"/>
            <w:shd w:val="clear" w:color="auto" w:fill="auto"/>
          </w:tcPr>
          <w:p w:rsidR="006D2D1A" w:rsidRDefault="006D2D1A" w:rsidP="008429FD">
            <w:pPr>
              <w:pStyle w:val="AppendixTableText"/>
            </w:pPr>
            <w:r>
              <w:t>Edmonton School</w:t>
            </w:r>
          </w:p>
        </w:tc>
        <w:tc>
          <w:tcPr>
            <w:tcW w:w="907" w:type="dxa"/>
            <w:shd w:val="clear" w:color="auto" w:fill="auto"/>
          </w:tcPr>
          <w:p w:rsidR="006D2D1A" w:rsidRDefault="006D2D1A" w:rsidP="008429FD">
            <w:pPr>
              <w:pStyle w:val="AppendixTableText"/>
            </w:pPr>
            <w:r>
              <w:t>1/11/2002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1268</w:t>
            </w:r>
          </w:p>
        </w:tc>
        <w:tc>
          <w:tcPr>
            <w:tcW w:w="2333" w:type="dxa"/>
            <w:shd w:val="clear" w:color="auto" w:fill="auto"/>
          </w:tcPr>
          <w:p w:rsidR="006D2D1A" w:rsidRDefault="006D2D1A" w:rsidP="008429FD">
            <w:pPr>
              <w:pStyle w:val="AppendixTableText"/>
            </w:pPr>
            <w:r>
              <w:t>Ellerslie School</w:t>
            </w:r>
          </w:p>
        </w:tc>
        <w:tc>
          <w:tcPr>
            <w:tcW w:w="907" w:type="dxa"/>
            <w:shd w:val="clear" w:color="auto" w:fill="auto"/>
          </w:tcPr>
          <w:p w:rsidR="006D2D1A" w:rsidRDefault="006D2D1A" w:rsidP="008429FD">
            <w:pPr>
              <w:pStyle w:val="AppendixTableText"/>
            </w:pPr>
            <w:r>
              <w:t>27/09/1999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349</w:t>
            </w:r>
          </w:p>
        </w:tc>
        <w:tc>
          <w:tcPr>
            <w:tcW w:w="2333" w:type="dxa"/>
            <w:shd w:val="clear" w:color="auto" w:fill="auto"/>
          </w:tcPr>
          <w:p w:rsidR="006D2D1A" w:rsidRDefault="006D2D1A" w:rsidP="008429FD">
            <w:pPr>
              <w:pStyle w:val="AppendixTableText"/>
            </w:pPr>
            <w:r>
              <w:t>Ellesmere College</w:t>
            </w:r>
          </w:p>
        </w:tc>
        <w:tc>
          <w:tcPr>
            <w:tcW w:w="907" w:type="dxa"/>
            <w:shd w:val="clear" w:color="auto" w:fill="auto"/>
          </w:tcPr>
          <w:p w:rsidR="006D2D1A" w:rsidRDefault="006D2D1A" w:rsidP="008429FD">
            <w:pPr>
              <w:pStyle w:val="AppendixTableText"/>
            </w:pPr>
            <w:r>
              <w:t>8/08/2006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3334</w:t>
            </w:r>
          </w:p>
        </w:tc>
        <w:tc>
          <w:tcPr>
            <w:tcW w:w="2333" w:type="dxa"/>
            <w:shd w:val="clear" w:color="auto" w:fill="auto"/>
          </w:tcPr>
          <w:p w:rsidR="006D2D1A" w:rsidRDefault="006D2D1A" w:rsidP="008429FD">
            <w:pPr>
              <w:pStyle w:val="AppendixTableText"/>
            </w:pPr>
            <w:r>
              <w:t>Elmwood Normal School</w:t>
            </w:r>
          </w:p>
        </w:tc>
        <w:tc>
          <w:tcPr>
            <w:tcW w:w="907" w:type="dxa"/>
            <w:shd w:val="clear" w:color="auto" w:fill="auto"/>
          </w:tcPr>
          <w:p w:rsidR="006D2D1A" w:rsidRDefault="006D2D1A" w:rsidP="008429FD">
            <w:pPr>
              <w:pStyle w:val="AppendixTableText"/>
            </w:pPr>
            <w:r>
              <w:t>22/11/1999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1168</w:t>
            </w:r>
          </w:p>
        </w:tc>
        <w:tc>
          <w:tcPr>
            <w:tcW w:w="2333" w:type="dxa"/>
            <w:shd w:val="clear" w:color="auto" w:fill="auto"/>
          </w:tcPr>
          <w:p w:rsidR="006D2D1A" w:rsidRDefault="006D2D1A" w:rsidP="008429FD">
            <w:pPr>
              <w:pStyle w:val="AppendixTableText"/>
            </w:pPr>
            <w:r>
              <w:t>Emmanuel Christian School</w:t>
            </w:r>
          </w:p>
        </w:tc>
        <w:tc>
          <w:tcPr>
            <w:tcW w:w="907" w:type="dxa"/>
            <w:shd w:val="clear" w:color="auto" w:fill="auto"/>
          </w:tcPr>
          <w:p w:rsidR="006D2D1A" w:rsidRDefault="006D2D1A" w:rsidP="008429FD">
            <w:pPr>
              <w:pStyle w:val="AppendixTableText"/>
            </w:pPr>
            <w:r>
              <w:t>9/11/2005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3189</w:t>
            </w:r>
          </w:p>
        </w:tc>
        <w:tc>
          <w:tcPr>
            <w:tcW w:w="2333" w:type="dxa"/>
            <w:shd w:val="clear" w:color="auto" w:fill="auto"/>
          </w:tcPr>
          <w:p w:rsidR="006D2D1A" w:rsidRDefault="006D2D1A" w:rsidP="008429FD">
            <w:pPr>
              <w:pStyle w:val="AppendixTableText"/>
            </w:pPr>
            <w:r>
              <w:t>Enner Glynn School</w:t>
            </w:r>
          </w:p>
        </w:tc>
        <w:tc>
          <w:tcPr>
            <w:tcW w:w="907" w:type="dxa"/>
            <w:shd w:val="clear" w:color="auto" w:fill="auto"/>
          </w:tcPr>
          <w:p w:rsidR="006D2D1A" w:rsidRDefault="006D2D1A" w:rsidP="008429FD">
            <w:pPr>
              <w:pStyle w:val="AppendixTableText"/>
            </w:pPr>
            <w:r>
              <w:t>14/05/2010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64</w:t>
            </w:r>
          </w:p>
        </w:tc>
        <w:tc>
          <w:tcPr>
            <w:tcW w:w="2333" w:type="dxa"/>
            <w:shd w:val="clear" w:color="auto" w:fill="auto"/>
          </w:tcPr>
          <w:p w:rsidR="006D2D1A" w:rsidRDefault="006D2D1A" w:rsidP="008429FD">
            <w:pPr>
              <w:pStyle w:val="AppendixTableText"/>
            </w:pPr>
            <w:r>
              <w:t>Epsom Girls Grammar School</w:t>
            </w:r>
          </w:p>
        </w:tc>
        <w:tc>
          <w:tcPr>
            <w:tcW w:w="907" w:type="dxa"/>
            <w:shd w:val="clear" w:color="auto" w:fill="auto"/>
          </w:tcPr>
          <w:p w:rsidR="006D2D1A" w:rsidRDefault="006D2D1A" w:rsidP="008429FD">
            <w:pPr>
              <w:pStyle w:val="AppendixTableText"/>
            </w:pPr>
            <w:r>
              <w:t>25/08/1999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1270</w:t>
            </w:r>
          </w:p>
        </w:tc>
        <w:tc>
          <w:tcPr>
            <w:tcW w:w="2333" w:type="dxa"/>
            <w:shd w:val="clear" w:color="auto" w:fill="auto"/>
          </w:tcPr>
          <w:p w:rsidR="006D2D1A" w:rsidRDefault="006D2D1A" w:rsidP="008429FD">
            <w:pPr>
              <w:pStyle w:val="AppendixTableText"/>
            </w:pPr>
            <w:r>
              <w:t>Epsom Normal School</w:t>
            </w:r>
          </w:p>
        </w:tc>
        <w:tc>
          <w:tcPr>
            <w:tcW w:w="907" w:type="dxa"/>
            <w:shd w:val="clear" w:color="auto" w:fill="auto"/>
          </w:tcPr>
          <w:p w:rsidR="006D2D1A" w:rsidRDefault="006D2D1A" w:rsidP="008429FD">
            <w:pPr>
              <w:pStyle w:val="AppendixTableText"/>
            </w:pPr>
            <w:r>
              <w:t>26/11/1999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2557</w:t>
            </w:r>
          </w:p>
        </w:tc>
        <w:tc>
          <w:tcPr>
            <w:tcW w:w="2333" w:type="dxa"/>
            <w:shd w:val="clear" w:color="auto" w:fill="auto"/>
          </w:tcPr>
          <w:p w:rsidR="006D2D1A" w:rsidRDefault="006D2D1A" w:rsidP="008429FD">
            <w:pPr>
              <w:pStyle w:val="AppendixTableText"/>
            </w:pPr>
            <w:r>
              <w:t>Eskdale School</w:t>
            </w:r>
          </w:p>
        </w:tc>
        <w:tc>
          <w:tcPr>
            <w:tcW w:w="907" w:type="dxa"/>
            <w:shd w:val="clear" w:color="auto" w:fill="auto"/>
          </w:tcPr>
          <w:p w:rsidR="006D2D1A" w:rsidRDefault="006D2D1A" w:rsidP="008429FD">
            <w:pPr>
              <w:pStyle w:val="AppendixTableText"/>
            </w:pPr>
            <w:r>
              <w:t>28/10/2004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2837</w:t>
            </w:r>
          </w:p>
        </w:tc>
        <w:tc>
          <w:tcPr>
            <w:tcW w:w="2333" w:type="dxa"/>
            <w:shd w:val="clear" w:color="auto" w:fill="auto"/>
          </w:tcPr>
          <w:p w:rsidR="006D2D1A" w:rsidRDefault="006D2D1A" w:rsidP="008429FD">
            <w:pPr>
              <w:pStyle w:val="AppendixTableText"/>
            </w:pPr>
            <w:r>
              <w:t>Evans Bay Intermediate</w:t>
            </w:r>
          </w:p>
        </w:tc>
        <w:tc>
          <w:tcPr>
            <w:tcW w:w="907" w:type="dxa"/>
            <w:shd w:val="clear" w:color="auto" w:fill="auto"/>
          </w:tcPr>
          <w:p w:rsidR="006D2D1A" w:rsidRDefault="006D2D1A" w:rsidP="008429FD">
            <w:pPr>
              <w:pStyle w:val="AppendixTableText"/>
            </w:pPr>
            <w:r>
              <w:t>9/09/2002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1164</w:t>
            </w:r>
          </w:p>
        </w:tc>
        <w:tc>
          <w:tcPr>
            <w:tcW w:w="2333" w:type="dxa"/>
            <w:shd w:val="clear" w:color="auto" w:fill="auto"/>
          </w:tcPr>
          <w:p w:rsidR="006D2D1A" w:rsidRDefault="006D2D1A" w:rsidP="008429FD">
            <w:pPr>
              <w:pStyle w:val="AppendixTableText"/>
            </w:pPr>
            <w:r>
              <w:t>Everglade School</w:t>
            </w:r>
          </w:p>
        </w:tc>
        <w:tc>
          <w:tcPr>
            <w:tcW w:w="907" w:type="dxa"/>
            <w:shd w:val="clear" w:color="auto" w:fill="auto"/>
          </w:tcPr>
          <w:p w:rsidR="006D2D1A" w:rsidRDefault="006D2D1A" w:rsidP="008429FD">
            <w:pPr>
              <w:pStyle w:val="AppendixTableText"/>
            </w:pPr>
            <w:r>
              <w:t>30/09/1999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1715</w:t>
            </w:r>
          </w:p>
        </w:tc>
        <w:tc>
          <w:tcPr>
            <w:tcW w:w="2333" w:type="dxa"/>
            <w:shd w:val="clear" w:color="auto" w:fill="auto"/>
          </w:tcPr>
          <w:p w:rsidR="006D2D1A" w:rsidRDefault="006D2D1A" w:rsidP="008429FD">
            <w:pPr>
              <w:pStyle w:val="AppendixTableText"/>
            </w:pPr>
            <w:r>
              <w:t>Fairfield Intermediate</w:t>
            </w:r>
          </w:p>
        </w:tc>
        <w:tc>
          <w:tcPr>
            <w:tcW w:w="907" w:type="dxa"/>
            <w:shd w:val="clear" w:color="auto" w:fill="auto"/>
          </w:tcPr>
          <w:p w:rsidR="006D2D1A" w:rsidRDefault="006D2D1A" w:rsidP="008429FD">
            <w:pPr>
              <w:pStyle w:val="AppendixTableText"/>
            </w:pPr>
            <w:r>
              <w:t>19/06/2008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3736</w:t>
            </w:r>
          </w:p>
        </w:tc>
        <w:tc>
          <w:tcPr>
            <w:tcW w:w="2333" w:type="dxa"/>
            <w:shd w:val="clear" w:color="auto" w:fill="auto"/>
          </w:tcPr>
          <w:p w:rsidR="006D2D1A" w:rsidRDefault="006D2D1A" w:rsidP="008429FD">
            <w:pPr>
              <w:pStyle w:val="AppendixTableText"/>
            </w:pPr>
            <w:r>
              <w:t>Fairfield School (Dunedin)</w:t>
            </w:r>
          </w:p>
        </w:tc>
        <w:tc>
          <w:tcPr>
            <w:tcW w:w="907" w:type="dxa"/>
            <w:shd w:val="clear" w:color="auto" w:fill="auto"/>
          </w:tcPr>
          <w:p w:rsidR="006D2D1A" w:rsidRDefault="006D2D1A" w:rsidP="008429FD">
            <w:pPr>
              <w:pStyle w:val="AppendixTableText"/>
            </w:pPr>
            <w:r>
              <w:t>20/08/2001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2838</w:t>
            </w:r>
          </w:p>
        </w:tc>
        <w:tc>
          <w:tcPr>
            <w:tcW w:w="2333" w:type="dxa"/>
            <w:shd w:val="clear" w:color="auto" w:fill="auto"/>
          </w:tcPr>
          <w:p w:rsidR="006D2D1A" w:rsidRDefault="006D2D1A" w:rsidP="008429FD">
            <w:pPr>
              <w:pStyle w:val="AppendixTableText"/>
            </w:pPr>
            <w:r>
              <w:t>Fairfield School (Levin)</w:t>
            </w:r>
          </w:p>
        </w:tc>
        <w:tc>
          <w:tcPr>
            <w:tcW w:w="907" w:type="dxa"/>
            <w:shd w:val="clear" w:color="auto" w:fill="auto"/>
          </w:tcPr>
          <w:p w:rsidR="006D2D1A" w:rsidRDefault="006D2D1A" w:rsidP="008429FD">
            <w:pPr>
              <w:pStyle w:val="AppendixTableText"/>
            </w:pPr>
            <w:r>
              <w:t>21/09/1999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2839</w:t>
            </w:r>
          </w:p>
        </w:tc>
        <w:tc>
          <w:tcPr>
            <w:tcW w:w="2333" w:type="dxa"/>
            <w:shd w:val="clear" w:color="auto" w:fill="auto"/>
          </w:tcPr>
          <w:p w:rsidR="006D2D1A" w:rsidRDefault="006D2D1A" w:rsidP="008429FD">
            <w:pPr>
              <w:pStyle w:val="AppendixTableText"/>
            </w:pPr>
            <w:r>
              <w:t>Fairhall School</w:t>
            </w:r>
          </w:p>
        </w:tc>
        <w:tc>
          <w:tcPr>
            <w:tcW w:w="907" w:type="dxa"/>
            <w:shd w:val="clear" w:color="auto" w:fill="auto"/>
          </w:tcPr>
          <w:p w:rsidR="006D2D1A" w:rsidRDefault="006D2D1A" w:rsidP="008429FD">
            <w:pPr>
              <w:pStyle w:val="AppendixTableText"/>
            </w:pPr>
            <w:r>
              <w:t>22/11/1999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1272</w:t>
            </w:r>
          </w:p>
        </w:tc>
        <w:tc>
          <w:tcPr>
            <w:tcW w:w="2333" w:type="dxa"/>
            <w:shd w:val="clear" w:color="auto" w:fill="auto"/>
          </w:tcPr>
          <w:p w:rsidR="006D2D1A" w:rsidRDefault="006D2D1A" w:rsidP="008429FD">
            <w:pPr>
              <w:pStyle w:val="AppendixTableText"/>
            </w:pPr>
            <w:r>
              <w:t>Farm Cove Intermediate</w:t>
            </w:r>
          </w:p>
        </w:tc>
        <w:tc>
          <w:tcPr>
            <w:tcW w:w="907" w:type="dxa"/>
            <w:shd w:val="clear" w:color="auto" w:fill="auto"/>
          </w:tcPr>
          <w:p w:rsidR="006D2D1A" w:rsidRDefault="006D2D1A" w:rsidP="008429FD">
            <w:pPr>
              <w:pStyle w:val="AppendixTableText"/>
            </w:pPr>
            <w:r>
              <w:t>20/12/1999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1273</w:t>
            </w:r>
          </w:p>
        </w:tc>
        <w:tc>
          <w:tcPr>
            <w:tcW w:w="2333" w:type="dxa"/>
            <w:shd w:val="clear" w:color="auto" w:fill="auto"/>
          </w:tcPr>
          <w:p w:rsidR="006D2D1A" w:rsidRDefault="006D2D1A" w:rsidP="008429FD">
            <w:pPr>
              <w:pStyle w:val="AppendixTableText"/>
            </w:pPr>
            <w:r>
              <w:t>Favona School</w:t>
            </w:r>
          </w:p>
        </w:tc>
        <w:tc>
          <w:tcPr>
            <w:tcW w:w="907" w:type="dxa"/>
            <w:shd w:val="clear" w:color="auto" w:fill="auto"/>
          </w:tcPr>
          <w:p w:rsidR="006D2D1A" w:rsidRDefault="006D2D1A" w:rsidP="008429FD">
            <w:pPr>
              <w:pStyle w:val="AppendixTableText"/>
            </w:pPr>
            <w:r>
              <w:t>30/03/2011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197</w:t>
            </w:r>
          </w:p>
        </w:tc>
        <w:tc>
          <w:tcPr>
            <w:tcW w:w="2333" w:type="dxa"/>
            <w:shd w:val="clear" w:color="auto" w:fill="auto"/>
          </w:tcPr>
          <w:p w:rsidR="006D2D1A" w:rsidRDefault="006D2D1A" w:rsidP="008429FD">
            <w:pPr>
              <w:pStyle w:val="AppendixTableText"/>
            </w:pPr>
            <w:r>
              <w:t>Feilding High School</w:t>
            </w:r>
          </w:p>
        </w:tc>
        <w:tc>
          <w:tcPr>
            <w:tcW w:w="907" w:type="dxa"/>
            <w:shd w:val="clear" w:color="auto" w:fill="auto"/>
          </w:tcPr>
          <w:p w:rsidR="006D2D1A" w:rsidRDefault="006D2D1A" w:rsidP="008429FD">
            <w:pPr>
              <w:pStyle w:val="AppendixTableText"/>
            </w:pPr>
            <w:r>
              <w:t>22/11/2006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3338</w:t>
            </w:r>
          </w:p>
        </w:tc>
        <w:tc>
          <w:tcPr>
            <w:tcW w:w="2333" w:type="dxa"/>
            <w:shd w:val="clear" w:color="auto" w:fill="auto"/>
          </w:tcPr>
          <w:p w:rsidR="006D2D1A" w:rsidRDefault="006D2D1A" w:rsidP="008429FD">
            <w:pPr>
              <w:pStyle w:val="AppendixTableText"/>
            </w:pPr>
            <w:r>
              <w:t>Fendalton Open Air School</w:t>
            </w:r>
          </w:p>
        </w:tc>
        <w:tc>
          <w:tcPr>
            <w:tcW w:w="907" w:type="dxa"/>
            <w:shd w:val="clear" w:color="auto" w:fill="auto"/>
          </w:tcPr>
          <w:p w:rsidR="006D2D1A" w:rsidRDefault="006D2D1A" w:rsidP="008429FD">
            <w:pPr>
              <w:pStyle w:val="AppendixTableText"/>
            </w:pPr>
            <w:r>
              <w:t>25/11/1999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3707</w:t>
            </w:r>
          </w:p>
        </w:tc>
        <w:tc>
          <w:tcPr>
            <w:tcW w:w="2333" w:type="dxa"/>
            <w:shd w:val="clear" w:color="auto" w:fill="auto"/>
          </w:tcPr>
          <w:p w:rsidR="006D2D1A" w:rsidRDefault="006D2D1A" w:rsidP="008429FD">
            <w:pPr>
              <w:pStyle w:val="AppendixTableText"/>
            </w:pPr>
            <w:r>
              <w:t>Fenwick School</w:t>
            </w:r>
          </w:p>
        </w:tc>
        <w:tc>
          <w:tcPr>
            <w:tcW w:w="907" w:type="dxa"/>
            <w:shd w:val="clear" w:color="auto" w:fill="auto"/>
          </w:tcPr>
          <w:p w:rsidR="006D2D1A" w:rsidRDefault="006D2D1A" w:rsidP="008429FD">
            <w:pPr>
              <w:pStyle w:val="AppendixTableText"/>
            </w:pPr>
            <w:r>
              <w:t>10/08/2007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2842</w:t>
            </w:r>
          </w:p>
        </w:tc>
        <w:tc>
          <w:tcPr>
            <w:tcW w:w="2333" w:type="dxa"/>
            <w:shd w:val="clear" w:color="auto" w:fill="auto"/>
          </w:tcPr>
          <w:p w:rsidR="006D2D1A" w:rsidRDefault="006D2D1A" w:rsidP="008429FD">
            <w:pPr>
              <w:pStyle w:val="AppendixTableText"/>
            </w:pPr>
            <w:r>
              <w:t>Fernlea School</w:t>
            </w:r>
          </w:p>
        </w:tc>
        <w:tc>
          <w:tcPr>
            <w:tcW w:w="907" w:type="dxa"/>
            <w:shd w:val="clear" w:color="auto" w:fill="auto"/>
          </w:tcPr>
          <w:p w:rsidR="006D2D1A" w:rsidRDefault="006D2D1A" w:rsidP="008429FD">
            <w:pPr>
              <w:pStyle w:val="AppendixTableText"/>
            </w:pPr>
            <w:r>
              <w:t>7/04/2006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2843</w:t>
            </w:r>
          </w:p>
        </w:tc>
        <w:tc>
          <w:tcPr>
            <w:tcW w:w="2333" w:type="dxa"/>
            <w:shd w:val="clear" w:color="auto" w:fill="auto"/>
          </w:tcPr>
          <w:p w:rsidR="006D2D1A" w:rsidRDefault="006D2D1A" w:rsidP="008429FD">
            <w:pPr>
              <w:pStyle w:val="AppendixTableText"/>
            </w:pPr>
            <w:r>
              <w:t>Fernridge School</w:t>
            </w:r>
          </w:p>
        </w:tc>
        <w:tc>
          <w:tcPr>
            <w:tcW w:w="907" w:type="dxa"/>
            <w:shd w:val="clear" w:color="auto" w:fill="auto"/>
          </w:tcPr>
          <w:p w:rsidR="006D2D1A" w:rsidRDefault="006D2D1A" w:rsidP="008429FD">
            <w:pPr>
              <w:pStyle w:val="AppendixTableText"/>
            </w:pPr>
            <w:r>
              <w:t>18/11/2003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3340</w:t>
            </w:r>
          </w:p>
        </w:tc>
        <w:tc>
          <w:tcPr>
            <w:tcW w:w="2333" w:type="dxa"/>
            <w:shd w:val="clear" w:color="auto" w:fill="auto"/>
          </w:tcPr>
          <w:p w:rsidR="006D2D1A" w:rsidRDefault="006D2D1A" w:rsidP="008429FD">
            <w:pPr>
              <w:pStyle w:val="AppendixTableText"/>
            </w:pPr>
            <w:r>
              <w:t>Fernside School</w:t>
            </w:r>
          </w:p>
        </w:tc>
        <w:tc>
          <w:tcPr>
            <w:tcW w:w="907" w:type="dxa"/>
            <w:shd w:val="clear" w:color="auto" w:fill="auto"/>
          </w:tcPr>
          <w:p w:rsidR="006D2D1A" w:rsidRDefault="006D2D1A" w:rsidP="008429FD">
            <w:pPr>
              <w:pStyle w:val="AppendixTableText"/>
            </w:pPr>
            <w:r>
              <w:t>5/09/2001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2117</w:t>
            </w:r>
          </w:p>
        </w:tc>
        <w:tc>
          <w:tcPr>
            <w:tcW w:w="2333" w:type="dxa"/>
            <w:shd w:val="clear" w:color="auto" w:fill="auto"/>
          </w:tcPr>
          <w:p w:rsidR="006D2D1A" w:rsidRDefault="006D2D1A" w:rsidP="008429FD">
            <w:pPr>
              <w:pStyle w:val="AppendixTableText"/>
            </w:pPr>
            <w:r>
              <w:t>Fernworth Primary School</w:t>
            </w:r>
          </w:p>
        </w:tc>
        <w:tc>
          <w:tcPr>
            <w:tcW w:w="907" w:type="dxa"/>
            <w:shd w:val="clear" w:color="auto" w:fill="auto"/>
          </w:tcPr>
          <w:p w:rsidR="006D2D1A" w:rsidRDefault="006D2D1A" w:rsidP="008429FD">
            <w:pPr>
              <w:pStyle w:val="AppendixTableText"/>
            </w:pPr>
            <w:r>
              <w:t>31/01/2007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1275</w:t>
            </w:r>
          </w:p>
        </w:tc>
        <w:tc>
          <w:tcPr>
            <w:tcW w:w="2333" w:type="dxa"/>
            <w:shd w:val="clear" w:color="auto" w:fill="auto"/>
          </w:tcPr>
          <w:p w:rsidR="006D2D1A" w:rsidRDefault="006D2D1A" w:rsidP="008429FD">
            <w:pPr>
              <w:pStyle w:val="AppendixTableText"/>
            </w:pPr>
            <w:r>
              <w:t>Finlayson Park School</w:t>
            </w:r>
          </w:p>
        </w:tc>
        <w:tc>
          <w:tcPr>
            <w:tcW w:w="907" w:type="dxa"/>
            <w:shd w:val="clear" w:color="auto" w:fill="auto"/>
          </w:tcPr>
          <w:p w:rsidR="006D2D1A" w:rsidRDefault="006D2D1A" w:rsidP="008429FD">
            <w:pPr>
              <w:pStyle w:val="AppendixTableText"/>
            </w:pPr>
            <w:r>
              <w:t>23/07/1999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1276</w:t>
            </w:r>
          </w:p>
        </w:tc>
        <w:tc>
          <w:tcPr>
            <w:tcW w:w="2333" w:type="dxa"/>
            <w:shd w:val="clear" w:color="auto" w:fill="auto"/>
          </w:tcPr>
          <w:p w:rsidR="006D2D1A" w:rsidRDefault="006D2D1A" w:rsidP="008429FD">
            <w:pPr>
              <w:pStyle w:val="AppendixTableText"/>
            </w:pPr>
            <w:r>
              <w:t>Flanshaw Road School</w:t>
            </w:r>
          </w:p>
        </w:tc>
        <w:tc>
          <w:tcPr>
            <w:tcW w:w="907" w:type="dxa"/>
            <w:shd w:val="clear" w:color="auto" w:fill="auto"/>
          </w:tcPr>
          <w:p w:rsidR="006D2D1A" w:rsidRDefault="006D2D1A" w:rsidP="008429FD">
            <w:pPr>
              <w:pStyle w:val="AppendixTableText"/>
            </w:pPr>
            <w:r>
              <w:t>22/12/2011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2560</w:t>
            </w:r>
          </w:p>
        </w:tc>
        <w:tc>
          <w:tcPr>
            <w:tcW w:w="2333" w:type="dxa"/>
            <w:shd w:val="clear" w:color="auto" w:fill="auto"/>
          </w:tcPr>
          <w:p w:rsidR="006D2D1A" w:rsidRDefault="006D2D1A" w:rsidP="008429FD">
            <w:pPr>
              <w:pStyle w:val="AppendixTableText"/>
            </w:pPr>
            <w:r>
              <w:t>Flaxmere Primary School</w:t>
            </w:r>
          </w:p>
        </w:tc>
        <w:tc>
          <w:tcPr>
            <w:tcW w:w="907" w:type="dxa"/>
            <w:shd w:val="clear" w:color="auto" w:fill="auto"/>
          </w:tcPr>
          <w:p w:rsidR="006D2D1A" w:rsidRDefault="006D2D1A" w:rsidP="008429FD">
            <w:pPr>
              <w:pStyle w:val="AppendixTableText"/>
            </w:pPr>
            <w:r>
              <w:t>13/10/2004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1278</w:t>
            </w:r>
          </w:p>
        </w:tc>
        <w:tc>
          <w:tcPr>
            <w:tcW w:w="2333" w:type="dxa"/>
            <w:shd w:val="clear" w:color="auto" w:fill="auto"/>
          </w:tcPr>
          <w:p w:rsidR="006D2D1A" w:rsidRDefault="006D2D1A" w:rsidP="008429FD">
            <w:pPr>
              <w:pStyle w:val="AppendixTableText"/>
            </w:pPr>
            <w:r>
              <w:t>Forrest Hill School</w:t>
            </w:r>
          </w:p>
        </w:tc>
        <w:tc>
          <w:tcPr>
            <w:tcW w:w="907" w:type="dxa"/>
            <w:shd w:val="clear" w:color="auto" w:fill="auto"/>
          </w:tcPr>
          <w:p w:rsidR="006D2D1A" w:rsidRDefault="006D2D1A" w:rsidP="008429FD">
            <w:pPr>
              <w:pStyle w:val="AppendixTableText"/>
            </w:pPr>
            <w:r>
              <w:t>4/10/2010</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175</w:t>
            </w:r>
          </w:p>
        </w:tc>
        <w:tc>
          <w:tcPr>
            <w:tcW w:w="2333" w:type="dxa"/>
            <w:shd w:val="clear" w:color="auto" w:fill="auto"/>
          </w:tcPr>
          <w:p w:rsidR="006D2D1A" w:rsidRDefault="006D2D1A" w:rsidP="008429FD">
            <w:pPr>
              <w:pStyle w:val="AppendixTableText"/>
            </w:pPr>
            <w:r>
              <w:t>Francis Douglas Memorial College</w:t>
            </w:r>
          </w:p>
        </w:tc>
        <w:tc>
          <w:tcPr>
            <w:tcW w:w="907" w:type="dxa"/>
            <w:shd w:val="clear" w:color="auto" w:fill="auto"/>
          </w:tcPr>
          <w:p w:rsidR="006D2D1A" w:rsidRDefault="006D2D1A" w:rsidP="008429FD">
            <w:pPr>
              <w:pStyle w:val="AppendixTableText"/>
            </w:pPr>
            <w:r>
              <w:t>11/07/2005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2168</w:t>
            </w:r>
          </w:p>
        </w:tc>
        <w:tc>
          <w:tcPr>
            <w:tcW w:w="2333" w:type="dxa"/>
            <w:shd w:val="clear" w:color="auto" w:fill="auto"/>
          </w:tcPr>
          <w:p w:rsidR="006D2D1A" w:rsidRDefault="006D2D1A" w:rsidP="008429FD">
            <w:pPr>
              <w:pStyle w:val="AppendixTableText"/>
            </w:pPr>
            <w:r>
              <w:t>Frankley School</w:t>
            </w:r>
          </w:p>
        </w:tc>
        <w:tc>
          <w:tcPr>
            <w:tcW w:w="907" w:type="dxa"/>
            <w:shd w:val="clear" w:color="auto" w:fill="auto"/>
          </w:tcPr>
          <w:p w:rsidR="006D2D1A" w:rsidRDefault="006D2D1A" w:rsidP="008429FD">
            <w:pPr>
              <w:pStyle w:val="AppendixTableText"/>
            </w:pPr>
            <w:r>
              <w:t>7/04/2000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1721</w:t>
            </w:r>
          </w:p>
        </w:tc>
        <w:tc>
          <w:tcPr>
            <w:tcW w:w="2333" w:type="dxa"/>
            <w:shd w:val="clear" w:color="auto" w:fill="auto"/>
          </w:tcPr>
          <w:p w:rsidR="006D2D1A" w:rsidRDefault="006D2D1A" w:rsidP="008429FD">
            <w:pPr>
              <w:pStyle w:val="AppendixTableText"/>
            </w:pPr>
            <w:r>
              <w:t>Frankton School</w:t>
            </w:r>
          </w:p>
        </w:tc>
        <w:tc>
          <w:tcPr>
            <w:tcW w:w="907" w:type="dxa"/>
            <w:shd w:val="clear" w:color="auto" w:fill="auto"/>
          </w:tcPr>
          <w:p w:rsidR="006D2D1A" w:rsidRDefault="006D2D1A" w:rsidP="008429FD">
            <w:pPr>
              <w:pStyle w:val="AppendixTableText"/>
            </w:pPr>
            <w:r>
              <w:t>31/08/2011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135</w:t>
            </w:r>
          </w:p>
        </w:tc>
        <w:tc>
          <w:tcPr>
            <w:tcW w:w="2333" w:type="dxa"/>
            <w:shd w:val="clear" w:color="auto" w:fill="auto"/>
          </w:tcPr>
          <w:p w:rsidR="006D2D1A" w:rsidRDefault="006D2D1A" w:rsidP="008429FD">
            <w:pPr>
              <w:pStyle w:val="AppendixTableText"/>
            </w:pPr>
            <w:r>
              <w:t>Fraser High School</w:t>
            </w:r>
          </w:p>
        </w:tc>
        <w:tc>
          <w:tcPr>
            <w:tcW w:w="907" w:type="dxa"/>
            <w:shd w:val="clear" w:color="auto" w:fill="auto"/>
          </w:tcPr>
          <w:p w:rsidR="006D2D1A" w:rsidRDefault="006D2D1A" w:rsidP="008429FD">
            <w:pPr>
              <w:pStyle w:val="AppendixTableText"/>
            </w:pPr>
            <w:r>
              <w:t>16/10/2000</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1279</w:t>
            </w:r>
          </w:p>
        </w:tc>
        <w:tc>
          <w:tcPr>
            <w:tcW w:w="2333" w:type="dxa"/>
            <w:shd w:val="clear" w:color="auto" w:fill="auto"/>
          </w:tcPr>
          <w:p w:rsidR="006D2D1A" w:rsidRDefault="006D2D1A" w:rsidP="008429FD">
            <w:pPr>
              <w:pStyle w:val="AppendixTableText"/>
            </w:pPr>
            <w:r>
              <w:t>Freemans Bay School</w:t>
            </w:r>
          </w:p>
        </w:tc>
        <w:tc>
          <w:tcPr>
            <w:tcW w:w="907" w:type="dxa"/>
            <w:shd w:val="clear" w:color="auto" w:fill="auto"/>
          </w:tcPr>
          <w:p w:rsidR="006D2D1A" w:rsidRDefault="006D2D1A" w:rsidP="008429FD">
            <w:pPr>
              <w:pStyle w:val="AppendixTableText"/>
            </w:pPr>
            <w:r>
              <w:t>24/06/2008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3344</w:t>
            </w:r>
          </w:p>
        </w:tc>
        <w:tc>
          <w:tcPr>
            <w:tcW w:w="2333" w:type="dxa"/>
            <w:shd w:val="clear" w:color="auto" w:fill="auto"/>
          </w:tcPr>
          <w:p w:rsidR="006D2D1A" w:rsidRDefault="006D2D1A" w:rsidP="008429FD">
            <w:pPr>
              <w:pStyle w:val="AppendixTableText"/>
            </w:pPr>
            <w:r>
              <w:t>Freeville School</w:t>
            </w:r>
          </w:p>
        </w:tc>
        <w:tc>
          <w:tcPr>
            <w:tcW w:w="907" w:type="dxa"/>
            <w:shd w:val="clear" w:color="auto" w:fill="auto"/>
          </w:tcPr>
          <w:p w:rsidR="006D2D1A" w:rsidRDefault="006D2D1A" w:rsidP="008429FD">
            <w:pPr>
              <w:pStyle w:val="AppendixTableText"/>
            </w:pPr>
            <w:r>
              <w:t>22/12/2004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200</w:t>
            </w:r>
          </w:p>
        </w:tc>
        <w:tc>
          <w:tcPr>
            <w:tcW w:w="2333" w:type="dxa"/>
            <w:shd w:val="clear" w:color="auto" w:fill="auto"/>
          </w:tcPr>
          <w:p w:rsidR="006D2D1A" w:rsidRDefault="006D2D1A" w:rsidP="008429FD">
            <w:pPr>
              <w:pStyle w:val="AppendixTableText"/>
            </w:pPr>
            <w:r>
              <w:t>Freyberg High School</w:t>
            </w:r>
          </w:p>
        </w:tc>
        <w:tc>
          <w:tcPr>
            <w:tcW w:w="907" w:type="dxa"/>
            <w:shd w:val="clear" w:color="auto" w:fill="auto"/>
          </w:tcPr>
          <w:p w:rsidR="006D2D1A" w:rsidRDefault="006D2D1A" w:rsidP="008429FD">
            <w:pPr>
              <w:pStyle w:val="AppendixTableText"/>
            </w:pPr>
            <w:r>
              <w:t>3/07/2006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2563</w:t>
            </w:r>
          </w:p>
        </w:tc>
        <w:tc>
          <w:tcPr>
            <w:tcW w:w="2333" w:type="dxa"/>
            <w:shd w:val="clear" w:color="auto" w:fill="auto"/>
          </w:tcPr>
          <w:p w:rsidR="006D2D1A" w:rsidRDefault="006D2D1A" w:rsidP="008429FD">
            <w:pPr>
              <w:pStyle w:val="AppendixTableText"/>
            </w:pPr>
            <w:r>
              <w:t>Frimley School</w:t>
            </w:r>
          </w:p>
        </w:tc>
        <w:tc>
          <w:tcPr>
            <w:tcW w:w="907" w:type="dxa"/>
            <w:shd w:val="clear" w:color="auto" w:fill="auto"/>
          </w:tcPr>
          <w:p w:rsidR="006D2D1A" w:rsidRDefault="006D2D1A" w:rsidP="008429FD">
            <w:pPr>
              <w:pStyle w:val="AppendixTableText"/>
            </w:pPr>
            <w:r>
              <w:t>14/01/2003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3740</w:t>
            </w:r>
          </w:p>
        </w:tc>
        <w:tc>
          <w:tcPr>
            <w:tcW w:w="2333" w:type="dxa"/>
            <w:shd w:val="clear" w:color="auto" w:fill="auto"/>
          </w:tcPr>
          <w:p w:rsidR="006D2D1A" w:rsidRDefault="006D2D1A" w:rsidP="008429FD">
            <w:pPr>
              <w:pStyle w:val="AppendixTableText"/>
            </w:pPr>
            <w:r>
              <w:t>George Street Normal School</w:t>
            </w:r>
          </w:p>
        </w:tc>
        <w:tc>
          <w:tcPr>
            <w:tcW w:w="907" w:type="dxa"/>
            <w:shd w:val="clear" w:color="auto" w:fill="auto"/>
          </w:tcPr>
          <w:p w:rsidR="006D2D1A" w:rsidRDefault="006D2D1A" w:rsidP="008429FD">
            <w:pPr>
              <w:pStyle w:val="AppendixTableText"/>
            </w:pPr>
            <w:r>
              <w:t>14/02/2011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2107</w:t>
            </w:r>
          </w:p>
        </w:tc>
        <w:tc>
          <w:tcPr>
            <w:tcW w:w="2333" w:type="dxa"/>
            <w:shd w:val="clear" w:color="auto" w:fill="auto"/>
          </w:tcPr>
          <w:p w:rsidR="006D2D1A" w:rsidRDefault="006D2D1A" w:rsidP="008429FD">
            <w:pPr>
              <w:pStyle w:val="AppendixTableText"/>
            </w:pPr>
            <w:r>
              <w:t>Geraldine Primary School</w:t>
            </w:r>
          </w:p>
        </w:tc>
        <w:tc>
          <w:tcPr>
            <w:tcW w:w="907" w:type="dxa"/>
            <w:shd w:val="clear" w:color="auto" w:fill="auto"/>
          </w:tcPr>
          <w:p w:rsidR="006D2D1A" w:rsidRDefault="006D2D1A" w:rsidP="008429FD">
            <w:pPr>
              <w:pStyle w:val="AppendixTableText"/>
            </w:pPr>
            <w:r>
              <w:t>21/02/2008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2564</w:t>
            </w:r>
          </w:p>
        </w:tc>
        <w:tc>
          <w:tcPr>
            <w:tcW w:w="2333" w:type="dxa"/>
            <w:shd w:val="clear" w:color="auto" w:fill="auto"/>
          </w:tcPr>
          <w:p w:rsidR="006D2D1A" w:rsidRDefault="006D2D1A" w:rsidP="008429FD">
            <w:pPr>
              <w:pStyle w:val="AppendixTableText"/>
            </w:pPr>
            <w:r>
              <w:t>Gisborne Central School</w:t>
            </w:r>
          </w:p>
        </w:tc>
        <w:tc>
          <w:tcPr>
            <w:tcW w:w="907" w:type="dxa"/>
            <w:shd w:val="clear" w:color="auto" w:fill="auto"/>
          </w:tcPr>
          <w:p w:rsidR="006D2D1A" w:rsidRDefault="006D2D1A" w:rsidP="008429FD">
            <w:pPr>
              <w:pStyle w:val="AppendixTableText"/>
            </w:pPr>
            <w:r>
              <w:t>21/04/2011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1282</w:t>
            </w:r>
          </w:p>
        </w:tc>
        <w:tc>
          <w:tcPr>
            <w:tcW w:w="2333" w:type="dxa"/>
            <w:shd w:val="clear" w:color="auto" w:fill="auto"/>
          </w:tcPr>
          <w:p w:rsidR="006D2D1A" w:rsidRDefault="006D2D1A" w:rsidP="008429FD">
            <w:pPr>
              <w:pStyle w:val="AppendixTableText"/>
            </w:pPr>
            <w:r>
              <w:t>Gladstone School (Auckland)</w:t>
            </w:r>
          </w:p>
        </w:tc>
        <w:tc>
          <w:tcPr>
            <w:tcW w:w="907" w:type="dxa"/>
            <w:shd w:val="clear" w:color="auto" w:fill="auto"/>
          </w:tcPr>
          <w:p w:rsidR="006D2D1A" w:rsidRDefault="006D2D1A" w:rsidP="008429FD">
            <w:pPr>
              <w:pStyle w:val="AppendixTableText"/>
            </w:pPr>
            <w:r>
              <w:t>29/09/1999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2845</w:t>
            </w:r>
          </w:p>
        </w:tc>
        <w:tc>
          <w:tcPr>
            <w:tcW w:w="2333" w:type="dxa"/>
            <w:shd w:val="clear" w:color="auto" w:fill="auto"/>
          </w:tcPr>
          <w:p w:rsidR="006D2D1A" w:rsidRDefault="006D2D1A" w:rsidP="008429FD">
            <w:pPr>
              <w:pStyle w:val="AppendixTableText"/>
            </w:pPr>
            <w:r>
              <w:t>Gladstone School (Masterton)</w:t>
            </w:r>
          </w:p>
        </w:tc>
        <w:tc>
          <w:tcPr>
            <w:tcW w:w="907" w:type="dxa"/>
            <w:shd w:val="clear" w:color="auto" w:fill="auto"/>
          </w:tcPr>
          <w:p w:rsidR="006D2D1A" w:rsidRDefault="006D2D1A" w:rsidP="008429FD">
            <w:pPr>
              <w:pStyle w:val="AppendixTableText"/>
            </w:pPr>
            <w:r>
              <w:t>11/10/2006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1283</w:t>
            </w:r>
          </w:p>
        </w:tc>
        <w:tc>
          <w:tcPr>
            <w:tcW w:w="2333" w:type="dxa"/>
            <w:shd w:val="clear" w:color="auto" w:fill="auto"/>
          </w:tcPr>
          <w:p w:rsidR="006D2D1A" w:rsidRDefault="006D2D1A" w:rsidP="008429FD">
            <w:pPr>
              <w:pStyle w:val="AppendixTableText"/>
            </w:pPr>
            <w:r>
              <w:t>Glamorgan School</w:t>
            </w:r>
          </w:p>
        </w:tc>
        <w:tc>
          <w:tcPr>
            <w:tcW w:w="907" w:type="dxa"/>
            <w:shd w:val="clear" w:color="auto" w:fill="auto"/>
          </w:tcPr>
          <w:p w:rsidR="006D2D1A" w:rsidRDefault="006D2D1A" w:rsidP="008429FD">
            <w:pPr>
              <w:pStyle w:val="AppendixTableText"/>
            </w:pPr>
            <w:r>
              <w:t>7/10/1999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1284</w:t>
            </w:r>
          </w:p>
        </w:tc>
        <w:tc>
          <w:tcPr>
            <w:tcW w:w="2333" w:type="dxa"/>
            <w:shd w:val="clear" w:color="auto" w:fill="auto"/>
          </w:tcPr>
          <w:p w:rsidR="006D2D1A" w:rsidRDefault="006D2D1A" w:rsidP="008429FD">
            <w:pPr>
              <w:pStyle w:val="AppendixTableText"/>
            </w:pPr>
            <w:r>
              <w:t>Glen Eden Intermediate</w:t>
            </w:r>
          </w:p>
        </w:tc>
        <w:tc>
          <w:tcPr>
            <w:tcW w:w="907" w:type="dxa"/>
            <w:shd w:val="clear" w:color="auto" w:fill="auto"/>
          </w:tcPr>
          <w:p w:rsidR="006D2D1A" w:rsidRDefault="006D2D1A" w:rsidP="008429FD">
            <w:pPr>
              <w:pStyle w:val="AppendixTableText"/>
            </w:pPr>
            <w:r>
              <w:t>22/10/1999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1285</w:t>
            </w:r>
          </w:p>
        </w:tc>
        <w:tc>
          <w:tcPr>
            <w:tcW w:w="2333" w:type="dxa"/>
            <w:shd w:val="clear" w:color="auto" w:fill="auto"/>
          </w:tcPr>
          <w:p w:rsidR="006D2D1A" w:rsidRDefault="006D2D1A" w:rsidP="008429FD">
            <w:pPr>
              <w:pStyle w:val="AppendixTableText"/>
            </w:pPr>
            <w:r>
              <w:t>Glen Eden School</w:t>
            </w:r>
          </w:p>
        </w:tc>
        <w:tc>
          <w:tcPr>
            <w:tcW w:w="907" w:type="dxa"/>
            <w:shd w:val="clear" w:color="auto" w:fill="auto"/>
          </w:tcPr>
          <w:p w:rsidR="006D2D1A" w:rsidRDefault="006D2D1A" w:rsidP="008429FD">
            <w:pPr>
              <w:pStyle w:val="AppendixTableText"/>
            </w:pPr>
            <w:r>
              <w:t>10/06/2008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1723</w:t>
            </w:r>
          </w:p>
        </w:tc>
        <w:tc>
          <w:tcPr>
            <w:tcW w:w="2333" w:type="dxa"/>
            <w:shd w:val="clear" w:color="auto" w:fill="auto"/>
          </w:tcPr>
          <w:p w:rsidR="006D2D1A" w:rsidRDefault="006D2D1A" w:rsidP="008429FD">
            <w:pPr>
              <w:pStyle w:val="AppendixTableText"/>
            </w:pPr>
            <w:r>
              <w:t>Glen Massey School</w:t>
            </w:r>
          </w:p>
        </w:tc>
        <w:tc>
          <w:tcPr>
            <w:tcW w:w="907" w:type="dxa"/>
            <w:shd w:val="clear" w:color="auto" w:fill="auto"/>
          </w:tcPr>
          <w:p w:rsidR="006D2D1A" w:rsidRDefault="006D2D1A" w:rsidP="008429FD">
            <w:pPr>
              <w:pStyle w:val="AppendixTableText"/>
            </w:pPr>
            <w:r>
              <w:t>7/03/2011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1011</w:t>
            </w:r>
          </w:p>
        </w:tc>
        <w:tc>
          <w:tcPr>
            <w:tcW w:w="2333" w:type="dxa"/>
            <w:shd w:val="clear" w:color="auto" w:fill="auto"/>
          </w:tcPr>
          <w:p w:rsidR="006D2D1A" w:rsidRDefault="006D2D1A" w:rsidP="008429FD">
            <w:pPr>
              <w:pStyle w:val="AppendixTableText"/>
            </w:pPr>
            <w:r>
              <w:t>Glenbervie School</w:t>
            </w:r>
          </w:p>
        </w:tc>
        <w:tc>
          <w:tcPr>
            <w:tcW w:w="907" w:type="dxa"/>
            <w:shd w:val="clear" w:color="auto" w:fill="auto"/>
          </w:tcPr>
          <w:p w:rsidR="006D2D1A" w:rsidRDefault="006D2D1A" w:rsidP="008429FD">
            <w:pPr>
              <w:pStyle w:val="AppendixTableText"/>
            </w:pPr>
            <w:r>
              <w:t>9/08/1999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65</w:t>
            </w:r>
          </w:p>
        </w:tc>
        <w:tc>
          <w:tcPr>
            <w:tcW w:w="2333" w:type="dxa"/>
            <w:shd w:val="clear" w:color="auto" w:fill="auto"/>
          </w:tcPr>
          <w:p w:rsidR="006D2D1A" w:rsidRDefault="006D2D1A" w:rsidP="008429FD">
            <w:pPr>
              <w:pStyle w:val="AppendixTableText"/>
            </w:pPr>
            <w:r>
              <w:t>Glendowie College</w:t>
            </w:r>
          </w:p>
        </w:tc>
        <w:tc>
          <w:tcPr>
            <w:tcW w:w="907" w:type="dxa"/>
            <w:shd w:val="clear" w:color="auto" w:fill="auto"/>
          </w:tcPr>
          <w:p w:rsidR="006D2D1A" w:rsidRDefault="006D2D1A" w:rsidP="008429FD">
            <w:pPr>
              <w:pStyle w:val="AppendixTableText"/>
            </w:pPr>
            <w:r>
              <w:t>20/08/1999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1294</w:t>
            </w:r>
          </w:p>
        </w:tc>
        <w:tc>
          <w:tcPr>
            <w:tcW w:w="2333" w:type="dxa"/>
            <w:shd w:val="clear" w:color="auto" w:fill="auto"/>
          </w:tcPr>
          <w:p w:rsidR="006D2D1A" w:rsidRDefault="006D2D1A" w:rsidP="008429FD">
            <w:pPr>
              <w:pStyle w:val="AppendixTableText"/>
            </w:pPr>
            <w:r>
              <w:t>Glendowie School</w:t>
            </w:r>
          </w:p>
        </w:tc>
        <w:tc>
          <w:tcPr>
            <w:tcW w:w="907" w:type="dxa"/>
            <w:shd w:val="clear" w:color="auto" w:fill="auto"/>
          </w:tcPr>
          <w:p w:rsidR="006D2D1A" w:rsidRDefault="006D2D1A" w:rsidP="008429FD">
            <w:pPr>
              <w:pStyle w:val="AppendixTableText"/>
            </w:pPr>
            <w:r>
              <w:t>19/10/1999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3347</w:t>
            </w:r>
          </w:p>
        </w:tc>
        <w:tc>
          <w:tcPr>
            <w:tcW w:w="2333" w:type="dxa"/>
            <w:shd w:val="clear" w:color="auto" w:fill="auto"/>
          </w:tcPr>
          <w:p w:rsidR="006D2D1A" w:rsidRDefault="006D2D1A" w:rsidP="008429FD">
            <w:pPr>
              <w:pStyle w:val="AppendixTableText"/>
            </w:pPr>
            <w:r>
              <w:t>Gleniti School</w:t>
            </w:r>
          </w:p>
        </w:tc>
        <w:tc>
          <w:tcPr>
            <w:tcW w:w="907" w:type="dxa"/>
            <w:shd w:val="clear" w:color="auto" w:fill="auto"/>
          </w:tcPr>
          <w:p w:rsidR="006D2D1A" w:rsidRDefault="006D2D1A" w:rsidP="008429FD">
            <w:pPr>
              <w:pStyle w:val="AppendixTableText"/>
            </w:pPr>
            <w:r>
              <w:t>30/07/2001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3352</w:t>
            </w:r>
          </w:p>
        </w:tc>
        <w:tc>
          <w:tcPr>
            <w:tcW w:w="2333" w:type="dxa"/>
            <w:shd w:val="clear" w:color="auto" w:fill="auto"/>
          </w:tcPr>
          <w:p w:rsidR="006D2D1A" w:rsidRDefault="006D2D1A" w:rsidP="008429FD">
            <w:pPr>
              <w:pStyle w:val="AppendixTableText"/>
            </w:pPr>
            <w:r>
              <w:t>Glentunnel School</w:t>
            </w:r>
          </w:p>
        </w:tc>
        <w:tc>
          <w:tcPr>
            <w:tcW w:w="907" w:type="dxa"/>
            <w:shd w:val="clear" w:color="auto" w:fill="auto"/>
          </w:tcPr>
          <w:p w:rsidR="006D2D1A" w:rsidRDefault="006D2D1A" w:rsidP="008429FD">
            <w:pPr>
              <w:pStyle w:val="AppendixTableText"/>
            </w:pPr>
            <w:r>
              <w:t>26/10/2006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6070</w:t>
            </w:r>
          </w:p>
        </w:tc>
        <w:tc>
          <w:tcPr>
            <w:tcW w:w="2333" w:type="dxa"/>
            <w:shd w:val="clear" w:color="auto" w:fill="auto"/>
          </w:tcPr>
          <w:p w:rsidR="006D2D1A" w:rsidRDefault="006D2D1A" w:rsidP="008429FD">
            <w:pPr>
              <w:pStyle w:val="AppendixTableText"/>
            </w:pPr>
            <w:r>
              <w:t>Golden Sands School</w:t>
            </w:r>
          </w:p>
        </w:tc>
        <w:tc>
          <w:tcPr>
            <w:tcW w:w="907" w:type="dxa"/>
            <w:shd w:val="clear" w:color="auto" w:fill="auto"/>
          </w:tcPr>
          <w:p w:rsidR="006D2D1A" w:rsidRDefault="006D2D1A" w:rsidP="008429FD">
            <w:pPr>
              <w:pStyle w:val="AppendixTableText"/>
            </w:pPr>
            <w:r>
              <w:t>15/06/2010</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3741</w:t>
            </w:r>
          </w:p>
        </w:tc>
        <w:tc>
          <w:tcPr>
            <w:tcW w:w="2333" w:type="dxa"/>
            <w:shd w:val="clear" w:color="auto" w:fill="auto"/>
          </w:tcPr>
          <w:p w:rsidR="006D2D1A" w:rsidRDefault="006D2D1A" w:rsidP="008429FD">
            <w:pPr>
              <w:pStyle w:val="AppendixTableText"/>
            </w:pPr>
            <w:r>
              <w:t>Goldfields School (Cromwell)</w:t>
            </w:r>
          </w:p>
        </w:tc>
        <w:tc>
          <w:tcPr>
            <w:tcW w:w="907" w:type="dxa"/>
            <w:shd w:val="clear" w:color="auto" w:fill="auto"/>
          </w:tcPr>
          <w:p w:rsidR="006D2D1A" w:rsidRDefault="006D2D1A" w:rsidP="008429FD">
            <w:pPr>
              <w:pStyle w:val="AppendixTableText"/>
            </w:pPr>
            <w:r>
              <w:t>11/12/2009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1727</w:t>
            </w:r>
          </w:p>
        </w:tc>
        <w:tc>
          <w:tcPr>
            <w:tcW w:w="2333" w:type="dxa"/>
            <w:shd w:val="clear" w:color="auto" w:fill="auto"/>
          </w:tcPr>
          <w:p w:rsidR="006D2D1A" w:rsidRDefault="006D2D1A" w:rsidP="008429FD">
            <w:pPr>
              <w:pStyle w:val="AppendixTableText"/>
            </w:pPr>
            <w:r>
              <w:t>Goodwood School</w:t>
            </w:r>
          </w:p>
        </w:tc>
        <w:tc>
          <w:tcPr>
            <w:tcW w:w="907" w:type="dxa"/>
            <w:shd w:val="clear" w:color="auto" w:fill="auto"/>
          </w:tcPr>
          <w:p w:rsidR="006D2D1A" w:rsidRDefault="006D2D1A" w:rsidP="008429FD">
            <w:pPr>
              <w:pStyle w:val="AppendixTableText"/>
            </w:pPr>
            <w:r>
              <w:t>30/05/2006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1728</w:t>
            </w:r>
          </w:p>
        </w:tc>
        <w:tc>
          <w:tcPr>
            <w:tcW w:w="2333" w:type="dxa"/>
            <w:shd w:val="clear" w:color="auto" w:fill="auto"/>
          </w:tcPr>
          <w:p w:rsidR="006D2D1A" w:rsidRDefault="006D2D1A" w:rsidP="008429FD">
            <w:pPr>
              <w:pStyle w:val="AppendixTableText"/>
            </w:pPr>
            <w:r>
              <w:t>Gordonton School</w:t>
            </w:r>
          </w:p>
        </w:tc>
        <w:tc>
          <w:tcPr>
            <w:tcW w:w="907" w:type="dxa"/>
            <w:shd w:val="clear" w:color="auto" w:fill="auto"/>
          </w:tcPr>
          <w:p w:rsidR="006D2D1A" w:rsidRDefault="006D2D1A" w:rsidP="008429FD">
            <w:pPr>
              <w:pStyle w:val="AppendixTableText"/>
            </w:pPr>
            <w:r>
              <w:t>12/12/2011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3956</w:t>
            </w:r>
          </w:p>
        </w:tc>
        <w:tc>
          <w:tcPr>
            <w:tcW w:w="2333" w:type="dxa"/>
            <w:shd w:val="clear" w:color="auto" w:fill="auto"/>
          </w:tcPr>
          <w:p w:rsidR="006D2D1A" w:rsidRDefault="006D2D1A" w:rsidP="008429FD">
            <w:pPr>
              <w:pStyle w:val="AppendixTableText"/>
            </w:pPr>
            <w:r>
              <w:t>Gore Main School</w:t>
            </w:r>
          </w:p>
        </w:tc>
        <w:tc>
          <w:tcPr>
            <w:tcW w:w="907" w:type="dxa"/>
            <w:shd w:val="clear" w:color="auto" w:fill="auto"/>
          </w:tcPr>
          <w:p w:rsidR="006D2D1A" w:rsidRDefault="006D2D1A" w:rsidP="008429FD">
            <w:pPr>
              <w:pStyle w:val="AppendixTableText"/>
            </w:pPr>
            <w:r>
              <w:t>15/12/2011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2848</w:t>
            </w:r>
          </w:p>
        </w:tc>
        <w:tc>
          <w:tcPr>
            <w:tcW w:w="2333" w:type="dxa"/>
            <w:shd w:val="clear" w:color="auto" w:fill="auto"/>
          </w:tcPr>
          <w:p w:rsidR="006D2D1A" w:rsidRDefault="006D2D1A" w:rsidP="008429FD">
            <w:pPr>
              <w:pStyle w:val="AppendixTableText"/>
            </w:pPr>
            <w:r>
              <w:t>Gracefield School</w:t>
            </w:r>
          </w:p>
        </w:tc>
        <w:tc>
          <w:tcPr>
            <w:tcW w:w="907" w:type="dxa"/>
            <w:shd w:val="clear" w:color="auto" w:fill="auto"/>
          </w:tcPr>
          <w:p w:rsidR="006D2D1A" w:rsidRDefault="006D2D1A" w:rsidP="008429FD">
            <w:pPr>
              <w:pStyle w:val="AppendixTableText"/>
            </w:pPr>
            <w:r>
              <w:t>8/08/2005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2111</w:t>
            </w:r>
          </w:p>
        </w:tc>
        <w:tc>
          <w:tcPr>
            <w:tcW w:w="2333" w:type="dxa"/>
            <w:shd w:val="clear" w:color="auto" w:fill="auto"/>
          </w:tcPr>
          <w:p w:rsidR="006D2D1A" w:rsidRDefault="006D2D1A" w:rsidP="008429FD">
            <w:pPr>
              <w:pStyle w:val="AppendixTableText"/>
            </w:pPr>
            <w:r>
              <w:t>Grantlea Downs School</w:t>
            </w:r>
          </w:p>
        </w:tc>
        <w:tc>
          <w:tcPr>
            <w:tcW w:w="907" w:type="dxa"/>
            <w:shd w:val="clear" w:color="auto" w:fill="auto"/>
          </w:tcPr>
          <w:p w:rsidR="006D2D1A" w:rsidRDefault="006D2D1A" w:rsidP="008429FD">
            <w:pPr>
              <w:pStyle w:val="AppendixTableText"/>
            </w:pPr>
            <w:r>
              <w:t>14/10/2004</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42</w:t>
            </w:r>
          </w:p>
        </w:tc>
        <w:tc>
          <w:tcPr>
            <w:tcW w:w="2333" w:type="dxa"/>
            <w:shd w:val="clear" w:color="auto" w:fill="auto"/>
          </w:tcPr>
          <w:p w:rsidR="006D2D1A" w:rsidRDefault="006D2D1A" w:rsidP="008429FD">
            <w:pPr>
              <w:pStyle w:val="AppendixTableText"/>
            </w:pPr>
            <w:r>
              <w:t>Green Bay High School</w:t>
            </w:r>
          </w:p>
        </w:tc>
        <w:tc>
          <w:tcPr>
            <w:tcW w:w="907" w:type="dxa"/>
            <w:shd w:val="clear" w:color="auto" w:fill="auto"/>
          </w:tcPr>
          <w:p w:rsidR="006D2D1A" w:rsidRDefault="006D2D1A" w:rsidP="008429FD">
            <w:pPr>
              <w:pStyle w:val="AppendixTableText"/>
            </w:pPr>
            <w:r>
              <w:t>31/05/2012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1299</w:t>
            </w:r>
          </w:p>
        </w:tc>
        <w:tc>
          <w:tcPr>
            <w:tcW w:w="2333" w:type="dxa"/>
            <w:shd w:val="clear" w:color="auto" w:fill="auto"/>
          </w:tcPr>
          <w:p w:rsidR="006D2D1A" w:rsidRDefault="006D2D1A" w:rsidP="008429FD">
            <w:pPr>
              <w:pStyle w:val="AppendixTableText"/>
            </w:pPr>
            <w:r>
              <w:t>Greenhithe School</w:t>
            </w:r>
          </w:p>
        </w:tc>
        <w:tc>
          <w:tcPr>
            <w:tcW w:w="907" w:type="dxa"/>
            <w:shd w:val="clear" w:color="auto" w:fill="auto"/>
          </w:tcPr>
          <w:p w:rsidR="006D2D1A" w:rsidRDefault="006D2D1A" w:rsidP="008429FD">
            <w:pPr>
              <w:pStyle w:val="AppendixTableText"/>
            </w:pPr>
            <w:r>
              <w:t>30/11/2011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1729</w:t>
            </w:r>
          </w:p>
        </w:tc>
        <w:tc>
          <w:tcPr>
            <w:tcW w:w="2333" w:type="dxa"/>
            <w:shd w:val="clear" w:color="auto" w:fill="auto"/>
          </w:tcPr>
          <w:p w:rsidR="006D2D1A" w:rsidRDefault="006D2D1A" w:rsidP="008429FD">
            <w:pPr>
              <w:pStyle w:val="AppendixTableText"/>
            </w:pPr>
            <w:r>
              <w:t>Greenpark School (Tauranga)</w:t>
            </w:r>
          </w:p>
        </w:tc>
        <w:tc>
          <w:tcPr>
            <w:tcW w:w="907" w:type="dxa"/>
            <w:shd w:val="clear" w:color="auto" w:fill="auto"/>
          </w:tcPr>
          <w:p w:rsidR="006D2D1A" w:rsidRDefault="006D2D1A" w:rsidP="008429FD">
            <w:pPr>
              <w:pStyle w:val="AppendixTableText"/>
            </w:pPr>
            <w:r>
              <w:t>21/07/2003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1301</w:t>
            </w:r>
          </w:p>
        </w:tc>
        <w:tc>
          <w:tcPr>
            <w:tcW w:w="2333" w:type="dxa"/>
            <w:shd w:val="clear" w:color="auto" w:fill="auto"/>
          </w:tcPr>
          <w:p w:rsidR="006D2D1A" w:rsidRDefault="006D2D1A" w:rsidP="008429FD">
            <w:pPr>
              <w:pStyle w:val="AppendixTableText"/>
            </w:pPr>
            <w:r>
              <w:t>Grey Lynn School</w:t>
            </w:r>
          </w:p>
        </w:tc>
        <w:tc>
          <w:tcPr>
            <w:tcW w:w="907" w:type="dxa"/>
            <w:shd w:val="clear" w:color="auto" w:fill="auto"/>
          </w:tcPr>
          <w:p w:rsidR="006D2D1A" w:rsidRDefault="006D2D1A" w:rsidP="008429FD">
            <w:pPr>
              <w:pStyle w:val="AppendixTableText"/>
            </w:pPr>
            <w:r>
              <w:t>21/02/2005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2850</w:t>
            </w:r>
          </w:p>
        </w:tc>
        <w:tc>
          <w:tcPr>
            <w:tcW w:w="2333" w:type="dxa"/>
            <w:shd w:val="clear" w:color="auto" w:fill="auto"/>
          </w:tcPr>
          <w:p w:rsidR="006D2D1A" w:rsidRDefault="006D2D1A" w:rsidP="008429FD">
            <w:pPr>
              <w:pStyle w:val="AppendixTableText"/>
            </w:pPr>
            <w:r>
              <w:t>Greytown School</w:t>
            </w:r>
          </w:p>
        </w:tc>
        <w:tc>
          <w:tcPr>
            <w:tcW w:w="907" w:type="dxa"/>
            <w:shd w:val="clear" w:color="auto" w:fill="auto"/>
          </w:tcPr>
          <w:p w:rsidR="006D2D1A" w:rsidRDefault="006D2D1A" w:rsidP="008429FD">
            <w:pPr>
              <w:pStyle w:val="AppendixTableText"/>
            </w:pPr>
            <w:r>
              <w:t>17/10/2003</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336</w:t>
            </w:r>
          </w:p>
        </w:tc>
        <w:tc>
          <w:tcPr>
            <w:tcW w:w="2333" w:type="dxa"/>
            <w:shd w:val="clear" w:color="auto" w:fill="auto"/>
          </w:tcPr>
          <w:p w:rsidR="006D2D1A" w:rsidRDefault="006D2D1A" w:rsidP="008429FD">
            <w:pPr>
              <w:pStyle w:val="AppendixTableText"/>
            </w:pPr>
            <w:r>
              <w:t>Hagley Community College</w:t>
            </w:r>
          </w:p>
        </w:tc>
        <w:tc>
          <w:tcPr>
            <w:tcW w:w="907" w:type="dxa"/>
            <w:shd w:val="clear" w:color="auto" w:fill="auto"/>
          </w:tcPr>
          <w:p w:rsidR="006D2D1A" w:rsidRDefault="006D2D1A" w:rsidP="008429FD">
            <w:pPr>
              <w:pStyle w:val="AppendixTableText"/>
            </w:pPr>
            <w:r>
              <w:t>13/09/1999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1302</w:t>
            </w:r>
          </w:p>
        </w:tc>
        <w:tc>
          <w:tcPr>
            <w:tcW w:w="2333" w:type="dxa"/>
            <w:shd w:val="clear" w:color="auto" w:fill="auto"/>
          </w:tcPr>
          <w:p w:rsidR="006D2D1A" w:rsidRDefault="006D2D1A" w:rsidP="008429FD">
            <w:pPr>
              <w:pStyle w:val="AppendixTableText"/>
            </w:pPr>
            <w:r>
              <w:t>Halsey Drive School</w:t>
            </w:r>
          </w:p>
        </w:tc>
        <w:tc>
          <w:tcPr>
            <w:tcW w:w="907" w:type="dxa"/>
            <w:shd w:val="clear" w:color="auto" w:fill="auto"/>
          </w:tcPr>
          <w:p w:rsidR="006D2D1A" w:rsidRDefault="006D2D1A" w:rsidP="008429FD">
            <w:pPr>
              <w:pStyle w:val="AppendixTableText"/>
            </w:pPr>
            <w:r>
              <w:t>8/09/1999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3366</w:t>
            </w:r>
          </w:p>
        </w:tc>
        <w:tc>
          <w:tcPr>
            <w:tcW w:w="2333" w:type="dxa"/>
            <w:shd w:val="clear" w:color="auto" w:fill="auto"/>
          </w:tcPr>
          <w:p w:rsidR="006D2D1A" w:rsidRDefault="006D2D1A" w:rsidP="008429FD">
            <w:pPr>
              <w:pStyle w:val="AppendixTableText"/>
            </w:pPr>
            <w:r>
              <w:t>Halswell School</w:t>
            </w:r>
          </w:p>
        </w:tc>
        <w:tc>
          <w:tcPr>
            <w:tcW w:w="907" w:type="dxa"/>
            <w:shd w:val="clear" w:color="auto" w:fill="auto"/>
          </w:tcPr>
          <w:p w:rsidR="006D2D1A" w:rsidRDefault="006D2D1A" w:rsidP="008429FD">
            <w:pPr>
              <w:pStyle w:val="AppendixTableText"/>
            </w:pPr>
            <w:r>
              <w:t>22/11/1999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131</w:t>
            </w:r>
          </w:p>
        </w:tc>
        <w:tc>
          <w:tcPr>
            <w:tcW w:w="2333" w:type="dxa"/>
            <w:shd w:val="clear" w:color="auto" w:fill="auto"/>
          </w:tcPr>
          <w:p w:rsidR="006D2D1A" w:rsidRDefault="006D2D1A" w:rsidP="008429FD">
            <w:pPr>
              <w:pStyle w:val="AppendixTableText"/>
            </w:pPr>
            <w:r>
              <w:t>Hamilton Boys' High School</w:t>
            </w:r>
          </w:p>
        </w:tc>
        <w:tc>
          <w:tcPr>
            <w:tcW w:w="907" w:type="dxa"/>
            <w:shd w:val="clear" w:color="auto" w:fill="auto"/>
          </w:tcPr>
          <w:p w:rsidR="006D2D1A" w:rsidRDefault="006D2D1A" w:rsidP="008429FD">
            <w:pPr>
              <w:pStyle w:val="AppendixTableText"/>
            </w:pPr>
            <w:r>
              <w:t>10/08/1999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132</w:t>
            </w:r>
          </w:p>
        </w:tc>
        <w:tc>
          <w:tcPr>
            <w:tcW w:w="2333" w:type="dxa"/>
            <w:shd w:val="clear" w:color="auto" w:fill="auto"/>
          </w:tcPr>
          <w:p w:rsidR="006D2D1A" w:rsidRDefault="006D2D1A" w:rsidP="008429FD">
            <w:pPr>
              <w:pStyle w:val="AppendixTableText"/>
            </w:pPr>
            <w:r>
              <w:t>Hamilton Girls' High School</w:t>
            </w:r>
          </w:p>
        </w:tc>
        <w:tc>
          <w:tcPr>
            <w:tcW w:w="907" w:type="dxa"/>
            <w:shd w:val="clear" w:color="auto" w:fill="auto"/>
          </w:tcPr>
          <w:p w:rsidR="006D2D1A" w:rsidRDefault="006D2D1A" w:rsidP="008429FD">
            <w:pPr>
              <w:pStyle w:val="AppendixTableText"/>
            </w:pPr>
            <w:r>
              <w:t>9/08/1999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1733</w:t>
            </w:r>
          </w:p>
        </w:tc>
        <w:tc>
          <w:tcPr>
            <w:tcW w:w="2333" w:type="dxa"/>
            <w:shd w:val="clear" w:color="auto" w:fill="auto"/>
          </w:tcPr>
          <w:p w:rsidR="006D2D1A" w:rsidRDefault="006D2D1A" w:rsidP="008429FD">
            <w:pPr>
              <w:pStyle w:val="AppendixTableText"/>
            </w:pPr>
            <w:r>
              <w:t>Hamilton West School</w:t>
            </w:r>
          </w:p>
        </w:tc>
        <w:tc>
          <w:tcPr>
            <w:tcW w:w="907" w:type="dxa"/>
            <w:shd w:val="clear" w:color="auto" w:fill="auto"/>
          </w:tcPr>
          <w:p w:rsidR="006D2D1A" w:rsidRDefault="006D2D1A" w:rsidP="008429FD">
            <w:pPr>
              <w:pStyle w:val="AppendixTableText"/>
            </w:pPr>
            <w:r>
              <w:t>1/05/2007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3367</w:t>
            </w:r>
          </w:p>
        </w:tc>
        <w:tc>
          <w:tcPr>
            <w:tcW w:w="2333" w:type="dxa"/>
            <w:shd w:val="clear" w:color="auto" w:fill="auto"/>
          </w:tcPr>
          <w:p w:rsidR="006D2D1A" w:rsidRDefault="006D2D1A" w:rsidP="008429FD">
            <w:pPr>
              <w:pStyle w:val="AppendixTableText"/>
            </w:pPr>
            <w:r>
              <w:t>Hampstead School</w:t>
            </w:r>
          </w:p>
        </w:tc>
        <w:tc>
          <w:tcPr>
            <w:tcW w:w="907" w:type="dxa"/>
            <w:shd w:val="clear" w:color="auto" w:fill="auto"/>
          </w:tcPr>
          <w:p w:rsidR="006D2D1A" w:rsidRDefault="006D2D1A" w:rsidP="008429FD">
            <w:pPr>
              <w:pStyle w:val="AppendixTableText"/>
            </w:pPr>
            <w:r>
              <w:t>28/08/2007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3370</w:t>
            </w:r>
          </w:p>
        </w:tc>
        <w:tc>
          <w:tcPr>
            <w:tcW w:w="2333" w:type="dxa"/>
            <w:shd w:val="clear" w:color="auto" w:fill="auto"/>
          </w:tcPr>
          <w:p w:rsidR="006D2D1A" w:rsidRDefault="006D2D1A" w:rsidP="008429FD">
            <w:pPr>
              <w:pStyle w:val="AppendixTableText"/>
            </w:pPr>
            <w:r>
              <w:t>Harewood School</w:t>
            </w:r>
          </w:p>
        </w:tc>
        <w:tc>
          <w:tcPr>
            <w:tcW w:w="907" w:type="dxa"/>
            <w:shd w:val="clear" w:color="auto" w:fill="auto"/>
          </w:tcPr>
          <w:p w:rsidR="006D2D1A" w:rsidRDefault="006D2D1A" w:rsidP="008429FD">
            <w:pPr>
              <w:pStyle w:val="AppendixTableText"/>
            </w:pPr>
            <w:r>
              <w:t>11/11/2004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1303</w:t>
            </w:r>
          </w:p>
        </w:tc>
        <w:tc>
          <w:tcPr>
            <w:tcW w:w="2333" w:type="dxa"/>
            <w:shd w:val="clear" w:color="auto" w:fill="auto"/>
          </w:tcPr>
          <w:p w:rsidR="006D2D1A" w:rsidRDefault="006D2D1A" w:rsidP="008429FD">
            <w:pPr>
              <w:pStyle w:val="AppendixTableText"/>
            </w:pPr>
            <w:r>
              <w:t>Harrisville School</w:t>
            </w:r>
          </w:p>
        </w:tc>
        <w:tc>
          <w:tcPr>
            <w:tcW w:w="907" w:type="dxa"/>
            <w:shd w:val="clear" w:color="auto" w:fill="auto"/>
          </w:tcPr>
          <w:p w:rsidR="006D2D1A" w:rsidRDefault="006D2D1A" w:rsidP="008429FD">
            <w:pPr>
              <w:pStyle w:val="AppendixTableText"/>
            </w:pPr>
            <w:r>
              <w:t>6/09/2006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443</w:t>
            </w:r>
          </w:p>
        </w:tc>
        <w:tc>
          <w:tcPr>
            <w:tcW w:w="2333" w:type="dxa"/>
            <w:shd w:val="clear" w:color="auto" w:fill="auto"/>
          </w:tcPr>
          <w:p w:rsidR="006D2D1A" w:rsidRDefault="006D2D1A" w:rsidP="008429FD">
            <w:pPr>
              <w:pStyle w:val="AppendixTableText"/>
            </w:pPr>
            <w:r>
              <w:t>Hastings Christian School</w:t>
            </w:r>
          </w:p>
        </w:tc>
        <w:tc>
          <w:tcPr>
            <w:tcW w:w="907" w:type="dxa"/>
            <w:shd w:val="clear" w:color="auto" w:fill="auto"/>
          </w:tcPr>
          <w:p w:rsidR="006D2D1A" w:rsidRDefault="006D2D1A" w:rsidP="008429FD">
            <w:pPr>
              <w:pStyle w:val="AppendixTableText"/>
            </w:pPr>
            <w:r>
              <w:t>30/11/2006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228</w:t>
            </w:r>
          </w:p>
        </w:tc>
        <w:tc>
          <w:tcPr>
            <w:tcW w:w="2333" w:type="dxa"/>
            <w:shd w:val="clear" w:color="auto" w:fill="auto"/>
          </w:tcPr>
          <w:p w:rsidR="006D2D1A" w:rsidRDefault="006D2D1A" w:rsidP="008429FD">
            <w:pPr>
              <w:pStyle w:val="AppendixTableText"/>
            </w:pPr>
            <w:r>
              <w:t>Hastings Girls' High School</w:t>
            </w:r>
          </w:p>
        </w:tc>
        <w:tc>
          <w:tcPr>
            <w:tcW w:w="907" w:type="dxa"/>
            <w:shd w:val="clear" w:color="auto" w:fill="auto"/>
          </w:tcPr>
          <w:p w:rsidR="006D2D1A" w:rsidRDefault="006D2D1A" w:rsidP="008429FD">
            <w:pPr>
              <w:pStyle w:val="AppendixTableText"/>
            </w:pPr>
            <w:r>
              <w:t>19/06/2003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2570</w:t>
            </w:r>
          </w:p>
        </w:tc>
        <w:tc>
          <w:tcPr>
            <w:tcW w:w="2333" w:type="dxa"/>
            <w:shd w:val="clear" w:color="auto" w:fill="auto"/>
          </w:tcPr>
          <w:p w:rsidR="006D2D1A" w:rsidRDefault="006D2D1A" w:rsidP="008429FD">
            <w:pPr>
              <w:pStyle w:val="AppendixTableText"/>
            </w:pPr>
            <w:r>
              <w:t>Hastings Intermediate</w:t>
            </w:r>
          </w:p>
        </w:tc>
        <w:tc>
          <w:tcPr>
            <w:tcW w:w="907" w:type="dxa"/>
            <w:shd w:val="clear" w:color="auto" w:fill="auto"/>
          </w:tcPr>
          <w:p w:rsidR="006D2D1A" w:rsidRDefault="006D2D1A" w:rsidP="008429FD">
            <w:pPr>
              <w:pStyle w:val="AppendixTableText"/>
            </w:pPr>
            <w:r>
              <w:t>2/08/2010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2854</w:t>
            </w:r>
          </w:p>
        </w:tc>
        <w:tc>
          <w:tcPr>
            <w:tcW w:w="2333" w:type="dxa"/>
            <w:shd w:val="clear" w:color="auto" w:fill="auto"/>
          </w:tcPr>
          <w:p w:rsidR="006D2D1A" w:rsidRDefault="006D2D1A" w:rsidP="008429FD">
            <w:pPr>
              <w:pStyle w:val="AppendixTableText"/>
            </w:pPr>
            <w:r>
              <w:t>Hataitai School</w:t>
            </w:r>
          </w:p>
        </w:tc>
        <w:tc>
          <w:tcPr>
            <w:tcW w:w="907" w:type="dxa"/>
            <w:shd w:val="clear" w:color="auto" w:fill="auto"/>
          </w:tcPr>
          <w:p w:rsidR="006D2D1A" w:rsidRDefault="006D2D1A" w:rsidP="008429FD">
            <w:pPr>
              <w:pStyle w:val="AppendixTableText"/>
            </w:pPr>
            <w:r>
              <w:t>21/09/1999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112</w:t>
            </w:r>
          </w:p>
        </w:tc>
        <w:tc>
          <w:tcPr>
            <w:tcW w:w="2333" w:type="dxa"/>
            <w:shd w:val="clear" w:color="auto" w:fill="auto"/>
          </w:tcPr>
          <w:p w:rsidR="006D2D1A" w:rsidRDefault="006D2D1A" w:rsidP="008429FD">
            <w:pPr>
              <w:pStyle w:val="AppendixTableText"/>
            </w:pPr>
            <w:r>
              <w:t>Hauraki Plains College</w:t>
            </w:r>
          </w:p>
        </w:tc>
        <w:tc>
          <w:tcPr>
            <w:tcW w:w="907" w:type="dxa"/>
            <w:shd w:val="clear" w:color="auto" w:fill="auto"/>
          </w:tcPr>
          <w:p w:rsidR="006D2D1A" w:rsidRDefault="006D2D1A" w:rsidP="008429FD">
            <w:pPr>
              <w:pStyle w:val="AppendixTableText"/>
            </w:pPr>
            <w:r>
              <w:t>2/12/2003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1304</w:t>
            </w:r>
          </w:p>
        </w:tc>
        <w:tc>
          <w:tcPr>
            <w:tcW w:w="2333" w:type="dxa"/>
            <w:shd w:val="clear" w:color="auto" w:fill="auto"/>
          </w:tcPr>
          <w:p w:rsidR="006D2D1A" w:rsidRDefault="006D2D1A" w:rsidP="008429FD">
            <w:pPr>
              <w:pStyle w:val="AppendixTableText"/>
            </w:pPr>
            <w:r>
              <w:t>Hauraki School</w:t>
            </w:r>
          </w:p>
        </w:tc>
        <w:tc>
          <w:tcPr>
            <w:tcW w:w="907" w:type="dxa"/>
            <w:shd w:val="clear" w:color="auto" w:fill="auto"/>
          </w:tcPr>
          <w:p w:rsidR="006D2D1A" w:rsidRDefault="006D2D1A" w:rsidP="008429FD">
            <w:pPr>
              <w:pStyle w:val="AppendixTableText"/>
            </w:pPr>
            <w:r>
              <w:t>13/06/2012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1735</w:t>
            </w:r>
          </w:p>
        </w:tc>
        <w:tc>
          <w:tcPr>
            <w:tcW w:w="2333" w:type="dxa"/>
            <w:shd w:val="clear" w:color="auto" w:fill="auto"/>
          </w:tcPr>
          <w:p w:rsidR="006D2D1A" w:rsidRDefault="006D2D1A" w:rsidP="008429FD">
            <w:pPr>
              <w:pStyle w:val="AppendixTableText"/>
            </w:pPr>
            <w:r>
              <w:t>Hautapu School</w:t>
            </w:r>
          </w:p>
        </w:tc>
        <w:tc>
          <w:tcPr>
            <w:tcW w:w="907" w:type="dxa"/>
            <w:shd w:val="clear" w:color="auto" w:fill="auto"/>
          </w:tcPr>
          <w:p w:rsidR="006D2D1A" w:rsidRDefault="006D2D1A" w:rsidP="008429FD">
            <w:pPr>
              <w:pStyle w:val="AppendixTableText"/>
            </w:pPr>
            <w:r>
              <w:t>26/05/2004</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2572</w:t>
            </w:r>
          </w:p>
        </w:tc>
        <w:tc>
          <w:tcPr>
            <w:tcW w:w="2333" w:type="dxa"/>
            <w:shd w:val="clear" w:color="auto" w:fill="auto"/>
          </w:tcPr>
          <w:p w:rsidR="006D2D1A" w:rsidRDefault="006D2D1A" w:rsidP="008429FD">
            <w:pPr>
              <w:pStyle w:val="AppendixTableText"/>
            </w:pPr>
            <w:r>
              <w:t>Havelock North Intermediate</w:t>
            </w:r>
          </w:p>
        </w:tc>
        <w:tc>
          <w:tcPr>
            <w:tcW w:w="907" w:type="dxa"/>
            <w:shd w:val="clear" w:color="auto" w:fill="auto"/>
          </w:tcPr>
          <w:p w:rsidR="006D2D1A" w:rsidRDefault="006D2D1A" w:rsidP="008429FD">
            <w:pPr>
              <w:pStyle w:val="AppendixTableText"/>
            </w:pPr>
            <w:r>
              <w:t>18/06/2002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2573</w:t>
            </w:r>
          </w:p>
        </w:tc>
        <w:tc>
          <w:tcPr>
            <w:tcW w:w="2333" w:type="dxa"/>
            <w:shd w:val="clear" w:color="auto" w:fill="auto"/>
          </w:tcPr>
          <w:p w:rsidR="006D2D1A" w:rsidRDefault="006D2D1A" w:rsidP="008429FD">
            <w:pPr>
              <w:pStyle w:val="AppendixTableText"/>
            </w:pPr>
            <w:r>
              <w:t>Havelock North Primary School</w:t>
            </w:r>
          </w:p>
        </w:tc>
        <w:tc>
          <w:tcPr>
            <w:tcW w:w="907" w:type="dxa"/>
            <w:shd w:val="clear" w:color="auto" w:fill="auto"/>
          </w:tcPr>
          <w:p w:rsidR="006D2D1A" w:rsidRDefault="006D2D1A" w:rsidP="008429FD">
            <w:pPr>
              <w:pStyle w:val="AppendixTableText"/>
            </w:pPr>
            <w:r>
              <w:t>28/07/1999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3747</w:t>
            </w:r>
          </w:p>
        </w:tc>
        <w:tc>
          <w:tcPr>
            <w:tcW w:w="2333" w:type="dxa"/>
            <w:shd w:val="clear" w:color="auto" w:fill="auto"/>
          </w:tcPr>
          <w:p w:rsidR="006D2D1A" w:rsidRDefault="006D2D1A" w:rsidP="008429FD">
            <w:pPr>
              <w:pStyle w:val="AppendixTableText"/>
            </w:pPr>
            <w:r>
              <w:t>Hawea Flat School</w:t>
            </w:r>
          </w:p>
        </w:tc>
        <w:tc>
          <w:tcPr>
            <w:tcW w:w="907" w:type="dxa"/>
            <w:shd w:val="clear" w:color="auto" w:fill="auto"/>
          </w:tcPr>
          <w:p w:rsidR="006D2D1A" w:rsidRDefault="006D2D1A" w:rsidP="008429FD">
            <w:pPr>
              <w:pStyle w:val="AppendixTableText"/>
            </w:pPr>
            <w:r>
              <w:t>3/12/2007</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3371</w:t>
            </w:r>
          </w:p>
        </w:tc>
        <w:tc>
          <w:tcPr>
            <w:tcW w:w="2333" w:type="dxa"/>
            <w:shd w:val="clear" w:color="auto" w:fill="auto"/>
          </w:tcPr>
          <w:p w:rsidR="006D2D1A" w:rsidRDefault="006D2D1A" w:rsidP="008429FD">
            <w:pPr>
              <w:pStyle w:val="AppendixTableText"/>
            </w:pPr>
            <w:r>
              <w:t>Heathcote Valley School</w:t>
            </w:r>
          </w:p>
        </w:tc>
        <w:tc>
          <w:tcPr>
            <w:tcW w:w="907" w:type="dxa"/>
            <w:shd w:val="clear" w:color="auto" w:fill="auto"/>
          </w:tcPr>
          <w:p w:rsidR="006D2D1A" w:rsidRDefault="006D2D1A" w:rsidP="008429FD">
            <w:pPr>
              <w:pStyle w:val="AppendixTableText"/>
            </w:pPr>
            <w:r>
              <w:t>22/10/1999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3372</w:t>
            </w:r>
          </w:p>
        </w:tc>
        <w:tc>
          <w:tcPr>
            <w:tcW w:w="2333" w:type="dxa"/>
            <w:shd w:val="clear" w:color="auto" w:fill="auto"/>
          </w:tcPr>
          <w:p w:rsidR="006D2D1A" w:rsidRDefault="006D2D1A" w:rsidP="008429FD">
            <w:pPr>
              <w:pStyle w:val="AppendixTableText"/>
            </w:pPr>
            <w:r>
              <w:t>Heaton Normal Intermediate</w:t>
            </w:r>
          </w:p>
        </w:tc>
        <w:tc>
          <w:tcPr>
            <w:tcW w:w="907" w:type="dxa"/>
            <w:shd w:val="clear" w:color="auto" w:fill="auto"/>
          </w:tcPr>
          <w:p w:rsidR="006D2D1A" w:rsidRDefault="006D2D1A" w:rsidP="008429FD">
            <w:pPr>
              <w:pStyle w:val="AppendixTableText"/>
            </w:pPr>
            <w:r>
              <w:t>8/11/1999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3963</w:t>
            </w:r>
          </w:p>
        </w:tc>
        <w:tc>
          <w:tcPr>
            <w:tcW w:w="2333" w:type="dxa"/>
            <w:shd w:val="clear" w:color="auto" w:fill="auto"/>
          </w:tcPr>
          <w:p w:rsidR="006D2D1A" w:rsidRDefault="006D2D1A" w:rsidP="008429FD">
            <w:pPr>
              <w:pStyle w:val="AppendixTableText"/>
            </w:pPr>
            <w:r>
              <w:t>Heddon Bush School</w:t>
            </w:r>
          </w:p>
        </w:tc>
        <w:tc>
          <w:tcPr>
            <w:tcW w:w="907" w:type="dxa"/>
            <w:shd w:val="clear" w:color="auto" w:fill="auto"/>
          </w:tcPr>
          <w:p w:rsidR="006D2D1A" w:rsidRDefault="006D2D1A" w:rsidP="008429FD">
            <w:pPr>
              <w:pStyle w:val="AppendixTableText"/>
            </w:pPr>
            <w:r>
              <w:t>3/09/2007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45</w:t>
            </w:r>
          </w:p>
        </w:tc>
        <w:tc>
          <w:tcPr>
            <w:tcW w:w="2333" w:type="dxa"/>
            <w:shd w:val="clear" w:color="auto" w:fill="auto"/>
          </w:tcPr>
          <w:p w:rsidR="006D2D1A" w:rsidRDefault="006D2D1A" w:rsidP="008429FD">
            <w:pPr>
              <w:pStyle w:val="AppendixTableText"/>
            </w:pPr>
            <w:r>
              <w:t>Henderson High School</w:t>
            </w:r>
          </w:p>
        </w:tc>
        <w:tc>
          <w:tcPr>
            <w:tcW w:w="907" w:type="dxa"/>
            <w:shd w:val="clear" w:color="auto" w:fill="auto"/>
          </w:tcPr>
          <w:p w:rsidR="006D2D1A" w:rsidRDefault="006D2D1A" w:rsidP="008429FD">
            <w:pPr>
              <w:pStyle w:val="AppendixTableText"/>
            </w:pPr>
            <w:r>
              <w:t>24/06/2008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1307</w:t>
            </w:r>
          </w:p>
        </w:tc>
        <w:tc>
          <w:tcPr>
            <w:tcW w:w="2333" w:type="dxa"/>
            <w:shd w:val="clear" w:color="auto" w:fill="auto"/>
          </w:tcPr>
          <w:p w:rsidR="006D2D1A" w:rsidRDefault="006D2D1A" w:rsidP="008429FD">
            <w:pPr>
              <w:pStyle w:val="AppendixTableText"/>
            </w:pPr>
            <w:r>
              <w:t>Henderson Intermediate</w:t>
            </w:r>
          </w:p>
        </w:tc>
        <w:tc>
          <w:tcPr>
            <w:tcW w:w="907" w:type="dxa"/>
            <w:shd w:val="clear" w:color="auto" w:fill="auto"/>
          </w:tcPr>
          <w:p w:rsidR="006D2D1A" w:rsidRDefault="006D2D1A" w:rsidP="008429FD">
            <w:pPr>
              <w:pStyle w:val="AppendixTableText"/>
            </w:pPr>
            <w:r>
              <w:t>1/08/2001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1308</w:t>
            </w:r>
          </w:p>
        </w:tc>
        <w:tc>
          <w:tcPr>
            <w:tcW w:w="2333" w:type="dxa"/>
            <w:shd w:val="clear" w:color="auto" w:fill="auto"/>
          </w:tcPr>
          <w:p w:rsidR="006D2D1A" w:rsidRDefault="006D2D1A" w:rsidP="008429FD">
            <w:pPr>
              <w:pStyle w:val="AppendixTableText"/>
            </w:pPr>
            <w:r>
              <w:t>Henderson North School</w:t>
            </w:r>
          </w:p>
        </w:tc>
        <w:tc>
          <w:tcPr>
            <w:tcW w:w="907" w:type="dxa"/>
            <w:shd w:val="clear" w:color="auto" w:fill="auto"/>
          </w:tcPr>
          <w:p w:rsidR="006D2D1A" w:rsidRDefault="006D2D1A" w:rsidP="008429FD">
            <w:pPr>
              <w:pStyle w:val="AppendixTableText"/>
            </w:pPr>
            <w:r>
              <w:t>7/10/1999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1311</w:t>
            </w:r>
          </w:p>
        </w:tc>
        <w:tc>
          <w:tcPr>
            <w:tcW w:w="2333" w:type="dxa"/>
            <w:shd w:val="clear" w:color="auto" w:fill="auto"/>
          </w:tcPr>
          <w:p w:rsidR="006D2D1A" w:rsidRDefault="006D2D1A" w:rsidP="008429FD">
            <w:pPr>
              <w:pStyle w:val="AppendixTableText"/>
            </w:pPr>
            <w:r>
              <w:t>Henderson Valley School</w:t>
            </w:r>
          </w:p>
        </w:tc>
        <w:tc>
          <w:tcPr>
            <w:tcW w:w="907" w:type="dxa"/>
            <w:shd w:val="clear" w:color="auto" w:fill="auto"/>
          </w:tcPr>
          <w:p w:rsidR="006D2D1A" w:rsidRDefault="006D2D1A" w:rsidP="008429FD">
            <w:pPr>
              <w:pStyle w:val="AppendixTableText"/>
            </w:pPr>
            <w:r>
              <w:t>7/10/1999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3194</w:t>
            </w:r>
          </w:p>
        </w:tc>
        <w:tc>
          <w:tcPr>
            <w:tcW w:w="2333" w:type="dxa"/>
            <w:shd w:val="clear" w:color="auto" w:fill="auto"/>
          </w:tcPr>
          <w:p w:rsidR="006D2D1A" w:rsidRDefault="006D2D1A" w:rsidP="008429FD">
            <w:pPr>
              <w:pStyle w:val="AppendixTableText"/>
            </w:pPr>
            <w:r>
              <w:t>Henley School (Nelson)</w:t>
            </w:r>
          </w:p>
        </w:tc>
        <w:tc>
          <w:tcPr>
            <w:tcW w:w="907" w:type="dxa"/>
            <w:shd w:val="clear" w:color="auto" w:fill="auto"/>
          </w:tcPr>
          <w:p w:rsidR="006D2D1A" w:rsidRDefault="006D2D1A" w:rsidP="008429FD">
            <w:pPr>
              <w:pStyle w:val="AppendixTableText"/>
            </w:pPr>
            <w:r>
              <w:t>4/12/2002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2172</w:t>
            </w:r>
          </w:p>
        </w:tc>
        <w:tc>
          <w:tcPr>
            <w:tcW w:w="2333" w:type="dxa"/>
            <w:shd w:val="clear" w:color="auto" w:fill="auto"/>
          </w:tcPr>
          <w:p w:rsidR="006D2D1A" w:rsidRDefault="006D2D1A" w:rsidP="008429FD">
            <w:pPr>
              <w:pStyle w:val="AppendixTableText"/>
            </w:pPr>
            <w:r>
              <w:t>Highlands Intermediate</w:t>
            </w:r>
          </w:p>
        </w:tc>
        <w:tc>
          <w:tcPr>
            <w:tcW w:w="907" w:type="dxa"/>
            <w:shd w:val="clear" w:color="auto" w:fill="auto"/>
          </w:tcPr>
          <w:p w:rsidR="006D2D1A" w:rsidRDefault="006D2D1A" w:rsidP="008429FD">
            <w:pPr>
              <w:pStyle w:val="AppendixTableText"/>
            </w:pPr>
            <w:r>
              <w:t>27/02/2007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138</w:t>
            </w:r>
          </w:p>
        </w:tc>
        <w:tc>
          <w:tcPr>
            <w:tcW w:w="2333" w:type="dxa"/>
            <w:shd w:val="clear" w:color="auto" w:fill="auto"/>
          </w:tcPr>
          <w:p w:rsidR="006D2D1A" w:rsidRDefault="006D2D1A" w:rsidP="008429FD">
            <w:pPr>
              <w:pStyle w:val="AppendixTableText"/>
            </w:pPr>
            <w:r>
              <w:t>Hillcrest High School</w:t>
            </w:r>
          </w:p>
        </w:tc>
        <w:tc>
          <w:tcPr>
            <w:tcW w:w="907" w:type="dxa"/>
            <w:shd w:val="clear" w:color="auto" w:fill="auto"/>
          </w:tcPr>
          <w:p w:rsidR="006D2D1A" w:rsidRDefault="006D2D1A" w:rsidP="008429FD">
            <w:pPr>
              <w:pStyle w:val="AppendixTableText"/>
            </w:pPr>
            <w:r>
              <w:t>9/08/1999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1739</w:t>
            </w:r>
          </w:p>
        </w:tc>
        <w:tc>
          <w:tcPr>
            <w:tcW w:w="2333" w:type="dxa"/>
            <w:shd w:val="clear" w:color="auto" w:fill="auto"/>
          </w:tcPr>
          <w:p w:rsidR="006D2D1A" w:rsidRDefault="006D2D1A" w:rsidP="008429FD">
            <w:pPr>
              <w:pStyle w:val="AppendixTableText"/>
            </w:pPr>
            <w:r>
              <w:t>Hillcrest Normal School</w:t>
            </w:r>
          </w:p>
        </w:tc>
        <w:tc>
          <w:tcPr>
            <w:tcW w:w="907" w:type="dxa"/>
            <w:shd w:val="clear" w:color="auto" w:fill="auto"/>
          </w:tcPr>
          <w:p w:rsidR="006D2D1A" w:rsidRDefault="006D2D1A" w:rsidP="008429FD">
            <w:pPr>
              <w:pStyle w:val="AppendixTableText"/>
            </w:pPr>
            <w:r>
              <w:t>5/11/2008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1312</w:t>
            </w:r>
          </w:p>
        </w:tc>
        <w:tc>
          <w:tcPr>
            <w:tcW w:w="2333" w:type="dxa"/>
            <w:shd w:val="clear" w:color="auto" w:fill="auto"/>
          </w:tcPr>
          <w:p w:rsidR="006D2D1A" w:rsidRDefault="006D2D1A" w:rsidP="008429FD">
            <w:pPr>
              <w:pStyle w:val="AppendixTableText"/>
            </w:pPr>
            <w:r>
              <w:t>Hillpark School</w:t>
            </w:r>
          </w:p>
        </w:tc>
        <w:tc>
          <w:tcPr>
            <w:tcW w:w="907" w:type="dxa"/>
            <w:shd w:val="clear" w:color="auto" w:fill="auto"/>
          </w:tcPr>
          <w:p w:rsidR="006D2D1A" w:rsidRDefault="006D2D1A" w:rsidP="008429FD">
            <w:pPr>
              <w:pStyle w:val="AppendixTableText"/>
            </w:pPr>
            <w:r>
              <w:t>30/09/1999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1313</w:t>
            </w:r>
          </w:p>
        </w:tc>
        <w:tc>
          <w:tcPr>
            <w:tcW w:w="2333" w:type="dxa"/>
            <w:shd w:val="clear" w:color="auto" w:fill="auto"/>
          </w:tcPr>
          <w:p w:rsidR="006D2D1A" w:rsidRDefault="006D2D1A" w:rsidP="008429FD">
            <w:pPr>
              <w:pStyle w:val="AppendixTableText"/>
            </w:pPr>
            <w:r>
              <w:t>Hillsborough School</w:t>
            </w:r>
          </w:p>
        </w:tc>
        <w:tc>
          <w:tcPr>
            <w:tcW w:w="907" w:type="dxa"/>
            <w:shd w:val="clear" w:color="auto" w:fill="auto"/>
          </w:tcPr>
          <w:p w:rsidR="006D2D1A" w:rsidRDefault="006D2D1A" w:rsidP="008429FD">
            <w:pPr>
              <w:pStyle w:val="AppendixTableText"/>
            </w:pPr>
            <w:r>
              <w:t>20/09/1999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1740</w:t>
            </w:r>
          </w:p>
        </w:tc>
        <w:tc>
          <w:tcPr>
            <w:tcW w:w="2333" w:type="dxa"/>
            <w:shd w:val="clear" w:color="auto" w:fill="auto"/>
          </w:tcPr>
          <w:p w:rsidR="006D2D1A" w:rsidRDefault="006D2D1A" w:rsidP="008429FD">
            <w:pPr>
              <w:pStyle w:val="AppendixTableText"/>
            </w:pPr>
            <w:r>
              <w:t>Hilltop School</w:t>
            </w:r>
          </w:p>
        </w:tc>
        <w:tc>
          <w:tcPr>
            <w:tcW w:w="907" w:type="dxa"/>
            <w:shd w:val="clear" w:color="auto" w:fill="auto"/>
          </w:tcPr>
          <w:p w:rsidR="006D2D1A" w:rsidRDefault="006D2D1A" w:rsidP="008429FD">
            <w:pPr>
              <w:pStyle w:val="AppendixTableText"/>
            </w:pPr>
            <w:r>
              <w:t>20/12/1999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341</w:t>
            </w:r>
          </w:p>
        </w:tc>
        <w:tc>
          <w:tcPr>
            <w:tcW w:w="2333" w:type="dxa"/>
            <w:shd w:val="clear" w:color="auto" w:fill="auto"/>
          </w:tcPr>
          <w:p w:rsidR="006D2D1A" w:rsidRDefault="006D2D1A" w:rsidP="008429FD">
            <w:pPr>
              <w:pStyle w:val="AppendixTableText"/>
            </w:pPr>
            <w:r>
              <w:t>Hillview Christian School</w:t>
            </w:r>
          </w:p>
        </w:tc>
        <w:tc>
          <w:tcPr>
            <w:tcW w:w="907" w:type="dxa"/>
            <w:shd w:val="clear" w:color="auto" w:fill="auto"/>
          </w:tcPr>
          <w:p w:rsidR="006D2D1A" w:rsidRDefault="006D2D1A" w:rsidP="008429FD">
            <w:pPr>
              <w:pStyle w:val="AppendixTableText"/>
            </w:pPr>
            <w:r>
              <w:t>1/06/2004</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588</w:t>
            </w:r>
          </w:p>
        </w:tc>
        <w:tc>
          <w:tcPr>
            <w:tcW w:w="2333" w:type="dxa"/>
            <w:shd w:val="clear" w:color="auto" w:fill="auto"/>
          </w:tcPr>
          <w:p w:rsidR="006D2D1A" w:rsidRDefault="006D2D1A" w:rsidP="008429FD">
            <w:pPr>
              <w:pStyle w:val="AppendixTableText"/>
            </w:pPr>
            <w:r>
              <w:t>Hingaia Peninsula School</w:t>
            </w:r>
          </w:p>
        </w:tc>
        <w:tc>
          <w:tcPr>
            <w:tcW w:w="907" w:type="dxa"/>
            <w:shd w:val="clear" w:color="auto" w:fill="auto"/>
          </w:tcPr>
          <w:p w:rsidR="006D2D1A" w:rsidRDefault="006D2D1A" w:rsidP="008429FD">
            <w:pPr>
              <w:pStyle w:val="AppendixTableText"/>
            </w:pPr>
            <w:r>
              <w:t>15/06/2011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1741</w:t>
            </w:r>
          </w:p>
        </w:tc>
        <w:tc>
          <w:tcPr>
            <w:tcW w:w="2333" w:type="dxa"/>
            <w:shd w:val="clear" w:color="auto" w:fill="auto"/>
          </w:tcPr>
          <w:p w:rsidR="006D2D1A" w:rsidRDefault="006D2D1A" w:rsidP="008429FD">
            <w:pPr>
              <w:pStyle w:val="AppendixTableText"/>
            </w:pPr>
            <w:r>
              <w:t>Hinuera School</w:t>
            </w:r>
          </w:p>
        </w:tc>
        <w:tc>
          <w:tcPr>
            <w:tcW w:w="907" w:type="dxa"/>
            <w:shd w:val="clear" w:color="auto" w:fill="auto"/>
          </w:tcPr>
          <w:p w:rsidR="006D2D1A" w:rsidRDefault="006D2D1A" w:rsidP="008429FD">
            <w:pPr>
              <w:pStyle w:val="AppendixTableText"/>
            </w:pPr>
            <w:r>
              <w:t>12/06/2012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2578</w:t>
            </w:r>
          </w:p>
        </w:tc>
        <w:tc>
          <w:tcPr>
            <w:tcW w:w="2333" w:type="dxa"/>
            <w:shd w:val="clear" w:color="auto" w:fill="auto"/>
          </w:tcPr>
          <w:p w:rsidR="006D2D1A" w:rsidRDefault="006D2D1A" w:rsidP="008429FD">
            <w:pPr>
              <w:pStyle w:val="AppendixTableText"/>
            </w:pPr>
            <w:r>
              <w:t>Hiruharama School</w:t>
            </w:r>
          </w:p>
        </w:tc>
        <w:tc>
          <w:tcPr>
            <w:tcW w:w="907" w:type="dxa"/>
            <w:shd w:val="clear" w:color="auto" w:fill="auto"/>
          </w:tcPr>
          <w:p w:rsidR="006D2D1A" w:rsidRDefault="006D2D1A" w:rsidP="008429FD">
            <w:pPr>
              <w:pStyle w:val="AppendixTableText"/>
            </w:pPr>
            <w:r>
              <w:t>29/04/2002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1314</w:t>
            </w:r>
          </w:p>
        </w:tc>
        <w:tc>
          <w:tcPr>
            <w:tcW w:w="2333" w:type="dxa"/>
            <w:shd w:val="clear" w:color="auto" w:fill="auto"/>
          </w:tcPr>
          <w:p w:rsidR="006D2D1A" w:rsidRDefault="006D2D1A" w:rsidP="008429FD">
            <w:pPr>
              <w:pStyle w:val="AppendixTableText"/>
            </w:pPr>
            <w:r>
              <w:t>Hobsonville School</w:t>
            </w:r>
          </w:p>
        </w:tc>
        <w:tc>
          <w:tcPr>
            <w:tcW w:w="907" w:type="dxa"/>
            <w:shd w:val="clear" w:color="auto" w:fill="auto"/>
          </w:tcPr>
          <w:p w:rsidR="006D2D1A" w:rsidRDefault="006D2D1A" w:rsidP="008429FD">
            <w:pPr>
              <w:pStyle w:val="AppendixTableText"/>
            </w:pPr>
            <w:r>
              <w:t>25/09/2003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1316</w:t>
            </w:r>
          </w:p>
        </w:tc>
        <w:tc>
          <w:tcPr>
            <w:tcW w:w="2333" w:type="dxa"/>
            <w:shd w:val="clear" w:color="auto" w:fill="auto"/>
          </w:tcPr>
          <w:p w:rsidR="006D2D1A" w:rsidRDefault="006D2D1A" w:rsidP="008429FD">
            <w:pPr>
              <w:pStyle w:val="AppendixTableText"/>
            </w:pPr>
            <w:r>
              <w:t>Holy Cross Catholic School (Henderson)</w:t>
            </w:r>
          </w:p>
        </w:tc>
        <w:tc>
          <w:tcPr>
            <w:tcW w:w="907" w:type="dxa"/>
            <w:shd w:val="clear" w:color="auto" w:fill="auto"/>
          </w:tcPr>
          <w:p w:rsidR="006D2D1A" w:rsidRDefault="006D2D1A" w:rsidP="008429FD">
            <w:pPr>
              <w:pStyle w:val="AppendixTableText"/>
            </w:pPr>
            <w:r>
              <w:t>6/05/2008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557</w:t>
            </w:r>
          </w:p>
        </w:tc>
        <w:tc>
          <w:tcPr>
            <w:tcW w:w="2333" w:type="dxa"/>
            <w:shd w:val="clear" w:color="auto" w:fill="auto"/>
          </w:tcPr>
          <w:p w:rsidR="006D2D1A" w:rsidRDefault="006D2D1A" w:rsidP="008429FD">
            <w:pPr>
              <w:pStyle w:val="AppendixTableText"/>
            </w:pPr>
            <w:r>
              <w:t>Holy Family School (Wanaka)</w:t>
            </w:r>
          </w:p>
        </w:tc>
        <w:tc>
          <w:tcPr>
            <w:tcW w:w="907" w:type="dxa"/>
            <w:shd w:val="clear" w:color="auto" w:fill="auto"/>
          </w:tcPr>
          <w:p w:rsidR="006D2D1A" w:rsidRDefault="006D2D1A" w:rsidP="008429FD">
            <w:pPr>
              <w:pStyle w:val="AppendixTableText"/>
            </w:pPr>
            <w:r>
              <w:t>25/07/2008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3379</w:t>
            </w:r>
          </w:p>
        </w:tc>
        <w:tc>
          <w:tcPr>
            <w:tcW w:w="2333" w:type="dxa"/>
            <w:shd w:val="clear" w:color="auto" w:fill="auto"/>
          </w:tcPr>
          <w:p w:rsidR="006D2D1A" w:rsidRDefault="006D2D1A" w:rsidP="008429FD">
            <w:pPr>
              <w:pStyle w:val="AppendixTableText"/>
            </w:pPr>
            <w:r>
              <w:t>Hoon Hay School</w:t>
            </w:r>
          </w:p>
        </w:tc>
        <w:tc>
          <w:tcPr>
            <w:tcW w:w="907" w:type="dxa"/>
            <w:shd w:val="clear" w:color="auto" w:fill="auto"/>
          </w:tcPr>
          <w:p w:rsidR="006D2D1A" w:rsidRDefault="006D2D1A" w:rsidP="008429FD">
            <w:pPr>
              <w:pStyle w:val="AppendixTableText"/>
            </w:pPr>
            <w:r>
              <w:t>25/09/2000</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3381</w:t>
            </w:r>
          </w:p>
        </w:tc>
        <w:tc>
          <w:tcPr>
            <w:tcW w:w="2333" w:type="dxa"/>
            <w:shd w:val="clear" w:color="auto" w:fill="auto"/>
          </w:tcPr>
          <w:p w:rsidR="006D2D1A" w:rsidRDefault="006D2D1A" w:rsidP="008429FD">
            <w:pPr>
              <w:pStyle w:val="AppendixTableText"/>
            </w:pPr>
            <w:r>
              <w:t>Hororata School</w:t>
            </w:r>
          </w:p>
        </w:tc>
        <w:tc>
          <w:tcPr>
            <w:tcW w:w="907" w:type="dxa"/>
            <w:shd w:val="clear" w:color="auto" w:fill="auto"/>
          </w:tcPr>
          <w:p w:rsidR="006D2D1A" w:rsidRDefault="006D2D1A" w:rsidP="008429FD">
            <w:pPr>
              <w:pStyle w:val="AppendixTableText"/>
            </w:pPr>
            <w:r>
              <w:t>19/02/2007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1746</w:t>
            </w:r>
          </w:p>
        </w:tc>
        <w:tc>
          <w:tcPr>
            <w:tcW w:w="2333" w:type="dxa"/>
            <w:shd w:val="clear" w:color="auto" w:fill="auto"/>
          </w:tcPr>
          <w:p w:rsidR="006D2D1A" w:rsidRDefault="006D2D1A" w:rsidP="008429FD">
            <w:pPr>
              <w:pStyle w:val="AppendixTableText"/>
            </w:pPr>
            <w:r>
              <w:t>Horotiu School</w:t>
            </w:r>
          </w:p>
        </w:tc>
        <w:tc>
          <w:tcPr>
            <w:tcW w:w="907" w:type="dxa"/>
            <w:shd w:val="clear" w:color="auto" w:fill="auto"/>
          </w:tcPr>
          <w:p w:rsidR="006D2D1A" w:rsidRDefault="006D2D1A" w:rsidP="008429FD">
            <w:pPr>
              <w:pStyle w:val="AppendixTableText"/>
            </w:pPr>
            <w:r>
              <w:t>6/11/2003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1747</w:t>
            </w:r>
          </w:p>
        </w:tc>
        <w:tc>
          <w:tcPr>
            <w:tcW w:w="2333" w:type="dxa"/>
            <w:shd w:val="clear" w:color="auto" w:fill="auto"/>
          </w:tcPr>
          <w:p w:rsidR="006D2D1A" w:rsidRDefault="006D2D1A" w:rsidP="008429FD">
            <w:pPr>
              <w:pStyle w:val="AppendixTableText"/>
            </w:pPr>
            <w:r>
              <w:t>Horsham Downs School</w:t>
            </w:r>
          </w:p>
        </w:tc>
        <w:tc>
          <w:tcPr>
            <w:tcW w:w="907" w:type="dxa"/>
            <w:shd w:val="clear" w:color="auto" w:fill="auto"/>
          </w:tcPr>
          <w:p w:rsidR="006D2D1A" w:rsidRDefault="006D2D1A" w:rsidP="008429FD">
            <w:pPr>
              <w:pStyle w:val="AppendixTableText"/>
            </w:pPr>
            <w:r>
              <w:t>15/07/2009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2861</w:t>
            </w:r>
          </w:p>
        </w:tc>
        <w:tc>
          <w:tcPr>
            <w:tcW w:w="2333" w:type="dxa"/>
            <w:shd w:val="clear" w:color="auto" w:fill="auto"/>
          </w:tcPr>
          <w:p w:rsidR="006D2D1A" w:rsidRDefault="006D2D1A" w:rsidP="008429FD">
            <w:pPr>
              <w:pStyle w:val="AppendixTableText"/>
            </w:pPr>
            <w:r>
              <w:t>Houghton Valley School</w:t>
            </w:r>
          </w:p>
        </w:tc>
        <w:tc>
          <w:tcPr>
            <w:tcW w:w="907" w:type="dxa"/>
            <w:shd w:val="clear" w:color="auto" w:fill="auto"/>
          </w:tcPr>
          <w:p w:rsidR="006D2D1A" w:rsidRDefault="006D2D1A" w:rsidP="008429FD">
            <w:pPr>
              <w:pStyle w:val="AppendixTableText"/>
            </w:pPr>
            <w:r>
              <w:t>16/09/2005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87</w:t>
            </w:r>
          </w:p>
        </w:tc>
        <w:tc>
          <w:tcPr>
            <w:tcW w:w="2333" w:type="dxa"/>
            <w:shd w:val="clear" w:color="auto" w:fill="auto"/>
          </w:tcPr>
          <w:p w:rsidR="006D2D1A" w:rsidRDefault="006D2D1A" w:rsidP="008429FD">
            <w:pPr>
              <w:pStyle w:val="AppendixTableText"/>
            </w:pPr>
            <w:r>
              <w:t>Howick College</w:t>
            </w:r>
          </w:p>
        </w:tc>
        <w:tc>
          <w:tcPr>
            <w:tcW w:w="907" w:type="dxa"/>
            <w:shd w:val="clear" w:color="auto" w:fill="auto"/>
          </w:tcPr>
          <w:p w:rsidR="006D2D1A" w:rsidRDefault="006D2D1A" w:rsidP="008429FD">
            <w:pPr>
              <w:pStyle w:val="AppendixTableText"/>
            </w:pPr>
            <w:r>
              <w:t>6/09/1999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1318</w:t>
            </w:r>
          </w:p>
        </w:tc>
        <w:tc>
          <w:tcPr>
            <w:tcW w:w="2333" w:type="dxa"/>
            <w:shd w:val="clear" w:color="auto" w:fill="auto"/>
          </w:tcPr>
          <w:p w:rsidR="006D2D1A" w:rsidRDefault="006D2D1A" w:rsidP="008429FD">
            <w:pPr>
              <w:pStyle w:val="AppendixTableText"/>
            </w:pPr>
            <w:r>
              <w:t>Howick Intermediate</w:t>
            </w:r>
          </w:p>
        </w:tc>
        <w:tc>
          <w:tcPr>
            <w:tcW w:w="907" w:type="dxa"/>
            <w:shd w:val="clear" w:color="auto" w:fill="auto"/>
          </w:tcPr>
          <w:p w:rsidR="006D2D1A" w:rsidRDefault="006D2D1A" w:rsidP="008429FD">
            <w:pPr>
              <w:pStyle w:val="AppendixTableText"/>
            </w:pPr>
            <w:r>
              <w:t>29/05/2003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1749</w:t>
            </w:r>
          </w:p>
        </w:tc>
        <w:tc>
          <w:tcPr>
            <w:tcW w:w="2333" w:type="dxa"/>
            <w:shd w:val="clear" w:color="auto" w:fill="auto"/>
          </w:tcPr>
          <w:p w:rsidR="006D2D1A" w:rsidRDefault="006D2D1A" w:rsidP="008429FD">
            <w:pPr>
              <w:pStyle w:val="AppendixTableText"/>
            </w:pPr>
            <w:r>
              <w:t>Hukanui School</w:t>
            </w:r>
          </w:p>
        </w:tc>
        <w:tc>
          <w:tcPr>
            <w:tcW w:w="907" w:type="dxa"/>
            <w:shd w:val="clear" w:color="auto" w:fill="auto"/>
          </w:tcPr>
          <w:p w:rsidR="006D2D1A" w:rsidRDefault="006D2D1A" w:rsidP="008429FD">
            <w:pPr>
              <w:pStyle w:val="AppendixTableText"/>
            </w:pPr>
            <w:r>
              <w:t>20/12/1999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2366</w:t>
            </w:r>
          </w:p>
        </w:tc>
        <w:tc>
          <w:tcPr>
            <w:tcW w:w="2333" w:type="dxa"/>
            <w:shd w:val="clear" w:color="auto" w:fill="auto"/>
          </w:tcPr>
          <w:p w:rsidR="006D2D1A" w:rsidRDefault="006D2D1A" w:rsidP="008429FD">
            <w:pPr>
              <w:pStyle w:val="AppendixTableText"/>
            </w:pPr>
            <w:r>
              <w:t>Hunterville Consolidated School</w:t>
            </w:r>
          </w:p>
        </w:tc>
        <w:tc>
          <w:tcPr>
            <w:tcW w:w="907" w:type="dxa"/>
            <w:shd w:val="clear" w:color="auto" w:fill="auto"/>
          </w:tcPr>
          <w:p w:rsidR="006D2D1A" w:rsidRDefault="006D2D1A" w:rsidP="008429FD">
            <w:pPr>
              <w:pStyle w:val="AppendixTableText"/>
            </w:pPr>
            <w:r>
              <w:t>6/11/2007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1018</w:t>
            </w:r>
          </w:p>
        </w:tc>
        <w:tc>
          <w:tcPr>
            <w:tcW w:w="2333" w:type="dxa"/>
            <w:shd w:val="clear" w:color="auto" w:fill="auto"/>
          </w:tcPr>
          <w:p w:rsidR="006D2D1A" w:rsidRDefault="006D2D1A" w:rsidP="008429FD">
            <w:pPr>
              <w:pStyle w:val="AppendixTableText"/>
            </w:pPr>
            <w:r>
              <w:t>Hurupaki School</w:t>
            </w:r>
          </w:p>
        </w:tc>
        <w:tc>
          <w:tcPr>
            <w:tcW w:w="907" w:type="dxa"/>
            <w:shd w:val="clear" w:color="auto" w:fill="auto"/>
          </w:tcPr>
          <w:p w:rsidR="006D2D1A" w:rsidRDefault="006D2D1A" w:rsidP="008429FD">
            <w:pPr>
              <w:pStyle w:val="AppendixTableText"/>
            </w:pPr>
            <w:r>
              <w:t>12/09/2005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2862</w:t>
            </w:r>
          </w:p>
        </w:tc>
        <w:tc>
          <w:tcPr>
            <w:tcW w:w="2333" w:type="dxa"/>
            <w:shd w:val="clear" w:color="auto" w:fill="auto"/>
          </w:tcPr>
          <w:p w:rsidR="006D2D1A" w:rsidRDefault="006D2D1A" w:rsidP="008429FD">
            <w:pPr>
              <w:pStyle w:val="AppendixTableText"/>
            </w:pPr>
            <w:r>
              <w:t>Hutt Central School</w:t>
            </w:r>
          </w:p>
        </w:tc>
        <w:tc>
          <w:tcPr>
            <w:tcW w:w="907" w:type="dxa"/>
            <w:shd w:val="clear" w:color="auto" w:fill="auto"/>
          </w:tcPr>
          <w:p w:rsidR="006D2D1A" w:rsidRDefault="006D2D1A" w:rsidP="008429FD">
            <w:pPr>
              <w:pStyle w:val="AppendixTableText"/>
            </w:pPr>
            <w:r>
              <w:t>5/05/2006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2863</w:t>
            </w:r>
          </w:p>
        </w:tc>
        <w:tc>
          <w:tcPr>
            <w:tcW w:w="2333" w:type="dxa"/>
            <w:shd w:val="clear" w:color="auto" w:fill="auto"/>
          </w:tcPr>
          <w:p w:rsidR="006D2D1A" w:rsidRDefault="006D2D1A" w:rsidP="008429FD">
            <w:pPr>
              <w:pStyle w:val="AppendixTableText"/>
            </w:pPr>
            <w:r>
              <w:t>Hutt Intermediate</w:t>
            </w:r>
          </w:p>
        </w:tc>
        <w:tc>
          <w:tcPr>
            <w:tcW w:w="907" w:type="dxa"/>
            <w:shd w:val="clear" w:color="auto" w:fill="auto"/>
          </w:tcPr>
          <w:p w:rsidR="006D2D1A" w:rsidRDefault="006D2D1A" w:rsidP="008429FD">
            <w:pPr>
              <w:pStyle w:val="AppendixTableText"/>
            </w:pPr>
            <w:r>
              <w:t>5/10/1999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261</w:t>
            </w:r>
          </w:p>
        </w:tc>
        <w:tc>
          <w:tcPr>
            <w:tcW w:w="2333" w:type="dxa"/>
            <w:shd w:val="clear" w:color="auto" w:fill="auto"/>
          </w:tcPr>
          <w:p w:rsidR="006D2D1A" w:rsidRDefault="006D2D1A" w:rsidP="008429FD">
            <w:pPr>
              <w:pStyle w:val="AppendixTableText"/>
            </w:pPr>
            <w:r>
              <w:t>Hutt Valley High School</w:t>
            </w:r>
          </w:p>
        </w:tc>
        <w:tc>
          <w:tcPr>
            <w:tcW w:w="907" w:type="dxa"/>
            <w:shd w:val="clear" w:color="auto" w:fill="auto"/>
          </w:tcPr>
          <w:p w:rsidR="006D2D1A" w:rsidRDefault="006D2D1A" w:rsidP="008429FD">
            <w:pPr>
              <w:pStyle w:val="AppendixTableText"/>
            </w:pPr>
            <w:r>
              <w:t>21/12/1999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3384</w:t>
            </w:r>
          </w:p>
        </w:tc>
        <w:tc>
          <w:tcPr>
            <w:tcW w:w="2333" w:type="dxa"/>
            <w:shd w:val="clear" w:color="auto" w:fill="auto"/>
          </w:tcPr>
          <w:p w:rsidR="006D2D1A" w:rsidRDefault="006D2D1A" w:rsidP="008429FD">
            <w:pPr>
              <w:pStyle w:val="AppendixTableText"/>
            </w:pPr>
            <w:r>
              <w:t>Ilam School</w:t>
            </w:r>
          </w:p>
        </w:tc>
        <w:tc>
          <w:tcPr>
            <w:tcW w:w="907" w:type="dxa"/>
            <w:shd w:val="clear" w:color="auto" w:fill="auto"/>
          </w:tcPr>
          <w:p w:rsidR="006D2D1A" w:rsidRDefault="006D2D1A" w:rsidP="008429FD">
            <w:pPr>
              <w:pStyle w:val="AppendixTableText"/>
            </w:pPr>
            <w:r>
              <w:t>27/07/2001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2581</w:t>
            </w:r>
          </w:p>
        </w:tc>
        <w:tc>
          <w:tcPr>
            <w:tcW w:w="2333" w:type="dxa"/>
            <w:shd w:val="clear" w:color="auto" w:fill="auto"/>
          </w:tcPr>
          <w:p w:rsidR="006D2D1A" w:rsidRDefault="006D2D1A" w:rsidP="008429FD">
            <w:pPr>
              <w:pStyle w:val="AppendixTableText"/>
            </w:pPr>
            <w:r>
              <w:t>Ilminster Intermediate</w:t>
            </w:r>
          </w:p>
        </w:tc>
        <w:tc>
          <w:tcPr>
            <w:tcW w:w="907" w:type="dxa"/>
            <w:shd w:val="clear" w:color="auto" w:fill="auto"/>
          </w:tcPr>
          <w:p w:rsidR="006D2D1A" w:rsidRDefault="006D2D1A" w:rsidP="008429FD">
            <w:pPr>
              <w:pStyle w:val="AppendixTableText"/>
            </w:pPr>
            <w:r>
              <w:t>29/04/2002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3966</w:t>
            </w:r>
          </w:p>
        </w:tc>
        <w:tc>
          <w:tcPr>
            <w:tcW w:w="2333" w:type="dxa"/>
            <w:shd w:val="clear" w:color="auto" w:fill="auto"/>
          </w:tcPr>
          <w:p w:rsidR="006D2D1A" w:rsidRDefault="006D2D1A" w:rsidP="008429FD">
            <w:pPr>
              <w:pStyle w:val="AppendixTableText"/>
            </w:pPr>
            <w:r>
              <w:t>Invercargill Middle School</w:t>
            </w:r>
          </w:p>
        </w:tc>
        <w:tc>
          <w:tcPr>
            <w:tcW w:w="907" w:type="dxa"/>
            <w:shd w:val="clear" w:color="auto" w:fill="auto"/>
          </w:tcPr>
          <w:p w:rsidR="006D2D1A" w:rsidRDefault="006D2D1A" w:rsidP="008429FD">
            <w:pPr>
              <w:pStyle w:val="AppendixTableText"/>
            </w:pPr>
            <w:r>
              <w:t>15/11/2005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224</w:t>
            </w:r>
          </w:p>
        </w:tc>
        <w:tc>
          <w:tcPr>
            <w:tcW w:w="2333" w:type="dxa"/>
            <w:shd w:val="clear" w:color="auto" w:fill="auto"/>
          </w:tcPr>
          <w:p w:rsidR="006D2D1A" w:rsidRDefault="006D2D1A" w:rsidP="008429FD">
            <w:pPr>
              <w:pStyle w:val="AppendixTableText"/>
            </w:pPr>
            <w:r>
              <w:t>Iona College</w:t>
            </w:r>
          </w:p>
        </w:tc>
        <w:tc>
          <w:tcPr>
            <w:tcW w:w="907" w:type="dxa"/>
            <w:shd w:val="clear" w:color="auto" w:fill="auto"/>
          </w:tcPr>
          <w:p w:rsidR="006D2D1A" w:rsidRDefault="006D2D1A" w:rsidP="008429FD">
            <w:pPr>
              <w:pStyle w:val="AppendixTableText"/>
            </w:pPr>
            <w:r>
              <w:t>2/04/2004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2865</w:t>
            </w:r>
          </w:p>
        </w:tc>
        <w:tc>
          <w:tcPr>
            <w:tcW w:w="2333" w:type="dxa"/>
            <w:shd w:val="clear" w:color="auto" w:fill="auto"/>
          </w:tcPr>
          <w:p w:rsidR="006D2D1A" w:rsidRDefault="006D2D1A" w:rsidP="008429FD">
            <w:pPr>
              <w:pStyle w:val="AppendixTableText"/>
            </w:pPr>
            <w:r>
              <w:t>Island Bay School</w:t>
            </w:r>
          </w:p>
        </w:tc>
        <w:tc>
          <w:tcPr>
            <w:tcW w:w="907" w:type="dxa"/>
            <w:shd w:val="clear" w:color="auto" w:fill="auto"/>
          </w:tcPr>
          <w:p w:rsidR="006D2D1A" w:rsidRDefault="006D2D1A" w:rsidP="008429FD">
            <w:pPr>
              <w:pStyle w:val="AppendixTableText"/>
            </w:pPr>
            <w:r>
              <w:t>7/11/2005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552</w:t>
            </w:r>
          </w:p>
        </w:tc>
        <w:tc>
          <w:tcPr>
            <w:tcW w:w="2333" w:type="dxa"/>
            <w:shd w:val="clear" w:color="auto" w:fill="auto"/>
          </w:tcPr>
          <w:p w:rsidR="006D2D1A" w:rsidRDefault="006D2D1A" w:rsidP="008429FD">
            <w:pPr>
              <w:pStyle w:val="AppendixTableText"/>
            </w:pPr>
            <w:r>
              <w:t>James Hargest College</w:t>
            </w:r>
          </w:p>
        </w:tc>
        <w:tc>
          <w:tcPr>
            <w:tcW w:w="907" w:type="dxa"/>
            <w:shd w:val="clear" w:color="auto" w:fill="auto"/>
          </w:tcPr>
          <w:p w:rsidR="006D2D1A" w:rsidRDefault="006D2D1A" w:rsidP="008429FD">
            <w:pPr>
              <w:pStyle w:val="AppendixTableText"/>
            </w:pPr>
            <w:r>
              <w:t>13/05/2005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387</w:t>
            </w:r>
          </w:p>
        </w:tc>
        <w:tc>
          <w:tcPr>
            <w:tcW w:w="2333" w:type="dxa"/>
            <w:shd w:val="clear" w:color="auto" w:fill="auto"/>
          </w:tcPr>
          <w:p w:rsidR="006D2D1A" w:rsidRDefault="006D2D1A" w:rsidP="008429FD">
            <w:pPr>
              <w:pStyle w:val="AppendixTableText"/>
            </w:pPr>
            <w:r>
              <w:t>John McGlashan College</w:t>
            </w:r>
          </w:p>
        </w:tc>
        <w:tc>
          <w:tcPr>
            <w:tcW w:w="907" w:type="dxa"/>
            <w:shd w:val="clear" w:color="auto" w:fill="auto"/>
          </w:tcPr>
          <w:p w:rsidR="006D2D1A" w:rsidRDefault="006D2D1A" w:rsidP="008429FD">
            <w:pPr>
              <w:pStyle w:val="AppendixTableText"/>
            </w:pPr>
            <w:r>
              <w:t>7/07/2004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532</w:t>
            </w:r>
          </w:p>
        </w:tc>
        <w:tc>
          <w:tcPr>
            <w:tcW w:w="2333" w:type="dxa"/>
            <w:shd w:val="clear" w:color="auto" w:fill="auto"/>
          </w:tcPr>
          <w:p w:rsidR="006D2D1A" w:rsidRDefault="006D2D1A" w:rsidP="008429FD">
            <w:pPr>
              <w:pStyle w:val="AppendixTableText"/>
            </w:pPr>
            <w:r>
              <w:t>John Paul College</w:t>
            </w:r>
          </w:p>
        </w:tc>
        <w:tc>
          <w:tcPr>
            <w:tcW w:w="907" w:type="dxa"/>
            <w:shd w:val="clear" w:color="auto" w:fill="auto"/>
          </w:tcPr>
          <w:p w:rsidR="006D2D1A" w:rsidRDefault="006D2D1A" w:rsidP="008429FD">
            <w:pPr>
              <w:pStyle w:val="AppendixTableText"/>
            </w:pPr>
            <w:r>
              <w:t>5/02/2007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2866</w:t>
            </w:r>
          </w:p>
        </w:tc>
        <w:tc>
          <w:tcPr>
            <w:tcW w:w="2333" w:type="dxa"/>
            <w:shd w:val="clear" w:color="auto" w:fill="auto"/>
          </w:tcPr>
          <w:p w:rsidR="006D2D1A" w:rsidRDefault="006D2D1A" w:rsidP="008429FD">
            <w:pPr>
              <w:pStyle w:val="AppendixTableText"/>
            </w:pPr>
            <w:r>
              <w:t>Johnsonville School</w:t>
            </w:r>
          </w:p>
        </w:tc>
        <w:tc>
          <w:tcPr>
            <w:tcW w:w="907" w:type="dxa"/>
            <w:shd w:val="clear" w:color="auto" w:fill="auto"/>
          </w:tcPr>
          <w:p w:rsidR="006D2D1A" w:rsidRDefault="006D2D1A" w:rsidP="008429FD">
            <w:pPr>
              <w:pStyle w:val="AppendixTableText"/>
            </w:pPr>
            <w:r>
              <w:t>7/01/2004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1756</w:t>
            </w:r>
          </w:p>
        </w:tc>
        <w:tc>
          <w:tcPr>
            <w:tcW w:w="2333" w:type="dxa"/>
            <w:shd w:val="clear" w:color="auto" w:fill="auto"/>
          </w:tcPr>
          <w:p w:rsidR="006D2D1A" w:rsidRDefault="006D2D1A" w:rsidP="008429FD">
            <w:pPr>
              <w:pStyle w:val="AppendixTableText"/>
            </w:pPr>
            <w:r>
              <w:t>Kaharoa School</w:t>
            </w:r>
          </w:p>
        </w:tc>
        <w:tc>
          <w:tcPr>
            <w:tcW w:w="907" w:type="dxa"/>
            <w:shd w:val="clear" w:color="auto" w:fill="auto"/>
          </w:tcPr>
          <w:p w:rsidR="006D2D1A" w:rsidRDefault="006D2D1A" w:rsidP="008429FD">
            <w:pPr>
              <w:pStyle w:val="AppendixTableText"/>
            </w:pPr>
            <w:r>
              <w:t>21/08/2001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2369</w:t>
            </w:r>
          </w:p>
        </w:tc>
        <w:tc>
          <w:tcPr>
            <w:tcW w:w="2333" w:type="dxa"/>
            <w:shd w:val="clear" w:color="auto" w:fill="auto"/>
          </w:tcPr>
          <w:p w:rsidR="006D2D1A" w:rsidRDefault="006D2D1A" w:rsidP="008429FD">
            <w:pPr>
              <w:pStyle w:val="AppendixTableText"/>
            </w:pPr>
            <w:r>
              <w:t>Kai Iwi School</w:t>
            </w:r>
          </w:p>
        </w:tc>
        <w:tc>
          <w:tcPr>
            <w:tcW w:w="907" w:type="dxa"/>
            <w:shd w:val="clear" w:color="auto" w:fill="auto"/>
          </w:tcPr>
          <w:p w:rsidR="006D2D1A" w:rsidRDefault="006D2D1A" w:rsidP="008429FD">
            <w:pPr>
              <w:pStyle w:val="AppendixTableText"/>
            </w:pPr>
            <w:r>
              <w:t>27/06/2008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3388</w:t>
            </w:r>
          </w:p>
        </w:tc>
        <w:tc>
          <w:tcPr>
            <w:tcW w:w="2333" w:type="dxa"/>
            <w:shd w:val="clear" w:color="auto" w:fill="auto"/>
          </w:tcPr>
          <w:p w:rsidR="006D2D1A" w:rsidRDefault="006D2D1A" w:rsidP="008429FD">
            <w:pPr>
              <w:pStyle w:val="AppendixTableText"/>
            </w:pPr>
            <w:r>
              <w:t>Kaiapoi Borough School</w:t>
            </w:r>
          </w:p>
        </w:tc>
        <w:tc>
          <w:tcPr>
            <w:tcW w:w="907" w:type="dxa"/>
            <w:shd w:val="clear" w:color="auto" w:fill="auto"/>
          </w:tcPr>
          <w:p w:rsidR="006D2D1A" w:rsidRDefault="006D2D1A" w:rsidP="008429FD">
            <w:pPr>
              <w:pStyle w:val="AppendixTableText"/>
            </w:pPr>
            <w:r>
              <w:t>2/03/2006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314</w:t>
            </w:r>
          </w:p>
        </w:tc>
        <w:tc>
          <w:tcPr>
            <w:tcW w:w="2333" w:type="dxa"/>
            <w:shd w:val="clear" w:color="auto" w:fill="auto"/>
          </w:tcPr>
          <w:p w:rsidR="006D2D1A" w:rsidRDefault="006D2D1A" w:rsidP="008429FD">
            <w:pPr>
              <w:pStyle w:val="AppendixTableText"/>
            </w:pPr>
            <w:r>
              <w:t>Kaiapoi High School</w:t>
            </w:r>
          </w:p>
        </w:tc>
        <w:tc>
          <w:tcPr>
            <w:tcW w:w="907" w:type="dxa"/>
            <w:shd w:val="clear" w:color="auto" w:fill="auto"/>
          </w:tcPr>
          <w:p w:rsidR="006D2D1A" w:rsidRDefault="006D2D1A" w:rsidP="008429FD">
            <w:pPr>
              <w:pStyle w:val="AppendixTableText"/>
            </w:pPr>
            <w:r>
              <w:t>19/10/2007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3389</w:t>
            </w:r>
          </w:p>
        </w:tc>
        <w:tc>
          <w:tcPr>
            <w:tcW w:w="2333" w:type="dxa"/>
            <w:shd w:val="clear" w:color="auto" w:fill="auto"/>
          </w:tcPr>
          <w:p w:rsidR="006D2D1A" w:rsidRDefault="006D2D1A" w:rsidP="008429FD">
            <w:pPr>
              <w:pStyle w:val="AppendixTableText"/>
            </w:pPr>
            <w:r>
              <w:t>Kaiapoi North School</w:t>
            </w:r>
          </w:p>
        </w:tc>
        <w:tc>
          <w:tcPr>
            <w:tcW w:w="907" w:type="dxa"/>
            <w:shd w:val="clear" w:color="auto" w:fill="auto"/>
          </w:tcPr>
          <w:p w:rsidR="006D2D1A" w:rsidRDefault="006D2D1A" w:rsidP="008429FD">
            <w:pPr>
              <w:pStyle w:val="AppendixTableText"/>
            </w:pPr>
            <w:r>
              <w:t>1/07/2005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3753</w:t>
            </w:r>
          </w:p>
        </w:tc>
        <w:tc>
          <w:tcPr>
            <w:tcW w:w="2333" w:type="dxa"/>
            <w:shd w:val="clear" w:color="auto" w:fill="auto"/>
          </w:tcPr>
          <w:p w:rsidR="006D2D1A" w:rsidRDefault="006D2D1A" w:rsidP="008429FD">
            <w:pPr>
              <w:pStyle w:val="AppendixTableText"/>
            </w:pPr>
            <w:r>
              <w:t>Kaikorai School</w:t>
            </w:r>
          </w:p>
        </w:tc>
        <w:tc>
          <w:tcPr>
            <w:tcW w:w="907" w:type="dxa"/>
            <w:shd w:val="clear" w:color="auto" w:fill="auto"/>
          </w:tcPr>
          <w:p w:rsidR="006D2D1A" w:rsidRDefault="006D2D1A" w:rsidP="008429FD">
            <w:pPr>
              <w:pStyle w:val="AppendixTableText"/>
            </w:pPr>
            <w:r>
              <w:t>15/02/2007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2370</w:t>
            </w:r>
          </w:p>
        </w:tc>
        <w:tc>
          <w:tcPr>
            <w:tcW w:w="2333" w:type="dxa"/>
            <w:shd w:val="clear" w:color="auto" w:fill="auto"/>
          </w:tcPr>
          <w:p w:rsidR="006D2D1A" w:rsidRDefault="006D2D1A" w:rsidP="008429FD">
            <w:pPr>
              <w:pStyle w:val="AppendixTableText"/>
            </w:pPr>
            <w:r>
              <w:t>Kairanga School</w:t>
            </w:r>
          </w:p>
        </w:tc>
        <w:tc>
          <w:tcPr>
            <w:tcW w:w="907" w:type="dxa"/>
            <w:shd w:val="clear" w:color="auto" w:fill="auto"/>
          </w:tcPr>
          <w:p w:rsidR="006D2D1A" w:rsidRDefault="006D2D1A" w:rsidP="008429FD">
            <w:pPr>
              <w:pStyle w:val="AppendixTableText"/>
            </w:pPr>
            <w:r>
              <w:t>14/04/2011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2372</w:t>
            </w:r>
          </w:p>
        </w:tc>
        <w:tc>
          <w:tcPr>
            <w:tcW w:w="2333" w:type="dxa"/>
            <w:shd w:val="clear" w:color="auto" w:fill="auto"/>
          </w:tcPr>
          <w:p w:rsidR="006D2D1A" w:rsidRDefault="006D2D1A" w:rsidP="008429FD">
            <w:pPr>
              <w:pStyle w:val="AppendixTableText"/>
            </w:pPr>
            <w:r>
              <w:t>Kaitoke School (Wanganui)</w:t>
            </w:r>
          </w:p>
        </w:tc>
        <w:tc>
          <w:tcPr>
            <w:tcW w:w="907" w:type="dxa"/>
            <w:shd w:val="clear" w:color="auto" w:fill="auto"/>
          </w:tcPr>
          <w:p w:rsidR="006D2D1A" w:rsidRDefault="006D2D1A" w:rsidP="008429FD">
            <w:pPr>
              <w:pStyle w:val="AppendixTableText"/>
            </w:pPr>
            <w:r>
              <w:t>10/07/2007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1030</w:t>
            </w:r>
          </w:p>
        </w:tc>
        <w:tc>
          <w:tcPr>
            <w:tcW w:w="2333" w:type="dxa"/>
            <w:shd w:val="clear" w:color="auto" w:fill="auto"/>
          </w:tcPr>
          <w:p w:rsidR="006D2D1A" w:rsidRDefault="006D2D1A" w:rsidP="008429FD">
            <w:pPr>
              <w:pStyle w:val="AppendixTableText"/>
            </w:pPr>
            <w:r>
              <w:t>Kamo School</w:t>
            </w:r>
          </w:p>
        </w:tc>
        <w:tc>
          <w:tcPr>
            <w:tcW w:w="907" w:type="dxa"/>
            <w:shd w:val="clear" w:color="auto" w:fill="auto"/>
          </w:tcPr>
          <w:p w:rsidR="006D2D1A" w:rsidRDefault="006D2D1A" w:rsidP="008429FD">
            <w:pPr>
              <w:pStyle w:val="AppendixTableText"/>
            </w:pPr>
            <w:r>
              <w:t>14/11/2006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3393</w:t>
            </w:r>
          </w:p>
        </w:tc>
        <w:tc>
          <w:tcPr>
            <w:tcW w:w="2333" w:type="dxa"/>
            <w:shd w:val="clear" w:color="auto" w:fill="auto"/>
          </w:tcPr>
          <w:p w:rsidR="006D2D1A" w:rsidRDefault="006D2D1A" w:rsidP="008429FD">
            <w:pPr>
              <w:pStyle w:val="AppendixTableText"/>
            </w:pPr>
            <w:r>
              <w:t>Kaniere School</w:t>
            </w:r>
          </w:p>
        </w:tc>
        <w:tc>
          <w:tcPr>
            <w:tcW w:w="907" w:type="dxa"/>
            <w:shd w:val="clear" w:color="auto" w:fill="auto"/>
          </w:tcPr>
          <w:p w:rsidR="006D2D1A" w:rsidRDefault="006D2D1A" w:rsidP="008429FD">
            <w:pPr>
              <w:pStyle w:val="AppendixTableText"/>
            </w:pPr>
            <w:r>
              <w:t>14/12/2006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2871</w:t>
            </w:r>
          </w:p>
        </w:tc>
        <w:tc>
          <w:tcPr>
            <w:tcW w:w="2333" w:type="dxa"/>
            <w:shd w:val="clear" w:color="auto" w:fill="auto"/>
          </w:tcPr>
          <w:p w:rsidR="006D2D1A" w:rsidRDefault="006D2D1A" w:rsidP="008429FD">
            <w:pPr>
              <w:pStyle w:val="AppendixTableText"/>
            </w:pPr>
            <w:r>
              <w:t>Kapanui School</w:t>
            </w:r>
          </w:p>
        </w:tc>
        <w:tc>
          <w:tcPr>
            <w:tcW w:w="907" w:type="dxa"/>
            <w:shd w:val="clear" w:color="auto" w:fill="auto"/>
          </w:tcPr>
          <w:p w:rsidR="006D2D1A" w:rsidRDefault="006D2D1A" w:rsidP="008429FD">
            <w:pPr>
              <w:pStyle w:val="AppendixTableText"/>
            </w:pPr>
            <w:r>
              <w:t>7/09/1999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1325</w:t>
            </w:r>
          </w:p>
        </w:tc>
        <w:tc>
          <w:tcPr>
            <w:tcW w:w="2333" w:type="dxa"/>
            <w:shd w:val="clear" w:color="auto" w:fill="auto"/>
          </w:tcPr>
          <w:p w:rsidR="006D2D1A" w:rsidRDefault="006D2D1A" w:rsidP="008429FD">
            <w:pPr>
              <w:pStyle w:val="AppendixTableText"/>
            </w:pPr>
            <w:r>
              <w:t>Karaka School</w:t>
            </w:r>
          </w:p>
        </w:tc>
        <w:tc>
          <w:tcPr>
            <w:tcW w:w="907" w:type="dxa"/>
            <w:shd w:val="clear" w:color="auto" w:fill="auto"/>
          </w:tcPr>
          <w:p w:rsidR="006D2D1A" w:rsidRDefault="006D2D1A" w:rsidP="008429FD">
            <w:pPr>
              <w:pStyle w:val="AppendixTableText"/>
            </w:pPr>
            <w:r>
              <w:t>1/08/2006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229</w:t>
            </w:r>
          </w:p>
        </w:tc>
        <w:tc>
          <w:tcPr>
            <w:tcW w:w="2333" w:type="dxa"/>
            <w:shd w:val="clear" w:color="auto" w:fill="auto"/>
          </w:tcPr>
          <w:p w:rsidR="006D2D1A" w:rsidRDefault="006D2D1A" w:rsidP="008429FD">
            <w:pPr>
              <w:pStyle w:val="AppendixTableText"/>
            </w:pPr>
            <w:r>
              <w:t>Karamu High School</w:t>
            </w:r>
          </w:p>
        </w:tc>
        <w:tc>
          <w:tcPr>
            <w:tcW w:w="907" w:type="dxa"/>
            <w:shd w:val="clear" w:color="auto" w:fill="auto"/>
          </w:tcPr>
          <w:p w:rsidR="006D2D1A" w:rsidRDefault="006D2D1A" w:rsidP="008429FD">
            <w:pPr>
              <w:pStyle w:val="AppendixTableText"/>
            </w:pPr>
            <w:r>
              <w:t>24/04/2002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2874</w:t>
            </w:r>
          </w:p>
        </w:tc>
        <w:tc>
          <w:tcPr>
            <w:tcW w:w="2333" w:type="dxa"/>
            <w:shd w:val="clear" w:color="auto" w:fill="auto"/>
          </w:tcPr>
          <w:p w:rsidR="006D2D1A" w:rsidRDefault="006D2D1A" w:rsidP="008429FD">
            <w:pPr>
              <w:pStyle w:val="AppendixTableText"/>
            </w:pPr>
            <w:r>
              <w:t>Karori Normal School</w:t>
            </w:r>
          </w:p>
        </w:tc>
        <w:tc>
          <w:tcPr>
            <w:tcW w:w="907" w:type="dxa"/>
            <w:shd w:val="clear" w:color="auto" w:fill="auto"/>
          </w:tcPr>
          <w:p w:rsidR="006D2D1A" w:rsidRDefault="006D2D1A" w:rsidP="008429FD">
            <w:pPr>
              <w:pStyle w:val="AppendixTableText"/>
            </w:pPr>
            <w:r>
              <w:t>14/12/1999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2875</w:t>
            </w:r>
          </w:p>
        </w:tc>
        <w:tc>
          <w:tcPr>
            <w:tcW w:w="2333" w:type="dxa"/>
            <w:shd w:val="clear" w:color="auto" w:fill="auto"/>
          </w:tcPr>
          <w:p w:rsidR="006D2D1A" w:rsidRDefault="006D2D1A" w:rsidP="008429FD">
            <w:pPr>
              <w:pStyle w:val="AppendixTableText"/>
            </w:pPr>
            <w:r>
              <w:t>Karori West Normal School</w:t>
            </w:r>
          </w:p>
        </w:tc>
        <w:tc>
          <w:tcPr>
            <w:tcW w:w="907" w:type="dxa"/>
            <w:shd w:val="clear" w:color="auto" w:fill="auto"/>
          </w:tcPr>
          <w:p w:rsidR="006D2D1A" w:rsidRDefault="006D2D1A" w:rsidP="008429FD">
            <w:pPr>
              <w:pStyle w:val="AppendixTableText"/>
            </w:pPr>
            <w:r>
              <w:t>27/04/2010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3394</w:t>
            </w:r>
          </w:p>
        </w:tc>
        <w:tc>
          <w:tcPr>
            <w:tcW w:w="2333" w:type="dxa"/>
            <w:shd w:val="clear" w:color="auto" w:fill="auto"/>
          </w:tcPr>
          <w:p w:rsidR="006D2D1A" w:rsidRDefault="006D2D1A" w:rsidP="008429FD">
            <w:pPr>
              <w:pStyle w:val="AppendixTableText"/>
            </w:pPr>
            <w:r>
              <w:t>Karoro School</w:t>
            </w:r>
          </w:p>
        </w:tc>
        <w:tc>
          <w:tcPr>
            <w:tcW w:w="907" w:type="dxa"/>
            <w:shd w:val="clear" w:color="auto" w:fill="auto"/>
          </w:tcPr>
          <w:p w:rsidR="006D2D1A" w:rsidRDefault="006D2D1A" w:rsidP="008429FD">
            <w:pPr>
              <w:pStyle w:val="AppendixTableText"/>
            </w:pPr>
            <w:r>
              <w:t>12/05/2009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1326</w:t>
            </w:r>
          </w:p>
        </w:tc>
        <w:tc>
          <w:tcPr>
            <w:tcW w:w="2333" w:type="dxa"/>
            <w:shd w:val="clear" w:color="auto" w:fill="auto"/>
          </w:tcPr>
          <w:p w:rsidR="006D2D1A" w:rsidRDefault="006D2D1A" w:rsidP="008429FD">
            <w:pPr>
              <w:pStyle w:val="AppendixTableText"/>
            </w:pPr>
            <w:r>
              <w:t>Kaukapakapa School</w:t>
            </w:r>
          </w:p>
        </w:tc>
        <w:tc>
          <w:tcPr>
            <w:tcW w:w="907" w:type="dxa"/>
            <w:shd w:val="clear" w:color="auto" w:fill="auto"/>
          </w:tcPr>
          <w:p w:rsidR="006D2D1A" w:rsidRDefault="006D2D1A" w:rsidP="008429FD">
            <w:pPr>
              <w:pStyle w:val="AppendixTableText"/>
            </w:pPr>
            <w:r>
              <w:t>17/12/2009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1327</w:t>
            </w:r>
          </w:p>
        </w:tc>
        <w:tc>
          <w:tcPr>
            <w:tcW w:w="2333" w:type="dxa"/>
            <w:shd w:val="clear" w:color="auto" w:fill="auto"/>
          </w:tcPr>
          <w:p w:rsidR="006D2D1A" w:rsidRDefault="006D2D1A" w:rsidP="008429FD">
            <w:pPr>
              <w:pStyle w:val="AppendixTableText"/>
            </w:pPr>
            <w:r>
              <w:t>Kauri Park School</w:t>
            </w:r>
          </w:p>
        </w:tc>
        <w:tc>
          <w:tcPr>
            <w:tcW w:w="907" w:type="dxa"/>
            <w:shd w:val="clear" w:color="auto" w:fill="auto"/>
          </w:tcPr>
          <w:p w:rsidR="006D2D1A" w:rsidRDefault="006D2D1A" w:rsidP="008429FD">
            <w:pPr>
              <w:pStyle w:val="AppendixTableText"/>
            </w:pPr>
            <w:r>
              <w:t>29/05/2003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1032</w:t>
            </w:r>
          </w:p>
        </w:tc>
        <w:tc>
          <w:tcPr>
            <w:tcW w:w="2333" w:type="dxa"/>
            <w:shd w:val="clear" w:color="auto" w:fill="auto"/>
          </w:tcPr>
          <w:p w:rsidR="006D2D1A" w:rsidRDefault="006D2D1A" w:rsidP="008429FD">
            <w:pPr>
              <w:pStyle w:val="AppendixTableText"/>
            </w:pPr>
            <w:r>
              <w:t>Kaurihohore School</w:t>
            </w:r>
          </w:p>
        </w:tc>
        <w:tc>
          <w:tcPr>
            <w:tcW w:w="907" w:type="dxa"/>
            <w:shd w:val="clear" w:color="auto" w:fill="auto"/>
          </w:tcPr>
          <w:p w:rsidR="006D2D1A" w:rsidRDefault="006D2D1A" w:rsidP="008429FD">
            <w:pPr>
              <w:pStyle w:val="AppendixTableText"/>
            </w:pPr>
            <w:r>
              <w:t>21/04/2009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1328</w:t>
            </w:r>
          </w:p>
        </w:tc>
        <w:tc>
          <w:tcPr>
            <w:tcW w:w="2333" w:type="dxa"/>
            <w:shd w:val="clear" w:color="auto" w:fill="auto"/>
          </w:tcPr>
          <w:p w:rsidR="006D2D1A" w:rsidRDefault="006D2D1A" w:rsidP="008429FD">
            <w:pPr>
              <w:pStyle w:val="AppendixTableText"/>
            </w:pPr>
            <w:r>
              <w:t>Kaurilands School</w:t>
            </w:r>
          </w:p>
        </w:tc>
        <w:tc>
          <w:tcPr>
            <w:tcW w:w="907" w:type="dxa"/>
            <w:shd w:val="clear" w:color="auto" w:fill="auto"/>
          </w:tcPr>
          <w:p w:rsidR="006D2D1A" w:rsidRDefault="006D2D1A" w:rsidP="008429FD">
            <w:pPr>
              <w:pStyle w:val="AppendixTableText"/>
            </w:pPr>
            <w:r>
              <w:t>3/08/1999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536</w:t>
            </w:r>
          </w:p>
        </w:tc>
        <w:tc>
          <w:tcPr>
            <w:tcW w:w="2333" w:type="dxa"/>
            <w:shd w:val="clear" w:color="auto" w:fill="auto"/>
          </w:tcPr>
          <w:p w:rsidR="006D2D1A" w:rsidRDefault="006D2D1A" w:rsidP="008429FD">
            <w:pPr>
              <w:pStyle w:val="AppendixTableText"/>
            </w:pPr>
            <w:r>
              <w:t>Kavanagh College</w:t>
            </w:r>
          </w:p>
        </w:tc>
        <w:tc>
          <w:tcPr>
            <w:tcW w:w="907" w:type="dxa"/>
            <w:shd w:val="clear" w:color="auto" w:fill="auto"/>
          </w:tcPr>
          <w:p w:rsidR="006D2D1A" w:rsidRDefault="006D2D1A" w:rsidP="008429FD">
            <w:pPr>
              <w:pStyle w:val="AppendixTableText"/>
            </w:pPr>
            <w:r>
              <w:t>14/02/2003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1329</w:t>
            </w:r>
          </w:p>
        </w:tc>
        <w:tc>
          <w:tcPr>
            <w:tcW w:w="2333" w:type="dxa"/>
            <w:shd w:val="clear" w:color="auto" w:fill="auto"/>
          </w:tcPr>
          <w:p w:rsidR="006D2D1A" w:rsidRDefault="006D2D1A" w:rsidP="008429FD">
            <w:pPr>
              <w:pStyle w:val="AppendixTableText"/>
            </w:pPr>
            <w:r>
              <w:t>Kedgley Intermediate</w:t>
            </w:r>
          </w:p>
        </w:tc>
        <w:tc>
          <w:tcPr>
            <w:tcW w:w="907" w:type="dxa"/>
            <w:shd w:val="clear" w:color="auto" w:fill="auto"/>
          </w:tcPr>
          <w:p w:rsidR="006D2D1A" w:rsidRDefault="006D2D1A" w:rsidP="008429FD">
            <w:pPr>
              <w:pStyle w:val="AppendixTableText"/>
            </w:pPr>
            <w:r>
              <w:t>30/08/1999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2876</w:t>
            </w:r>
          </w:p>
        </w:tc>
        <w:tc>
          <w:tcPr>
            <w:tcW w:w="2333" w:type="dxa"/>
            <w:shd w:val="clear" w:color="auto" w:fill="auto"/>
          </w:tcPr>
          <w:p w:rsidR="006D2D1A" w:rsidRDefault="006D2D1A" w:rsidP="008429FD">
            <w:pPr>
              <w:pStyle w:val="AppendixTableText"/>
            </w:pPr>
            <w:r>
              <w:t>Kelburn Normal School</w:t>
            </w:r>
          </w:p>
        </w:tc>
        <w:tc>
          <w:tcPr>
            <w:tcW w:w="907" w:type="dxa"/>
            <w:shd w:val="clear" w:color="auto" w:fill="auto"/>
          </w:tcPr>
          <w:p w:rsidR="006D2D1A" w:rsidRDefault="006D2D1A" w:rsidP="008429FD">
            <w:pPr>
              <w:pStyle w:val="AppendixTableText"/>
            </w:pPr>
            <w:r>
              <w:t>5/05/2006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2877</w:t>
            </w:r>
          </w:p>
        </w:tc>
        <w:tc>
          <w:tcPr>
            <w:tcW w:w="2333" w:type="dxa"/>
            <w:shd w:val="clear" w:color="auto" w:fill="auto"/>
          </w:tcPr>
          <w:p w:rsidR="006D2D1A" w:rsidRDefault="006D2D1A" w:rsidP="008429FD">
            <w:pPr>
              <w:pStyle w:val="AppendixTableText"/>
            </w:pPr>
            <w:r>
              <w:t>Kelson School</w:t>
            </w:r>
          </w:p>
        </w:tc>
        <w:tc>
          <w:tcPr>
            <w:tcW w:w="907" w:type="dxa"/>
            <w:shd w:val="clear" w:color="auto" w:fill="auto"/>
          </w:tcPr>
          <w:p w:rsidR="006D2D1A" w:rsidRDefault="006D2D1A" w:rsidP="008429FD">
            <w:pPr>
              <w:pStyle w:val="AppendixTableText"/>
            </w:pPr>
            <w:r>
              <w:t>7/08/2006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1332</w:t>
            </w:r>
          </w:p>
        </w:tc>
        <w:tc>
          <w:tcPr>
            <w:tcW w:w="2333" w:type="dxa"/>
            <w:shd w:val="clear" w:color="auto" w:fill="auto"/>
          </w:tcPr>
          <w:p w:rsidR="006D2D1A" w:rsidRDefault="006D2D1A" w:rsidP="008429FD">
            <w:pPr>
              <w:pStyle w:val="AppendixTableText"/>
            </w:pPr>
            <w:r>
              <w:t>Kelvin Road School</w:t>
            </w:r>
          </w:p>
        </w:tc>
        <w:tc>
          <w:tcPr>
            <w:tcW w:w="907" w:type="dxa"/>
            <w:shd w:val="clear" w:color="auto" w:fill="auto"/>
          </w:tcPr>
          <w:p w:rsidR="006D2D1A" w:rsidRDefault="006D2D1A" w:rsidP="008429FD">
            <w:pPr>
              <w:pStyle w:val="AppendixTableText"/>
            </w:pPr>
            <w:r>
              <w:t>27/04/2004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5</w:t>
            </w:r>
          </w:p>
        </w:tc>
        <w:tc>
          <w:tcPr>
            <w:tcW w:w="2333" w:type="dxa"/>
            <w:shd w:val="clear" w:color="auto" w:fill="auto"/>
          </w:tcPr>
          <w:p w:rsidR="006D2D1A" w:rsidRDefault="006D2D1A" w:rsidP="008429FD">
            <w:pPr>
              <w:pStyle w:val="AppendixTableText"/>
            </w:pPr>
            <w:r>
              <w:t>Kerikeri High School</w:t>
            </w:r>
          </w:p>
        </w:tc>
        <w:tc>
          <w:tcPr>
            <w:tcW w:w="907" w:type="dxa"/>
            <w:shd w:val="clear" w:color="auto" w:fill="auto"/>
          </w:tcPr>
          <w:p w:rsidR="006D2D1A" w:rsidRDefault="006D2D1A" w:rsidP="008429FD">
            <w:pPr>
              <w:pStyle w:val="AppendixTableText"/>
            </w:pPr>
            <w:r>
              <w:t>30/08/1999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1034</w:t>
            </w:r>
          </w:p>
        </w:tc>
        <w:tc>
          <w:tcPr>
            <w:tcW w:w="2333" w:type="dxa"/>
            <w:shd w:val="clear" w:color="auto" w:fill="auto"/>
          </w:tcPr>
          <w:p w:rsidR="006D2D1A" w:rsidRDefault="006D2D1A" w:rsidP="008429FD">
            <w:pPr>
              <w:pStyle w:val="AppendixTableText"/>
            </w:pPr>
            <w:r>
              <w:t>Kerikeri Primary School</w:t>
            </w:r>
          </w:p>
        </w:tc>
        <w:tc>
          <w:tcPr>
            <w:tcW w:w="907" w:type="dxa"/>
            <w:shd w:val="clear" w:color="auto" w:fill="auto"/>
          </w:tcPr>
          <w:p w:rsidR="006D2D1A" w:rsidRDefault="006D2D1A" w:rsidP="008429FD">
            <w:pPr>
              <w:pStyle w:val="AppendixTableText"/>
            </w:pPr>
            <w:r>
              <w:t>20/08/1999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2880</w:t>
            </w:r>
          </w:p>
        </w:tc>
        <w:tc>
          <w:tcPr>
            <w:tcW w:w="2333" w:type="dxa"/>
            <w:shd w:val="clear" w:color="auto" w:fill="auto"/>
          </w:tcPr>
          <w:p w:rsidR="006D2D1A" w:rsidRDefault="006D2D1A" w:rsidP="008429FD">
            <w:pPr>
              <w:pStyle w:val="AppendixTableText"/>
            </w:pPr>
            <w:r>
              <w:t>Kilbirnie School</w:t>
            </w:r>
          </w:p>
        </w:tc>
        <w:tc>
          <w:tcPr>
            <w:tcW w:w="907" w:type="dxa"/>
            <w:shd w:val="clear" w:color="auto" w:fill="auto"/>
          </w:tcPr>
          <w:p w:rsidR="006D2D1A" w:rsidRDefault="006D2D1A" w:rsidP="008429FD">
            <w:pPr>
              <w:pStyle w:val="AppendixTableText"/>
            </w:pPr>
            <w:r>
              <w:t>17/01/2006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1777</w:t>
            </w:r>
          </w:p>
        </w:tc>
        <w:tc>
          <w:tcPr>
            <w:tcW w:w="2333" w:type="dxa"/>
            <w:shd w:val="clear" w:color="auto" w:fill="auto"/>
          </w:tcPr>
          <w:p w:rsidR="006D2D1A" w:rsidRDefault="006D2D1A" w:rsidP="008429FD">
            <w:pPr>
              <w:pStyle w:val="AppendixTableText"/>
            </w:pPr>
            <w:r>
              <w:t>Kimihia School</w:t>
            </w:r>
          </w:p>
        </w:tc>
        <w:tc>
          <w:tcPr>
            <w:tcW w:w="907" w:type="dxa"/>
            <w:shd w:val="clear" w:color="auto" w:fill="auto"/>
          </w:tcPr>
          <w:p w:rsidR="006D2D1A" w:rsidRDefault="006D2D1A" w:rsidP="008429FD">
            <w:pPr>
              <w:pStyle w:val="AppendixTableText"/>
            </w:pPr>
            <w:r>
              <w:t>5/04/2011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1333</w:t>
            </w:r>
          </w:p>
        </w:tc>
        <w:tc>
          <w:tcPr>
            <w:tcW w:w="2333" w:type="dxa"/>
            <w:shd w:val="clear" w:color="auto" w:fill="auto"/>
          </w:tcPr>
          <w:p w:rsidR="006D2D1A" w:rsidRDefault="006D2D1A" w:rsidP="008429FD">
            <w:pPr>
              <w:pStyle w:val="AppendixTableText"/>
            </w:pPr>
            <w:r>
              <w:t>Kingsford School</w:t>
            </w:r>
          </w:p>
        </w:tc>
        <w:tc>
          <w:tcPr>
            <w:tcW w:w="907" w:type="dxa"/>
            <w:shd w:val="clear" w:color="auto" w:fill="auto"/>
          </w:tcPr>
          <w:p w:rsidR="006D2D1A" w:rsidRDefault="006D2D1A" w:rsidP="008429FD">
            <w:pPr>
              <w:pStyle w:val="AppendixTableText"/>
            </w:pPr>
            <w:r>
              <w:t>23/10/2007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1779</w:t>
            </w:r>
          </w:p>
        </w:tc>
        <w:tc>
          <w:tcPr>
            <w:tcW w:w="2333" w:type="dxa"/>
            <w:shd w:val="clear" w:color="auto" w:fill="auto"/>
          </w:tcPr>
          <w:p w:rsidR="006D2D1A" w:rsidRDefault="006D2D1A" w:rsidP="008429FD">
            <w:pPr>
              <w:pStyle w:val="AppendixTableText"/>
            </w:pPr>
            <w:r>
              <w:t>Kio Kio School</w:t>
            </w:r>
          </w:p>
        </w:tc>
        <w:tc>
          <w:tcPr>
            <w:tcW w:w="907" w:type="dxa"/>
            <w:shd w:val="clear" w:color="auto" w:fill="auto"/>
          </w:tcPr>
          <w:p w:rsidR="006D2D1A" w:rsidRDefault="006D2D1A" w:rsidP="008429FD">
            <w:pPr>
              <w:pStyle w:val="AppendixTableText"/>
            </w:pPr>
            <w:r>
              <w:t>1/12/2006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3397</w:t>
            </w:r>
          </w:p>
        </w:tc>
        <w:tc>
          <w:tcPr>
            <w:tcW w:w="2333" w:type="dxa"/>
            <w:shd w:val="clear" w:color="auto" w:fill="auto"/>
          </w:tcPr>
          <w:p w:rsidR="006D2D1A" w:rsidRDefault="006D2D1A" w:rsidP="008429FD">
            <w:pPr>
              <w:pStyle w:val="AppendixTableText"/>
            </w:pPr>
            <w:r>
              <w:t>Kirwee Model School</w:t>
            </w:r>
          </w:p>
        </w:tc>
        <w:tc>
          <w:tcPr>
            <w:tcW w:w="907" w:type="dxa"/>
            <w:shd w:val="clear" w:color="auto" w:fill="auto"/>
          </w:tcPr>
          <w:p w:rsidR="006D2D1A" w:rsidRDefault="006D2D1A" w:rsidP="008429FD">
            <w:pPr>
              <w:pStyle w:val="AppendixTableText"/>
            </w:pPr>
            <w:r>
              <w:t>21/08/2006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1781</w:t>
            </w:r>
          </w:p>
        </w:tc>
        <w:tc>
          <w:tcPr>
            <w:tcW w:w="2333" w:type="dxa"/>
            <w:shd w:val="clear" w:color="auto" w:fill="auto"/>
          </w:tcPr>
          <w:p w:rsidR="006D2D1A" w:rsidRDefault="006D2D1A" w:rsidP="008429FD">
            <w:pPr>
              <w:pStyle w:val="AppendixTableText"/>
            </w:pPr>
            <w:r>
              <w:t>Knighton Normal School</w:t>
            </w:r>
          </w:p>
        </w:tc>
        <w:tc>
          <w:tcPr>
            <w:tcW w:w="907" w:type="dxa"/>
            <w:shd w:val="clear" w:color="auto" w:fill="auto"/>
          </w:tcPr>
          <w:p w:rsidR="006D2D1A" w:rsidRDefault="006D2D1A" w:rsidP="008429FD">
            <w:pPr>
              <w:pStyle w:val="AppendixTableText"/>
            </w:pPr>
            <w:r>
              <w:t>20/12/1999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6939</w:t>
            </w:r>
          </w:p>
        </w:tc>
        <w:tc>
          <w:tcPr>
            <w:tcW w:w="2333" w:type="dxa"/>
            <w:shd w:val="clear" w:color="auto" w:fill="auto"/>
          </w:tcPr>
          <w:p w:rsidR="006D2D1A" w:rsidRDefault="006D2D1A" w:rsidP="008429FD">
            <w:pPr>
              <w:pStyle w:val="AppendixTableText"/>
            </w:pPr>
            <w:r>
              <w:t>Kohia Terrace School</w:t>
            </w:r>
          </w:p>
        </w:tc>
        <w:tc>
          <w:tcPr>
            <w:tcW w:w="907" w:type="dxa"/>
            <w:shd w:val="clear" w:color="auto" w:fill="auto"/>
          </w:tcPr>
          <w:p w:rsidR="006D2D1A" w:rsidRDefault="006D2D1A" w:rsidP="008429FD">
            <w:pPr>
              <w:pStyle w:val="AppendixTableText"/>
            </w:pPr>
            <w:r>
              <w:t>10/12/1999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1334</w:t>
            </w:r>
          </w:p>
        </w:tc>
        <w:tc>
          <w:tcPr>
            <w:tcW w:w="2333" w:type="dxa"/>
            <w:shd w:val="clear" w:color="auto" w:fill="auto"/>
          </w:tcPr>
          <w:p w:rsidR="006D2D1A" w:rsidRDefault="006D2D1A" w:rsidP="008429FD">
            <w:pPr>
              <w:pStyle w:val="AppendixTableText"/>
            </w:pPr>
            <w:r>
              <w:t>Kohimarama School</w:t>
            </w:r>
          </w:p>
        </w:tc>
        <w:tc>
          <w:tcPr>
            <w:tcW w:w="907" w:type="dxa"/>
            <w:shd w:val="clear" w:color="auto" w:fill="auto"/>
          </w:tcPr>
          <w:p w:rsidR="006D2D1A" w:rsidRDefault="006D2D1A" w:rsidP="008429FD">
            <w:pPr>
              <w:pStyle w:val="AppendixTableText"/>
            </w:pPr>
            <w:r>
              <w:t>2/12/1999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2385</w:t>
            </w:r>
          </w:p>
        </w:tc>
        <w:tc>
          <w:tcPr>
            <w:tcW w:w="2333" w:type="dxa"/>
            <w:shd w:val="clear" w:color="auto" w:fill="auto"/>
          </w:tcPr>
          <w:p w:rsidR="006D2D1A" w:rsidRDefault="006D2D1A" w:rsidP="008429FD">
            <w:pPr>
              <w:pStyle w:val="AppendixTableText"/>
            </w:pPr>
            <w:r>
              <w:t>Kopane School</w:t>
            </w:r>
          </w:p>
        </w:tc>
        <w:tc>
          <w:tcPr>
            <w:tcW w:w="907" w:type="dxa"/>
            <w:shd w:val="clear" w:color="auto" w:fill="auto"/>
          </w:tcPr>
          <w:p w:rsidR="006D2D1A" w:rsidRDefault="006D2D1A" w:rsidP="008429FD">
            <w:pPr>
              <w:pStyle w:val="AppendixTableText"/>
            </w:pPr>
            <w:r>
              <w:t>10/10/2008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2882</w:t>
            </w:r>
          </w:p>
        </w:tc>
        <w:tc>
          <w:tcPr>
            <w:tcW w:w="2333" w:type="dxa"/>
            <w:shd w:val="clear" w:color="auto" w:fill="auto"/>
          </w:tcPr>
          <w:p w:rsidR="006D2D1A" w:rsidRDefault="006D2D1A" w:rsidP="008429FD">
            <w:pPr>
              <w:pStyle w:val="AppendixTableText"/>
            </w:pPr>
            <w:r>
              <w:t>Koputaroa School</w:t>
            </w:r>
          </w:p>
        </w:tc>
        <w:tc>
          <w:tcPr>
            <w:tcW w:w="907" w:type="dxa"/>
            <w:shd w:val="clear" w:color="auto" w:fill="auto"/>
          </w:tcPr>
          <w:p w:rsidR="006D2D1A" w:rsidRDefault="006D2D1A" w:rsidP="008429FD">
            <w:pPr>
              <w:pStyle w:val="AppendixTableText"/>
            </w:pPr>
            <w:r>
              <w:t>17/12/2001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2883</w:t>
            </w:r>
          </w:p>
        </w:tc>
        <w:tc>
          <w:tcPr>
            <w:tcW w:w="2333" w:type="dxa"/>
            <w:shd w:val="clear" w:color="auto" w:fill="auto"/>
          </w:tcPr>
          <w:p w:rsidR="006D2D1A" w:rsidRDefault="006D2D1A" w:rsidP="008429FD">
            <w:pPr>
              <w:pStyle w:val="AppendixTableText"/>
            </w:pPr>
            <w:r>
              <w:t>Korokoro School</w:t>
            </w:r>
          </w:p>
        </w:tc>
        <w:tc>
          <w:tcPr>
            <w:tcW w:w="907" w:type="dxa"/>
            <w:shd w:val="clear" w:color="auto" w:fill="auto"/>
          </w:tcPr>
          <w:p w:rsidR="006D2D1A" w:rsidRDefault="006D2D1A" w:rsidP="008429FD">
            <w:pPr>
              <w:pStyle w:val="AppendixTableText"/>
            </w:pPr>
            <w:r>
              <w:t>12/10/2006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1784</w:t>
            </w:r>
          </w:p>
        </w:tc>
        <w:tc>
          <w:tcPr>
            <w:tcW w:w="2333" w:type="dxa"/>
            <w:shd w:val="clear" w:color="auto" w:fill="auto"/>
          </w:tcPr>
          <w:p w:rsidR="006D2D1A" w:rsidRDefault="006D2D1A" w:rsidP="008429FD">
            <w:pPr>
              <w:pStyle w:val="AppendixTableText"/>
            </w:pPr>
            <w:r>
              <w:t>Koromatua School</w:t>
            </w:r>
          </w:p>
        </w:tc>
        <w:tc>
          <w:tcPr>
            <w:tcW w:w="907" w:type="dxa"/>
            <w:shd w:val="clear" w:color="auto" w:fill="auto"/>
          </w:tcPr>
          <w:p w:rsidR="006D2D1A" w:rsidRDefault="006D2D1A" w:rsidP="008429FD">
            <w:pPr>
              <w:pStyle w:val="AppendixTableText"/>
            </w:pPr>
            <w:r>
              <w:t>22/02/2008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1336</w:t>
            </w:r>
          </w:p>
        </w:tc>
        <w:tc>
          <w:tcPr>
            <w:tcW w:w="2333" w:type="dxa"/>
            <w:shd w:val="clear" w:color="auto" w:fill="auto"/>
          </w:tcPr>
          <w:p w:rsidR="006D2D1A" w:rsidRDefault="006D2D1A" w:rsidP="008429FD">
            <w:pPr>
              <w:pStyle w:val="AppendixTableText"/>
            </w:pPr>
            <w:r>
              <w:t>Koru School</w:t>
            </w:r>
          </w:p>
        </w:tc>
        <w:tc>
          <w:tcPr>
            <w:tcW w:w="907" w:type="dxa"/>
            <w:shd w:val="clear" w:color="auto" w:fill="auto"/>
          </w:tcPr>
          <w:p w:rsidR="006D2D1A" w:rsidRDefault="006D2D1A" w:rsidP="008429FD">
            <w:pPr>
              <w:pStyle w:val="AppendixTableText"/>
            </w:pPr>
            <w:r>
              <w:t>30/08/1999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1337</w:t>
            </w:r>
          </w:p>
        </w:tc>
        <w:tc>
          <w:tcPr>
            <w:tcW w:w="2333" w:type="dxa"/>
            <w:shd w:val="clear" w:color="auto" w:fill="auto"/>
          </w:tcPr>
          <w:p w:rsidR="006D2D1A" w:rsidRDefault="006D2D1A" w:rsidP="008429FD">
            <w:pPr>
              <w:pStyle w:val="AppendixTableText"/>
            </w:pPr>
            <w:r>
              <w:t>Kowhai Intermediate</w:t>
            </w:r>
          </w:p>
        </w:tc>
        <w:tc>
          <w:tcPr>
            <w:tcW w:w="907" w:type="dxa"/>
            <w:shd w:val="clear" w:color="auto" w:fill="auto"/>
          </w:tcPr>
          <w:p w:rsidR="006D2D1A" w:rsidRDefault="006D2D1A" w:rsidP="008429FD">
            <w:pPr>
              <w:pStyle w:val="AppendixTableText"/>
            </w:pPr>
            <w:r>
              <w:t>19/10/1999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3402</w:t>
            </w:r>
          </w:p>
        </w:tc>
        <w:tc>
          <w:tcPr>
            <w:tcW w:w="2333" w:type="dxa"/>
            <w:shd w:val="clear" w:color="auto" w:fill="auto"/>
          </w:tcPr>
          <w:p w:rsidR="006D2D1A" w:rsidRDefault="006D2D1A" w:rsidP="008429FD">
            <w:pPr>
              <w:pStyle w:val="AppendixTableText"/>
            </w:pPr>
            <w:r>
              <w:t>Ladbrooks School</w:t>
            </w:r>
          </w:p>
        </w:tc>
        <w:tc>
          <w:tcPr>
            <w:tcW w:w="907" w:type="dxa"/>
            <w:shd w:val="clear" w:color="auto" w:fill="auto"/>
          </w:tcPr>
          <w:p w:rsidR="006D2D1A" w:rsidRDefault="006D2D1A" w:rsidP="008429FD">
            <w:pPr>
              <w:pStyle w:val="AppendixTableText"/>
            </w:pPr>
            <w:r>
              <w:t>18/06/2004</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1789</w:t>
            </w:r>
          </w:p>
        </w:tc>
        <w:tc>
          <w:tcPr>
            <w:tcW w:w="2333" w:type="dxa"/>
            <w:shd w:val="clear" w:color="auto" w:fill="auto"/>
          </w:tcPr>
          <w:p w:rsidR="006D2D1A" w:rsidRDefault="006D2D1A" w:rsidP="008429FD">
            <w:pPr>
              <w:pStyle w:val="AppendixTableText"/>
            </w:pPr>
            <w:r>
              <w:t>Leamington School</w:t>
            </w:r>
          </w:p>
        </w:tc>
        <w:tc>
          <w:tcPr>
            <w:tcW w:w="907" w:type="dxa"/>
            <w:shd w:val="clear" w:color="auto" w:fill="auto"/>
          </w:tcPr>
          <w:p w:rsidR="006D2D1A" w:rsidRDefault="006D2D1A" w:rsidP="008429FD">
            <w:pPr>
              <w:pStyle w:val="AppendixTableText"/>
            </w:pPr>
            <w:r>
              <w:t>12/09/2011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3410</w:t>
            </w:r>
          </w:p>
        </w:tc>
        <w:tc>
          <w:tcPr>
            <w:tcW w:w="2333" w:type="dxa"/>
            <w:shd w:val="clear" w:color="auto" w:fill="auto"/>
          </w:tcPr>
          <w:p w:rsidR="006D2D1A" w:rsidRDefault="006D2D1A" w:rsidP="008429FD">
            <w:pPr>
              <w:pStyle w:val="AppendixTableText"/>
            </w:pPr>
            <w:r>
              <w:t>Leeston School</w:t>
            </w:r>
          </w:p>
        </w:tc>
        <w:tc>
          <w:tcPr>
            <w:tcW w:w="907" w:type="dxa"/>
            <w:shd w:val="clear" w:color="auto" w:fill="auto"/>
          </w:tcPr>
          <w:p w:rsidR="006D2D1A" w:rsidRDefault="006D2D1A" w:rsidP="008429FD">
            <w:pPr>
              <w:pStyle w:val="AppendixTableText"/>
            </w:pPr>
            <w:r>
              <w:t>23/11/2009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2182</w:t>
            </w:r>
          </w:p>
        </w:tc>
        <w:tc>
          <w:tcPr>
            <w:tcW w:w="2333" w:type="dxa"/>
            <w:shd w:val="clear" w:color="auto" w:fill="auto"/>
          </w:tcPr>
          <w:p w:rsidR="006D2D1A" w:rsidRDefault="006D2D1A" w:rsidP="008429FD">
            <w:pPr>
              <w:pStyle w:val="AppendixTableText"/>
            </w:pPr>
            <w:r>
              <w:t>Lepperton School</w:t>
            </w:r>
          </w:p>
        </w:tc>
        <w:tc>
          <w:tcPr>
            <w:tcW w:w="907" w:type="dxa"/>
            <w:shd w:val="clear" w:color="auto" w:fill="auto"/>
          </w:tcPr>
          <w:p w:rsidR="006D2D1A" w:rsidRDefault="006D2D1A" w:rsidP="008429FD">
            <w:pPr>
              <w:pStyle w:val="AppendixTableText"/>
            </w:pPr>
            <w:r>
              <w:t>14/02/2005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4117</w:t>
            </w:r>
          </w:p>
        </w:tc>
        <w:tc>
          <w:tcPr>
            <w:tcW w:w="2333" w:type="dxa"/>
            <w:shd w:val="clear" w:color="auto" w:fill="auto"/>
          </w:tcPr>
          <w:p w:rsidR="006D2D1A" w:rsidRDefault="006D2D1A" w:rsidP="008429FD">
            <w:pPr>
              <w:pStyle w:val="AppendixTableText"/>
            </w:pPr>
            <w:r>
              <w:t>Liberton Christian School</w:t>
            </w:r>
          </w:p>
        </w:tc>
        <w:tc>
          <w:tcPr>
            <w:tcW w:w="907" w:type="dxa"/>
            <w:shd w:val="clear" w:color="auto" w:fill="auto"/>
          </w:tcPr>
          <w:p w:rsidR="006D2D1A" w:rsidRDefault="006D2D1A" w:rsidP="008429FD">
            <w:pPr>
              <w:pStyle w:val="AppendixTableText"/>
            </w:pPr>
            <w:r>
              <w:t>30/08/2004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3975</w:t>
            </w:r>
          </w:p>
        </w:tc>
        <w:tc>
          <w:tcPr>
            <w:tcW w:w="2333" w:type="dxa"/>
            <w:shd w:val="clear" w:color="auto" w:fill="auto"/>
          </w:tcPr>
          <w:p w:rsidR="006D2D1A" w:rsidRDefault="006D2D1A" w:rsidP="008429FD">
            <w:pPr>
              <w:pStyle w:val="AppendixTableText"/>
            </w:pPr>
            <w:r>
              <w:t>Limehills School</w:t>
            </w:r>
          </w:p>
        </w:tc>
        <w:tc>
          <w:tcPr>
            <w:tcW w:w="907" w:type="dxa"/>
            <w:shd w:val="clear" w:color="auto" w:fill="auto"/>
          </w:tcPr>
          <w:p w:rsidR="006D2D1A" w:rsidRDefault="006D2D1A" w:rsidP="008429FD">
            <w:pPr>
              <w:pStyle w:val="AppendixTableText"/>
            </w:pPr>
            <w:r>
              <w:t>6/12/2002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347</w:t>
            </w:r>
          </w:p>
        </w:tc>
        <w:tc>
          <w:tcPr>
            <w:tcW w:w="2333" w:type="dxa"/>
            <w:shd w:val="clear" w:color="auto" w:fill="auto"/>
          </w:tcPr>
          <w:p w:rsidR="006D2D1A" w:rsidRDefault="006D2D1A" w:rsidP="008429FD">
            <w:pPr>
              <w:pStyle w:val="AppendixTableText"/>
            </w:pPr>
            <w:r>
              <w:t>Lincoln High School</w:t>
            </w:r>
          </w:p>
        </w:tc>
        <w:tc>
          <w:tcPr>
            <w:tcW w:w="907" w:type="dxa"/>
            <w:shd w:val="clear" w:color="auto" w:fill="auto"/>
          </w:tcPr>
          <w:p w:rsidR="006D2D1A" w:rsidRDefault="006D2D1A" w:rsidP="008429FD">
            <w:pPr>
              <w:pStyle w:val="AppendixTableText"/>
            </w:pPr>
            <w:r>
              <w:t>4/06/1999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3412</w:t>
            </w:r>
          </w:p>
        </w:tc>
        <w:tc>
          <w:tcPr>
            <w:tcW w:w="2333" w:type="dxa"/>
            <w:shd w:val="clear" w:color="auto" w:fill="auto"/>
          </w:tcPr>
          <w:p w:rsidR="006D2D1A" w:rsidRDefault="006D2D1A" w:rsidP="008429FD">
            <w:pPr>
              <w:pStyle w:val="AppendixTableText"/>
            </w:pPr>
            <w:r>
              <w:t>Lincoln Primary School</w:t>
            </w:r>
          </w:p>
        </w:tc>
        <w:tc>
          <w:tcPr>
            <w:tcW w:w="907" w:type="dxa"/>
            <w:shd w:val="clear" w:color="auto" w:fill="auto"/>
          </w:tcPr>
          <w:p w:rsidR="006D2D1A" w:rsidRDefault="006D2D1A" w:rsidP="008429FD">
            <w:pPr>
              <w:pStyle w:val="AppendixTableText"/>
            </w:pPr>
            <w:r>
              <w:t>14/11/2001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230</w:t>
            </w:r>
          </w:p>
        </w:tc>
        <w:tc>
          <w:tcPr>
            <w:tcW w:w="2333" w:type="dxa"/>
            <w:shd w:val="clear" w:color="auto" w:fill="auto"/>
          </w:tcPr>
          <w:p w:rsidR="006D2D1A" w:rsidRDefault="006D2D1A" w:rsidP="008429FD">
            <w:pPr>
              <w:pStyle w:val="AppendixTableText"/>
            </w:pPr>
            <w:r>
              <w:t>Lindisfarne College</w:t>
            </w:r>
          </w:p>
        </w:tc>
        <w:tc>
          <w:tcPr>
            <w:tcW w:w="907" w:type="dxa"/>
            <w:shd w:val="clear" w:color="auto" w:fill="auto"/>
          </w:tcPr>
          <w:p w:rsidR="006D2D1A" w:rsidRDefault="006D2D1A" w:rsidP="008429FD">
            <w:pPr>
              <w:pStyle w:val="AppendixTableText"/>
            </w:pPr>
            <w:r>
              <w:t>6/04/2004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3415</w:t>
            </w:r>
          </w:p>
        </w:tc>
        <w:tc>
          <w:tcPr>
            <w:tcW w:w="2333" w:type="dxa"/>
            <w:shd w:val="clear" w:color="auto" w:fill="auto"/>
          </w:tcPr>
          <w:p w:rsidR="006D2D1A" w:rsidRDefault="006D2D1A" w:rsidP="008429FD">
            <w:pPr>
              <w:pStyle w:val="AppendixTableText"/>
            </w:pPr>
            <w:r>
              <w:t>Linwood North School</w:t>
            </w:r>
          </w:p>
        </w:tc>
        <w:tc>
          <w:tcPr>
            <w:tcW w:w="907" w:type="dxa"/>
            <w:shd w:val="clear" w:color="auto" w:fill="auto"/>
          </w:tcPr>
          <w:p w:rsidR="006D2D1A" w:rsidRDefault="006D2D1A" w:rsidP="008429FD">
            <w:pPr>
              <w:pStyle w:val="AppendixTableText"/>
            </w:pPr>
            <w:r>
              <w:t>24/11/2008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3419</w:t>
            </w:r>
          </w:p>
        </w:tc>
        <w:tc>
          <w:tcPr>
            <w:tcW w:w="2333" w:type="dxa"/>
            <w:shd w:val="clear" w:color="auto" w:fill="auto"/>
          </w:tcPr>
          <w:p w:rsidR="006D2D1A" w:rsidRDefault="006D2D1A" w:rsidP="008429FD">
            <w:pPr>
              <w:pStyle w:val="AppendixTableText"/>
            </w:pPr>
            <w:r>
              <w:t>Loburn School</w:t>
            </w:r>
          </w:p>
        </w:tc>
        <w:tc>
          <w:tcPr>
            <w:tcW w:w="907" w:type="dxa"/>
            <w:shd w:val="clear" w:color="auto" w:fill="auto"/>
          </w:tcPr>
          <w:p w:rsidR="006D2D1A" w:rsidRDefault="006D2D1A" w:rsidP="008429FD">
            <w:pPr>
              <w:pStyle w:val="AppendixTableText"/>
            </w:pPr>
            <w:r>
              <w:t>3/03/2005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27</w:t>
            </w:r>
          </w:p>
        </w:tc>
        <w:tc>
          <w:tcPr>
            <w:tcW w:w="2333" w:type="dxa"/>
            <w:shd w:val="clear" w:color="auto" w:fill="auto"/>
          </w:tcPr>
          <w:p w:rsidR="006D2D1A" w:rsidRDefault="006D2D1A" w:rsidP="008429FD">
            <w:pPr>
              <w:pStyle w:val="AppendixTableText"/>
            </w:pPr>
            <w:r>
              <w:t>Long Bay College</w:t>
            </w:r>
          </w:p>
        </w:tc>
        <w:tc>
          <w:tcPr>
            <w:tcW w:w="907" w:type="dxa"/>
            <w:shd w:val="clear" w:color="auto" w:fill="auto"/>
          </w:tcPr>
          <w:p w:rsidR="006D2D1A" w:rsidRDefault="006D2D1A" w:rsidP="008429FD">
            <w:pPr>
              <w:pStyle w:val="AppendixTableText"/>
            </w:pPr>
            <w:r>
              <w:t>12/09/2005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1342</w:t>
            </w:r>
          </w:p>
        </w:tc>
        <w:tc>
          <w:tcPr>
            <w:tcW w:w="2333" w:type="dxa"/>
            <w:shd w:val="clear" w:color="auto" w:fill="auto"/>
          </w:tcPr>
          <w:p w:rsidR="006D2D1A" w:rsidRDefault="006D2D1A" w:rsidP="008429FD">
            <w:pPr>
              <w:pStyle w:val="AppendixTableText"/>
            </w:pPr>
            <w:r>
              <w:t>Long Bay School</w:t>
            </w:r>
          </w:p>
        </w:tc>
        <w:tc>
          <w:tcPr>
            <w:tcW w:w="907" w:type="dxa"/>
            <w:shd w:val="clear" w:color="auto" w:fill="auto"/>
          </w:tcPr>
          <w:p w:rsidR="006D2D1A" w:rsidRDefault="006D2D1A" w:rsidP="008429FD">
            <w:pPr>
              <w:pStyle w:val="AppendixTableText"/>
            </w:pPr>
            <w:r>
              <w:t>7/12/2006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3594</w:t>
            </w:r>
          </w:p>
        </w:tc>
        <w:tc>
          <w:tcPr>
            <w:tcW w:w="2333" w:type="dxa"/>
            <w:shd w:val="clear" w:color="auto" w:fill="auto"/>
          </w:tcPr>
          <w:p w:rsidR="006D2D1A" w:rsidRDefault="006D2D1A" w:rsidP="008429FD">
            <w:pPr>
              <w:pStyle w:val="AppendixTableText"/>
            </w:pPr>
            <w:r>
              <w:t>Longbeach School</w:t>
            </w:r>
          </w:p>
        </w:tc>
        <w:tc>
          <w:tcPr>
            <w:tcW w:w="907" w:type="dxa"/>
            <w:shd w:val="clear" w:color="auto" w:fill="auto"/>
          </w:tcPr>
          <w:p w:rsidR="006D2D1A" w:rsidRDefault="006D2D1A" w:rsidP="008429FD">
            <w:pPr>
              <w:pStyle w:val="AppendixTableText"/>
            </w:pPr>
            <w:r>
              <w:t>26/05/2008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2590</w:t>
            </w:r>
          </w:p>
        </w:tc>
        <w:tc>
          <w:tcPr>
            <w:tcW w:w="2333" w:type="dxa"/>
            <w:shd w:val="clear" w:color="auto" w:fill="auto"/>
          </w:tcPr>
          <w:p w:rsidR="006D2D1A" w:rsidRDefault="006D2D1A" w:rsidP="008429FD">
            <w:pPr>
              <w:pStyle w:val="AppendixTableText"/>
            </w:pPr>
            <w:r>
              <w:t>Lucknow School</w:t>
            </w:r>
          </w:p>
        </w:tc>
        <w:tc>
          <w:tcPr>
            <w:tcW w:w="907" w:type="dxa"/>
            <w:shd w:val="clear" w:color="auto" w:fill="auto"/>
          </w:tcPr>
          <w:p w:rsidR="006D2D1A" w:rsidRDefault="006D2D1A" w:rsidP="008429FD">
            <w:pPr>
              <w:pStyle w:val="AppendixTableText"/>
            </w:pPr>
            <w:r>
              <w:t>19/03/2002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2892</w:t>
            </w:r>
          </w:p>
        </w:tc>
        <w:tc>
          <w:tcPr>
            <w:tcW w:w="2333" w:type="dxa"/>
            <w:shd w:val="clear" w:color="auto" w:fill="auto"/>
          </w:tcPr>
          <w:p w:rsidR="006D2D1A" w:rsidRDefault="006D2D1A" w:rsidP="008429FD">
            <w:pPr>
              <w:pStyle w:val="AppendixTableText"/>
            </w:pPr>
            <w:r>
              <w:t>Lyall Bay School</w:t>
            </w:r>
          </w:p>
        </w:tc>
        <w:tc>
          <w:tcPr>
            <w:tcW w:w="907" w:type="dxa"/>
            <w:shd w:val="clear" w:color="auto" w:fill="auto"/>
          </w:tcPr>
          <w:p w:rsidR="006D2D1A" w:rsidRDefault="006D2D1A" w:rsidP="008429FD">
            <w:pPr>
              <w:pStyle w:val="AppendixTableText"/>
            </w:pPr>
            <w:r>
              <w:t>4/12/2012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75</w:t>
            </w:r>
          </w:p>
        </w:tc>
        <w:tc>
          <w:tcPr>
            <w:tcW w:w="2333" w:type="dxa"/>
            <w:shd w:val="clear" w:color="auto" w:fill="auto"/>
          </w:tcPr>
          <w:p w:rsidR="006D2D1A" w:rsidRDefault="006D2D1A" w:rsidP="008429FD">
            <w:pPr>
              <w:pStyle w:val="AppendixTableText"/>
            </w:pPr>
            <w:r>
              <w:t>Lynfield College</w:t>
            </w:r>
          </w:p>
        </w:tc>
        <w:tc>
          <w:tcPr>
            <w:tcW w:w="907" w:type="dxa"/>
            <w:shd w:val="clear" w:color="auto" w:fill="auto"/>
          </w:tcPr>
          <w:p w:rsidR="006D2D1A" w:rsidRDefault="006D2D1A" w:rsidP="008429FD">
            <w:pPr>
              <w:pStyle w:val="AppendixTableText"/>
            </w:pPr>
            <w:r>
              <w:t>27/07/1999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1791</w:t>
            </w:r>
          </w:p>
        </w:tc>
        <w:tc>
          <w:tcPr>
            <w:tcW w:w="2333" w:type="dxa"/>
            <w:shd w:val="clear" w:color="auto" w:fill="auto"/>
          </w:tcPr>
          <w:p w:rsidR="006D2D1A" w:rsidRDefault="006D2D1A" w:rsidP="008429FD">
            <w:pPr>
              <w:pStyle w:val="AppendixTableText"/>
            </w:pPr>
            <w:r>
              <w:t>Lynmore Primary School</w:t>
            </w:r>
          </w:p>
        </w:tc>
        <w:tc>
          <w:tcPr>
            <w:tcW w:w="907" w:type="dxa"/>
            <w:shd w:val="clear" w:color="auto" w:fill="auto"/>
          </w:tcPr>
          <w:p w:rsidR="006D2D1A" w:rsidRDefault="006D2D1A" w:rsidP="008429FD">
            <w:pPr>
              <w:pStyle w:val="AppendixTableText"/>
            </w:pPr>
            <w:r>
              <w:t>27/05/2002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3423</w:t>
            </w:r>
          </w:p>
        </w:tc>
        <w:tc>
          <w:tcPr>
            <w:tcW w:w="2333" w:type="dxa"/>
            <w:shd w:val="clear" w:color="auto" w:fill="auto"/>
          </w:tcPr>
          <w:p w:rsidR="006D2D1A" w:rsidRDefault="006D2D1A" w:rsidP="008429FD">
            <w:pPr>
              <w:pStyle w:val="AppendixTableText"/>
            </w:pPr>
            <w:r>
              <w:t>Lyttelton Main School</w:t>
            </w:r>
          </w:p>
        </w:tc>
        <w:tc>
          <w:tcPr>
            <w:tcW w:w="907" w:type="dxa"/>
            <w:shd w:val="clear" w:color="auto" w:fill="auto"/>
          </w:tcPr>
          <w:p w:rsidR="006D2D1A" w:rsidRDefault="006D2D1A" w:rsidP="008429FD">
            <w:pPr>
              <w:pStyle w:val="AppendixTableText"/>
            </w:pPr>
            <w:r>
              <w:t>21/02/2012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3424</w:t>
            </w:r>
          </w:p>
        </w:tc>
        <w:tc>
          <w:tcPr>
            <w:tcW w:w="2333" w:type="dxa"/>
            <w:shd w:val="clear" w:color="auto" w:fill="auto"/>
          </w:tcPr>
          <w:p w:rsidR="006D2D1A" w:rsidRDefault="006D2D1A" w:rsidP="008429FD">
            <w:pPr>
              <w:pStyle w:val="AppendixTableText"/>
            </w:pPr>
            <w:r>
              <w:t>Lyttelton West School</w:t>
            </w:r>
          </w:p>
        </w:tc>
        <w:tc>
          <w:tcPr>
            <w:tcW w:w="907" w:type="dxa"/>
            <w:shd w:val="clear" w:color="auto" w:fill="auto"/>
          </w:tcPr>
          <w:p w:rsidR="006D2D1A" w:rsidRDefault="006D2D1A" w:rsidP="008429FD">
            <w:pPr>
              <w:pStyle w:val="AppendixTableText"/>
            </w:pPr>
            <w:r>
              <w:t>21/02/2012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41</w:t>
            </w:r>
          </w:p>
        </w:tc>
        <w:tc>
          <w:tcPr>
            <w:tcW w:w="2333" w:type="dxa"/>
            <w:shd w:val="clear" w:color="auto" w:fill="auto"/>
          </w:tcPr>
          <w:p w:rsidR="006D2D1A" w:rsidRDefault="006D2D1A" w:rsidP="008429FD">
            <w:pPr>
              <w:pStyle w:val="AppendixTableText"/>
            </w:pPr>
            <w:r>
              <w:t>Macleans College</w:t>
            </w:r>
          </w:p>
        </w:tc>
        <w:tc>
          <w:tcPr>
            <w:tcW w:w="907" w:type="dxa"/>
            <w:shd w:val="clear" w:color="auto" w:fill="auto"/>
          </w:tcPr>
          <w:p w:rsidR="006D2D1A" w:rsidRDefault="006D2D1A" w:rsidP="008429FD">
            <w:pPr>
              <w:pStyle w:val="AppendixTableText"/>
            </w:pPr>
            <w:r>
              <w:t>25/08/1999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3201</w:t>
            </w:r>
          </w:p>
        </w:tc>
        <w:tc>
          <w:tcPr>
            <w:tcW w:w="2333" w:type="dxa"/>
            <w:shd w:val="clear" w:color="auto" w:fill="auto"/>
          </w:tcPr>
          <w:p w:rsidR="006D2D1A" w:rsidRDefault="006D2D1A" w:rsidP="008429FD">
            <w:pPr>
              <w:pStyle w:val="AppendixTableText"/>
            </w:pPr>
            <w:r>
              <w:t>Mahana School</w:t>
            </w:r>
          </w:p>
        </w:tc>
        <w:tc>
          <w:tcPr>
            <w:tcW w:w="907" w:type="dxa"/>
            <w:shd w:val="clear" w:color="auto" w:fill="auto"/>
          </w:tcPr>
          <w:p w:rsidR="006D2D1A" w:rsidRDefault="006D2D1A" w:rsidP="008429FD">
            <w:pPr>
              <w:pStyle w:val="AppendixTableText"/>
            </w:pPr>
            <w:r>
              <w:t>1/07/2005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2592</w:t>
            </w:r>
          </w:p>
        </w:tc>
        <w:tc>
          <w:tcPr>
            <w:tcW w:w="2333" w:type="dxa"/>
            <w:shd w:val="clear" w:color="auto" w:fill="auto"/>
          </w:tcPr>
          <w:p w:rsidR="006D2D1A" w:rsidRDefault="006D2D1A" w:rsidP="008429FD">
            <w:pPr>
              <w:pStyle w:val="AppendixTableText"/>
            </w:pPr>
            <w:r>
              <w:t>Mahora School</w:t>
            </w:r>
          </w:p>
        </w:tc>
        <w:tc>
          <w:tcPr>
            <w:tcW w:w="907" w:type="dxa"/>
            <w:shd w:val="clear" w:color="auto" w:fill="auto"/>
          </w:tcPr>
          <w:p w:rsidR="006D2D1A" w:rsidRDefault="006D2D1A" w:rsidP="008429FD">
            <w:pPr>
              <w:pStyle w:val="AppendixTableText"/>
            </w:pPr>
            <w:r>
              <w:t>21/05/2002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24</w:t>
            </w:r>
          </w:p>
        </w:tc>
        <w:tc>
          <w:tcPr>
            <w:tcW w:w="2333" w:type="dxa"/>
            <w:shd w:val="clear" w:color="auto" w:fill="auto"/>
          </w:tcPr>
          <w:p w:rsidR="006D2D1A" w:rsidRDefault="006D2D1A" w:rsidP="008429FD">
            <w:pPr>
              <w:pStyle w:val="AppendixTableText"/>
            </w:pPr>
            <w:r>
              <w:t>Mahurangi College</w:t>
            </w:r>
          </w:p>
        </w:tc>
        <w:tc>
          <w:tcPr>
            <w:tcW w:w="907" w:type="dxa"/>
            <w:shd w:val="clear" w:color="auto" w:fill="auto"/>
          </w:tcPr>
          <w:p w:rsidR="006D2D1A" w:rsidRDefault="006D2D1A" w:rsidP="008429FD">
            <w:pPr>
              <w:pStyle w:val="AppendixTableText"/>
            </w:pPr>
            <w:r>
              <w:t>31/05/2012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2893</w:t>
            </w:r>
          </w:p>
        </w:tc>
        <w:tc>
          <w:tcPr>
            <w:tcW w:w="2333" w:type="dxa"/>
            <w:shd w:val="clear" w:color="auto" w:fill="auto"/>
          </w:tcPr>
          <w:p w:rsidR="006D2D1A" w:rsidRDefault="006D2D1A" w:rsidP="008429FD">
            <w:pPr>
              <w:pStyle w:val="AppendixTableText"/>
            </w:pPr>
            <w:r>
              <w:t>Maidstone Intermediate</w:t>
            </w:r>
          </w:p>
        </w:tc>
        <w:tc>
          <w:tcPr>
            <w:tcW w:w="907" w:type="dxa"/>
            <w:shd w:val="clear" w:color="auto" w:fill="auto"/>
          </w:tcPr>
          <w:p w:rsidR="006D2D1A" w:rsidRDefault="006D2D1A" w:rsidP="008429FD">
            <w:pPr>
              <w:pStyle w:val="AppendixTableText"/>
            </w:pPr>
            <w:r>
              <w:t>15/08/2000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1343</w:t>
            </w:r>
          </w:p>
        </w:tc>
        <w:tc>
          <w:tcPr>
            <w:tcW w:w="2333" w:type="dxa"/>
            <w:shd w:val="clear" w:color="auto" w:fill="auto"/>
          </w:tcPr>
          <w:p w:rsidR="006D2D1A" w:rsidRDefault="006D2D1A" w:rsidP="008429FD">
            <w:pPr>
              <w:pStyle w:val="AppendixTableText"/>
            </w:pPr>
            <w:r>
              <w:t>Mairangi Bay School</w:t>
            </w:r>
          </w:p>
        </w:tc>
        <w:tc>
          <w:tcPr>
            <w:tcW w:w="907" w:type="dxa"/>
            <w:shd w:val="clear" w:color="auto" w:fill="auto"/>
          </w:tcPr>
          <w:p w:rsidR="006D2D1A" w:rsidRDefault="006D2D1A" w:rsidP="008429FD">
            <w:pPr>
              <w:pStyle w:val="AppendixTableText"/>
            </w:pPr>
            <w:r>
              <w:t>7/10/1999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3425</w:t>
            </w:r>
          </w:p>
        </w:tc>
        <w:tc>
          <w:tcPr>
            <w:tcW w:w="2333" w:type="dxa"/>
            <w:shd w:val="clear" w:color="auto" w:fill="auto"/>
          </w:tcPr>
          <w:p w:rsidR="006D2D1A" w:rsidRDefault="006D2D1A" w:rsidP="008429FD">
            <w:pPr>
              <w:pStyle w:val="AppendixTableText"/>
            </w:pPr>
            <w:r>
              <w:t>Mairehau School</w:t>
            </w:r>
          </w:p>
        </w:tc>
        <w:tc>
          <w:tcPr>
            <w:tcW w:w="907" w:type="dxa"/>
            <w:shd w:val="clear" w:color="auto" w:fill="auto"/>
          </w:tcPr>
          <w:p w:rsidR="006D2D1A" w:rsidRDefault="006D2D1A" w:rsidP="008429FD">
            <w:pPr>
              <w:pStyle w:val="AppendixTableText"/>
            </w:pPr>
            <w:r>
              <w:t>21/09/2004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2593</w:t>
            </w:r>
          </w:p>
        </w:tc>
        <w:tc>
          <w:tcPr>
            <w:tcW w:w="2333" w:type="dxa"/>
            <w:shd w:val="clear" w:color="auto" w:fill="auto"/>
          </w:tcPr>
          <w:p w:rsidR="006D2D1A" w:rsidRDefault="006D2D1A" w:rsidP="008429FD">
            <w:pPr>
              <w:pStyle w:val="AppendixTableText"/>
            </w:pPr>
            <w:r>
              <w:t>Makaraka School</w:t>
            </w:r>
          </w:p>
        </w:tc>
        <w:tc>
          <w:tcPr>
            <w:tcW w:w="907" w:type="dxa"/>
            <w:shd w:val="clear" w:color="auto" w:fill="auto"/>
          </w:tcPr>
          <w:p w:rsidR="006D2D1A" w:rsidRDefault="006D2D1A" w:rsidP="008429FD">
            <w:pPr>
              <w:pStyle w:val="AppendixTableText"/>
            </w:pPr>
            <w:r>
              <w:t>18/06/2006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3982</w:t>
            </w:r>
          </w:p>
        </w:tc>
        <w:tc>
          <w:tcPr>
            <w:tcW w:w="2333" w:type="dxa"/>
            <w:shd w:val="clear" w:color="auto" w:fill="auto"/>
          </w:tcPr>
          <w:p w:rsidR="006D2D1A" w:rsidRDefault="006D2D1A" w:rsidP="008429FD">
            <w:pPr>
              <w:pStyle w:val="AppendixTableText"/>
            </w:pPr>
            <w:r>
              <w:t>Makarewa School</w:t>
            </w:r>
          </w:p>
        </w:tc>
        <w:tc>
          <w:tcPr>
            <w:tcW w:w="907" w:type="dxa"/>
            <w:shd w:val="clear" w:color="auto" w:fill="auto"/>
          </w:tcPr>
          <w:p w:rsidR="006D2D1A" w:rsidRDefault="006D2D1A" w:rsidP="008429FD">
            <w:pPr>
              <w:pStyle w:val="AppendixTableText"/>
            </w:pPr>
            <w:r>
              <w:t>11/04/2008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2595</w:t>
            </w:r>
          </w:p>
        </w:tc>
        <w:tc>
          <w:tcPr>
            <w:tcW w:w="2333" w:type="dxa"/>
            <w:shd w:val="clear" w:color="auto" w:fill="auto"/>
          </w:tcPr>
          <w:p w:rsidR="006D2D1A" w:rsidRDefault="006D2D1A" w:rsidP="008429FD">
            <w:pPr>
              <w:pStyle w:val="AppendixTableText"/>
            </w:pPr>
            <w:r>
              <w:t>Makauri School</w:t>
            </w:r>
          </w:p>
        </w:tc>
        <w:tc>
          <w:tcPr>
            <w:tcW w:w="907" w:type="dxa"/>
            <w:shd w:val="clear" w:color="auto" w:fill="auto"/>
          </w:tcPr>
          <w:p w:rsidR="006D2D1A" w:rsidRDefault="006D2D1A" w:rsidP="008429FD">
            <w:pPr>
              <w:pStyle w:val="AppendixTableText"/>
            </w:pPr>
            <w:r>
              <w:t>13/05/2005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1796</w:t>
            </w:r>
          </w:p>
        </w:tc>
        <w:tc>
          <w:tcPr>
            <w:tcW w:w="2333" w:type="dxa"/>
            <w:shd w:val="clear" w:color="auto" w:fill="auto"/>
          </w:tcPr>
          <w:p w:rsidR="006D2D1A" w:rsidRDefault="006D2D1A" w:rsidP="008429FD">
            <w:pPr>
              <w:pStyle w:val="AppendixTableText"/>
            </w:pPr>
            <w:r>
              <w:t>Malfroy School</w:t>
            </w:r>
          </w:p>
        </w:tc>
        <w:tc>
          <w:tcPr>
            <w:tcW w:w="907" w:type="dxa"/>
            <w:shd w:val="clear" w:color="auto" w:fill="auto"/>
          </w:tcPr>
          <w:p w:rsidR="006D2D1A" w:rsidRDefault="006D2D1A" w:rsidP="008429FD">
            <w:pPr>
              <w:pStyle w:val="AppendixTableText"/>
            </w:pPr>
            <w:r>
              <w:t>30/10/2012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2896</w:t>
            </w:r>
          </w:p>
        </w:tc>
        <w:tc>
          <w:tcPr>
            <w:tcW w:w="2333" w:type="dxa"/>
            <w:shd w:val="clear" w:color="auto" w:fill="auto"/>
          </w:tcPr>
          <w:p w:rsidR="006D2D1A" w:rsidRDefault="006D2D1A" w:rsidP="008429FD">
            <w:pPr>
              <w:pStyle w:val="AppendixTableText"/>
            </w:pPr>
            <w:r>
              <w:t>Manakau School</w:t>
            </w:r>
          </w:p>
        </w:tc>
        <w:tc>
          <w:tcPr>
            <w:tcW w:w="907" w:type="dxa"/>
            <w:shd w:val="clear" w:color="auto" w:fill="auto"/>
          </w:tcPr>
          <w:p w:rsidR="006D2D1A" w:rsidRDefault="006D2D1A" w:rsidP="008429FD">
            <w:pPr>
              <w:pStyle w:val="AppendixTableText"/>
            </w:pPr>
            <w:r>
              <w:t>21/11/2012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2390</w:t>
            </w:r>
          </w:p>
        </w:tc>
        <w:tc>
          <w:tcPr>
            <w:tcW w:w="2333" w:type="dxa"/>
            <w:shd w:val="clear" w:color="auto" w:fill="auto"/>
          </w:tcPr>
          <w:p w:rsidR="006D2D1A" w:rsidRDefault="006D2D1A" w:rsidP="008429FD">
            <w:pPr>
              <w:pStyle w:val="AppendixTableText"/>
            </w:pPr>
            <w:r>
              <w:t>Manchester Street School</w:t>
            </w:r>
          </w:p>
        </w:tc>
        <w:tc>
          <w:tcPr>
            <w:tcW w:w="907" w:type="dxa"/>
            <w:shd w:val="clear" w:color="auto" w:fill="auto"/>
          </w:tcPr>
          <w:p w:rsidR="006D2D1A" w:rsidRDefault="006D2D1A" w:rsidP="008429FD">
            <w:pPr>
              <w:pStyle w:val="AppendixTableText"/>
            </w:pPr>
            <w:r>
              <w:t>11/08/2012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2597</w:t>
            </w:r>
          </w:p>
        </w:tc>
        <w:tc>
          <w:tcPr>
            <w:tcW w:w="2333" w:type="dxa"/>
            <w:shd w:val="clear" w:color="auto" w:fill="auto"/>
          </w:tcPr>
          <w:p w:rsidR="006D2D1A" w:rsidRDefault="006D2D1A" w:rsidP="008429FD">
            <w:pPr>
              <w:pStyle w:val="AppendixTableText"/>
            </w:pPr>
            <w:r>
              <w:t>Mangapapa School</w:t>
            </w:r>
          </w:p>
        </w:tc>
        <w:tc>
          <w:tcPr>
            <w:tcW w:w="907" w:type="dxa"/>
            <w:shd w:val="clear" w:color="auto" w:fill="auto"/>
          </w:tcPr>
          <w:p w:rsidR="006D2D1A" w:rsidRDefault="006D2D1A" w:rsidP="008429FD">
            <w:pPr>
              <w:pStyle w:val="AppendixTableText"/>
            </w:pPr>
            <w:r>
              <w:t>24/08/2009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2899</w:t>
            </w:r>
          </w:p>
        </w:tc>
        <w:tc>
          <w:tcPr>
            <w:tcW w:w="2333" w:type="dxa"/>
            <w:shd w:val="clear" w:color="auto" w:fill="auto"/>
          </w:tcPr>
          <w:p w:rsidR="006D2D1A" w:rsidRDefault="006D2D1A" w:rsidP="008429FD">
            <w:pPr>
              <w:pStyle w:val="AppendixTableText"/>
            </w:pPr>
            <w:r>
              <w:t>Mangaroa School</w:t>
            </w:r>
          </w:p>
        </w:tc>
        <w:tc>
          <w:tcPr>
            <w:tcW w:w="907" w:type="dxa"/>
            <w:shd w:val="clear" w:color="auto" w:fill="auto"/>
          </w:tcPr>
          <w:p w:rsidR="006D2D1A" w:rsidRDefault="006D2D1A" w:rsidP="008429FD">
            <w:pPr>
              <w:pStyle w:val="AppendixTableText"/>
            </w:pPr>
            <w:r>
              <w:t>7/12/2004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1038</w:t>
            </w:r>
          </w:p>
        </w:tc>
        <w:tc>
          <w:tcPr>
            <w:tcW w:w="2333" w:type="dxa"/>
            <w:shd w:val="clear" w:color="auto" w:fill="auto"/>
          </w:tcPr>
          <w:p w:rsidR="006D2D1A" w:rsidRDefault="006D2D1A" w:rsidP="008429FD">
            <w:pPr>
              <w:pStyle w:val="AppendixTableText"/>
            </w:pPr>
            <w:r>
              <w:t>Mangawhai Beach School</w:t>
            </w:r>
          </w:p>
        </w:tc>
        <w:tc>
          <w:tcPr>
            <w:tcW w:w="907" w:type="dxa"/>
            <w:shd w:val="clear" w:color="auto" w:fill="auto"/>
          </w:tcPr>
          <w:p w:rsidR="006D2D1A" w:rsidRDefault="006D2D1A" w:rsidP="008429FD">
            <w:pPr>
              <w:pStyle w:val="AppendixTableText"/>
            </w:pPr>
            <w:r>
              <w:t>23/11/2004</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1346</w:t>
            </w:r>
          </w:p>
        </w:tc>
        <w:tc>
          <w:tcPr>
            <w:tcW w:w="2333" w:type="dxa"/>
            <w:shd w:val="clear" w:color="auto" w:fill="auto"/>
          </w:tcPr>
          <w:p w:rsidR="006D2D1A" w:rsidRDefault="006D2D1A" w:rsidP="008429FD">
            <w:pPr>
              <w:pStyle w:val="AppendixTableText"/>
            </w:pPr>
            <w:r>
              <w:t>Mangere Bridge School</w:t>
            </w:r>
          </w:p>
        </w:tc>
        <w:tc>
          <w:tcPr>
            <w:tcW w:w="907" w:type="dxa"/>
            <w:shd w:val="clear" w:color="auto" w:fill="auto"/>
          </w:tcPr>
          <w:p w:rsidR="006D2D1A" w:rsidRDefault="006D2D1A" w:rsidP="008429FD">
            <w:pPr>
              <w:pStyle w:val="AppendixTableText"/>
            </w:pPr>
            <w:r>
              <w:t>29/10/1999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1347</w:t>
            </w:r>
          </w:p>
        </w:tc>
        <w:tc>
          <w:tcPr>
            <w:tcW w:w="2333" w:type="dxa"/>
            <w:shd w:val="clear" w:color="auto" w:fill="auto"/>
          </w:tcPr>
          <w:p w:rsidR="006D2D1A" w:rsidRDefault="006D2D1A" w:rsidP="008429FD">
            <w:pPr>
              <w:pStyle w:val="AppendixTableText"/>
            </w:pPr>
            <w:r>
              <w:t>Mangere Central School</w:t>
            </w:r>
          </w:p>
        </w:tc>
        <w:tc>
          <w:tcPr>
            <w:tcW w:w="907" w:type="dxa"/>
            <w:shd w:val="clear" w:color="auto" w:fill="auto"/>
          </w:tcPr>
          <w:p w:rsidR="006D2D1A" w:rsidRDefault="006D2D1A" w:rsidP="008429FD">
            <w:pPr>
              <w:pStyle w:val="AppendixTableText"/>
            </w:pPr>
            <w:r>
              <w:t>23/10/2007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1348</w:t>
            </w:r>
          </w:p>
        </w:tc>
        <w:tc>
          <w:tcPr>
            <w:tcW w:w="2333" w:type="dxa"/>
            <w:shd w:val="clear" w:color="auto" w:fill="auto"/>
          </w:tcPr>
          <w:p w:rsidR="006D2D1A" w:rsidRDefault="006D2D1A" w:rsidP="008429FD">
            <w:pPr>
              <w:pStyle w:val="AppendixTableText"/>
            </w:pPr>
            <w:r>
              <w:t>Mangere East School</w:t>
            </w:r>
          </w:p>
        </w:tc>
        <w:tc>
          <w:tcPr>
            <w:tcW w:w="907" w:type="dxa"/>
            <w:shd w:val="clear" w:color="auto" w:fill="auto"/>
          </w:tcPr>
          <w:p w:rsidR="006D2D1A" w:rsidRDefault="006D2D1A" w:rsidP="008429FD">
            <w:pPr>
              <w:pStyle w:val="AppendixTableText"/>
            </w:pPr>
            <w:r>
              <w:t>30/08/1999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2189</w:t>
            </w:r>
          </w:p>
        </w:tc>
        <w:tc>
          <w:tcPr>
            <w:tcW w:w="2333" w:type="dxa"/>
            <w:shd w:val="clear" w:color="auto" w:fill="auto"/>
          </w:tcPr>
          <w:p w:rsidR="006D2D1A" w:rsidRDefault="006D2D1A" w:rsidP="008429FD">
            <w:pPr>
              <w:pStyle w:val="AppendixTableText"/>
            </w:pPr>
            <w:r>
              <w:t>Mangorei School</w:t>
            </w:r>
          </w:p>
        </w:tc>
        <w:tc>
          <w:tcPr>
            <w:tcW w:w="907" w:type="dxa"/>
            <w:shd w:val="clear" w:color="auto" w:fill="auto"/>
          </w:tcPr>
          <w:p w:rsidR="006D2D1A" w:rsidRDefault="006D2D1A" w:rsidP="008429FD">
            <w:pPr>
              <w:pStyle w:val="AppendixTableText"/>
            </w:pPr>
            <w:r>
              <w:t>18/10/2000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1354</w:t>
            </w:r>
          </w:p>
        </w:tc>
        <w:tc>
          <w:tcPr>
            <w:tcW w:w="2333" w:type="dxa"/>
            <w:shd w:val="clear" w:color="auto" w:fill="auto"/>
          </w:tcPr>
          <w:p w:rsidR="006D2D1A" w:rsidRDefault="006D2D1A" w:rsidP="008429FD">
            <w:pPr>
              <w:pStyle w:val="AppendixTableText"/>
            </w:pPr>
            <w:r>
              <w:t>Manurewa Central School</w:t>
            </w:r>
          </w:p>
        </w:tc>
        <w:tc>
          <w:tcPr>
            <w:tcW w:w="907" w:type="dxa"/>
            <w:shd w:val="clear" w:color="auto" w:fill="auto"/>
          </w:tcPr>
          <w:p w:rsidR="006D2D1A" w:rsidRDefault="006D2D1A" w:rsidP="008429FD">
            <w:pPr>
              <w:pStyle w:val="AppendixTableText"/>
            </w:pPr>
            <w:r>
              <w:t>30/09/1999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99</w:t>
            </w:r>
          </w:p>
        </w:tc>
        <w:tc>
          <w:tcPr>
            <w:tcW w:w="2333" w:type="dxa"/>
            <w:shd w:val="clear" w:color="auto" w:fill="auto"/>
          </w:tcPr>
          <w:p w:rsidR="006D2D1A" w:rsidRDefault="006D2D1A" w:rsidP="008429FD">
            <w:pPr>
              <w:pStyle w:val="AppendixTableText"/>
            </w:pPr>
            <w:r>
              <w:t>Manurewa High School</w:t>
            </w:r>
          </w:p>
        </w:tc>
        <w:tc>
          <w:tcPr>
            <w:tcW w:w="907" w:type="dxa"/>
            <w:shd w:val="clear" w:color="auto" w:fill="auto"/>
          </w:tcPr>
          <w:p w:rsidR="006D2D1A" w:rsidRDefault="006D2D1A" w:rsidP="008429FD">
            <w:pPr>
              <w:pStyle w:val="AppendixTableText"/>
            </w:pPr>
            <w:r>
              <w:t>29/11/1999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3768</w:t>
            </w:r>
          </w:p>
        </w:tc>
        <w:tc>
          <w:tcPr>
            <w:tcW w:w="2333" w:type="dxa"/>
            <w:shd w:val="clear" w:color="auto" w:fill="auto"/>
          </w:tcPr>
          <w:p w:rsidR="006D2D1A" w:rsidRDefault="006D2D1A" w:rsidP="008429FD">
            <w:pPr>
              <w:pStyle w:val="AppendixTableText"/>
            </w:pPr>
            <w:r>
              <w:t>Maori Hill School</w:t>
            </w:r>
          </w:p>
        </w:tc>
        <w:tc>
          <w:tcPr>
            <w:tcW w:w="907" w:type="dxa"/>
            <w:shd w:val="clear" w:color="auto" w:fill="auto"/>
          </w:tcPr>
          <w:p w:rsidR="006D2D1A" w:rsidRDefault="006D2D1A" w:rsidP="008429FD">
            <w:pPr>
              <w:pStyle w:val="AppendixTableText"/>
            </w:pPr>
            <w:r>
              <w:t>17/12/2009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3203</w:t>
            </w:r>
          </w:p>
        </w:tc>
        <w:tc>
          <w:tcPr>
            <w:tcW w:w="2333" w:type="dxa"/>
            <w:shd w:val="clear" w:color="auto" w:fill="auto"/>
          </w:tcPr>
          <w:p w:rsidR="006D2D1A" w:rsidRDefault="006D2D1A" w:rsidP="008429FD">
            <w:pPr>
              <w:pStyle w:val="AppendixTableText"/>
            </w:pPr>
            <w:r>
              <w:t>Mapua School</w:t>
            </w:r>
          </w:p>
        </w:tc>
        <w:tc>
          <w:tcPr>
            <w:tcW w:w="907" w:type="dxa"/>
            <w:shd w:val="clear" w:color="auto" w:fill="auto"/>
          </w:tcPr>
          <w:p w:rsidR="006D2D1A" w:rsidRDefault="006D2D1A" w:rsidP="008429FD">
            <w:pPr>
              <w:pStyle w:val="AppendixTableText"/>
            </w:pPr>
            <w:r>
              <w:t>1/07/2005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566</w:t>
            </w:r>
          </w:p>
        </w:tc>
        <w:tc>
          <w:tcPr>
            <w:tcW w:w="2333" w:type="dxa"/>
            <w:shd w:val="clear" w:color="auto" w:fill="auto"/>
          </w:tcPr>
          <w:p w:rsidR="006D2D1A" w:rsidRDefault="006D2D1A" w:rsidP="008429FD">
            <w:pPr>
              <w:pStyle w:val="AppendixTableText"/>
            </w:pPr>
            <w:r>
              <w:t>Maraekakaho School</w:t>
            </w:r>
          </w:p>
        </w:tc>
        <w:tc>
          <w:tcPr>
            <w:tcW w:w="907" w:type="dxa"/>
            <w:shd w:val="clear" w:color="auto" w:fill="auto"/>
          </w:tcPr>
          <w:p w:rsidR="006D2D1A" w:rsidRDefault="006D2D1A" w:rsidP="008429FD">
            <w:pPr>
              <w:pStyle w:val="AppendixTableText"/>
            </w:pPr>
            <w:r>
              <w:t>14/11/2008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1357</w:t>
            </w:r>
          </w:p>
        </w:tc>
        <w:tc>
          <w:tcPr>
            <w:tcW w:w="2333" w:type="dxa"/>
            <w:shd w:val="clear" w:color="auto" w:fill="auto"/>
          </w:tcPr>
          <w:p w:rsidR="006D2D1A" w:rsidRDefault="006D2D1A" w:rsidP="008429FD">
            <w:pPr>
              <w:pStyle w:val="AppendixTableText"/>
            </w:pPr>
            <w:r>
              <w:t>Maraetai Beach School</w:t>
            </w:r>
          </w:p>
        </w:tc>
        <w:tc>
          <w:tcPr>
            <w:tcW w:w="907" w:type="dxa"/>
            <w:shd w:val="clear" w:color="auto" w:fill="auto"/>
          </w:tcPr>
          <w:p w:rsidR="006D2D1A" w:rsidRDefault="006D2D1A" w:rsidP="008429FD">
            <w:pPr>
              <w:pStyle w:val="AppendixTableText"/>
            </w:pPr>
            <w:r>
              <w:t>19/08/2008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2094</w:t>
            </w:r>
          </w:p>
        </w:tc>
        <w:tc>
          <w:tcPr>
            <w:tcW w:w="2333" w:type="dxa"/>
            <w:shd w:val="clear" w:color="auto" w:fill="auto"/>
          </w:tcPr>
          <w:p w:rsidR="006D2D1A" w:rsidRDefault="006D2D1A" w:rsidP="008429FD">
            <w:pPr>
              <w:pStyle w:val="AppendixTableText"/>
            </w:pPr>
            <w:r>
              <w:t>Marian Catholic School (Hamilton)</w:t>
            </w:r>
          </w:p>
        </w:tc>
        <w:tc>
          <w:tcPr>
            <w:tcW w:w="907" w:type="dxa"/>
            <w:shd w:val="clear" w:color="auto" w:fill="auto"/>
          </w:tcPr>
          <w:p w:rsidR="006D2D1A" w:rsidRDefault="006D2D1A" w:rsidP="008429FD">
            <w:pPr>
              <w:pStyle w:val="AppendixTableText"/>
            </w:pPr>
            <w:r>
              <w:t>15/07/2008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343</w:t>
            </w:r>
          </w:p>
        </w:tc>
        <w:tc>
          <w:tcPr>
            <w:tcW w:w="2333" w:type="dxa"/>
            <w:shd w:val="clear" w:color="auto" w:fill="auto"/>
          </w:tcPr>
          <w:p w:rsidR="006D2D1A" w:rsidRDefault="006D2D1A" w:rsidP="008429FD">
            <w:pPr>
              <w:pStyle w:val="AppendixTableText"/>
            </w:pPr>
            <w:r>
              <w:t>Marian College</w:t>
            </w:r>
          </w:p>
        </w:tc>
        <w:tc>
          <w:tcPr>
            <w:tcW w:w="907" w:type="dxa"/>
            <w:shd w:val="clear" w:color="auto" w:fill="auto"/>
          </w:tcPr>
          <w:p w:rsidR="006D2D1A" w:rsidRDefault="006D2D1A" w:rsidP="008429FD">
            <w:pPr>
              <w:pStyle w:val="AppendixTableText"/>
            </w:pPr>
            <w:r>
              <w:t>15/02/2011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1592</w:t>
            </w:r>
          </w:p>
        </w:tc>
        <w:tc>
          <w:tcPr>
            <w:tcW w:w="2333" w:type="dxa"/>
            <w:shd w:val="clear" w:color="auto" w:fill="auto"/>
          </w:tcPr>
          <w:p w:rsidR="006D2D1A" w:rsidRDefault="006D2D1A" w:rsidP="008429FD">
            <w:pPr>
              <w:pStyle w:val="AppendixTableText"/>
            </w:pPr>
            <w:r>
              <w:t>Marina View School</w:t>
            </w:r>
          </w:p>
        </w:tc>
        <w:tc>
          <w:tcPr>
            <w:tcW w:w="907" w:type="dxa"/>
            <w:shd w:val="clear" w:color="auto" w:fill="auto"/>
          </w:tcPr>
          <w:p w:rsidR="006D2D1A" w:rsidRDefault="006D2D1A" w:rsidP="008429FD">
            <w:pPr>
              <w:pStyle w:val="AppendixTableText"/>
            </w:pPr>
            <w:r>
              <w:t>2/12/1999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1362</w:t>
            </w:r>
          </w:p>
        </w:tc>
        <w:tc>
          <w:tcPr>
            <w:tcW w:w="2333" w:type="dxa"/>
            <w:shd w:val="clear" w:color="auto" w:fill="auto"/>
          </w:tcPr>
          <w:p w:rsidR="006D2D1A" w:rsidRDefault="006D2D1A" w:rsidP="008429FD">
            <w:pPr>
              <w:pStyle w:val="AppendixTableText"/>
            </w:pPr>
            <w:r>
              <w:t>Marshall Laing School</w:t>
            </w:r>
          </w:p>
        </w:tc>
        <w:tc>
          <w:tcPr>
            <w:tcW w:w="907" w:type="dxa"/>
            <w:shd w:val="clear" w:color="auto" w:fill="auto"/>
          </w:tcPr>
          <w:p w:rsidR="006D2D1A" w:rsidRDefault="006D2D1A" w:rsidP="008429FD">
            <w:pPr>
              <w:pStyle w:val="AppendixTableText"/>
            </w:pPr>
            <w:r>
              <w:t>8/09/1999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3429</w:t>
            </w:r>
          </w:p>
        </w:tc>
        <w:tc>
          <w:tcPr>
            <w:tcW w:w="2333" w:type="dxa"/>
            <w:shd w:val="clear" w:color="auto" w:fill="auto"/>
          </w:tcPr>
          <w:p w:rsidR="006D2D1A" w:rsidRDefault="006D2D1A" w:rsidP="008429FD">
            <w:pPr>
              <w:pStyle w:val="AppendixTableText"/>
            </w:pPr>
            <w:r>
              <w:t>Marshland School</w:t>
            </w:r>
          </w:p>
        </w:tc>
        <w:tc>
          <w:tcPr>
            <w:tcW w:w="907" w:type="dxa"/>
            <w:shd w:val="clear" w:color="auto" w:fill="auto"/>
          </w:tcPr>
          <w:p w:rsidR="006D2D1A" w:rsidRDefault="006D2D1A" w:rsidP="008429FD">
            <w:pPr>
              <w:pStyle w:val="AppendixTableText"/>
            </w:pPr>
            <w:r>
              <w:t>10/05/2002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43</w:t>
            </w:r>
          </w:p>
        </w:tc>
        <w:tc>
          <w:tcPr>
            <w:tcW w:w="2333" w:type="dxa"/>
            <w:shd w:val="clear" w:color="auto" w:fill="auto"/>
          </w:tcPr>
          <w:p w:rsidR="006D2D1A" w:rsidRDefault="006D2D1A" w:rsidP="008429FD">
            <w:pPr>
              <w:pStyle w:val="AppendixTableText"/>
            </w:pPr>
            <w:r>
              <w:t>Massey High School</w:t>
            </w:r>
          </w:p>
        </w:tc>
        <w:tc>
          <w:tcPr>
            <w:tcW w:w="907" w:type="dxa"/>
            <w:shd w:val="clear" w:color="auto" w:fill="auto"/>
          </w:tcPr>
          <w:p w:rsidR="006D2D1A" w:rsidRDefault="006D2D1A" w:rsidP="008429FD">
            <w:pPr>
              <w:pStyle w:val="AppendixTableText"/>
            </w:pPr>
            <w:r>
              <w:t>18/12/2000</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1363</w:t>
            </w:r>
          </w:p>
        </w:tc>
        <w:tc>
          <w:tcPr>
            <w:tcW w:w="2333" w:type="dxa"/>
            <w:shd w:val="clear" w:color="auto" w:fill="auto"/>
          </w:tcPr>
          <w:p w:rsidR="006D2D1A" w:rsidRDefault="006D2D1A" w:rsidP="008429FD">
            <w:pPr>
              <w:pStyle w:val="AppendixTableText"/>
            </w:pPr>
            <w:r>
              <w:t>Massey Primary School</w:t>
            </w:r>
          </w:p>
        </w:tc>
        <w:tc>
          <w:tcPr>
            <w:tcW w:w="907" w:type="dxa"/>
            <w:shd w:val="clear" w:color="auto" w:fill="auto"/>
          </w:tcPr>
          <w:p w:rsidR="006D2D1A" w:rsidRDefault="006D2D1A" w:rsidP="008429FD">
            <w:pPr>
              <w:pStyle w:val="AppendixTableText"/>
            </w:pPr>
            <w:r>
              <w:t>19/10/1999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1813</w:t>
            </w:r>
          </w:p>
        </w:tc>
        <w:tc>
          <w:tcPr>
            <w:tcW w:w="2333" w:type="dxa"/>
            <w:shd w:val="clear" w:color="auto" w:fill="auto"/>
          </w:tcPr>
          <w:p w:rsidR="006D2D1A" w:rsidRDefault="006D2D1A" w:rsidP="008429FD">
            <w:pPr>
              <w:pStyle w:val="AppendixTableText"/>
            </w:pPr>
            <w:r>
              <w:t>Matamata Primary School</w:t>
            </w:r>
          </w:p>
        </w:tc>
        <w:tc>
          <w:tcPr>
            <w:tcW w:w="907" w:type="dxa"/>
            <w:shd w:val="clear" w:color="auto" w:fill="auto"/>
          </w:tcPr>
          <w:p w:rsidR="006D2D1A" w:rsidRDefault="006D2D1A" w:rsidP="008429FD">
            <w:pPr>
              <w:pStyle w:val="AppendixTableText"/>
            </w:pPr>
            <w:r>
              <w:t>15/09/2010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1043</w:t>
            </w:r>
          </w:p>
        </w:tc>
        <w:tc>
          <w:tcPr>
            <w:tcW w:w="2333" w:type="dxa"/>
            <w:shd w:val="clear" w:color="auto" w:fill="auto"/>
          </w:tcPr>
          <w:p w:rsidR="006D2D1A" w:rsidRDefault="006D2D1A" w:rsidP="008429FD">
            <w:pPr>
              <w:pStyle w:val="AppendixTableText"/>
            </w:pPr>
            <w:r>
              <w:t>Matarau School</w:t>
            </w:r>
          </w:p>
        </w:tc>
        <w:tc>
          <w:tcPr>
            <w:tcW w:w="907" w:type="dxa"/>
            <w:shd w:val="clear" w:color="auto" w:fill="auto"/>
          </w:tcPr>
          <w:p w:rsidR="006D2D1A" w:rsidRDefault="006D2D1A" w:rsidP="008429FD">
            <w:pPr>
              <w:pStyle w:val="AppendixTableText"/>
            </w:pPr>
            <w:r>
              <w:t>1/12/2009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1365</w:t>
            </w:r>
          </w:p>
        </w:tc>
        <w:tc>
          <w:tcPr>
            <w:tcW w:w="2333" w:type="dxa"/>
            <w:shd w:val="clear" w:color="auto" w:fill="auto"/>
          </w:tcPr>
          <w:p w:rsidR="006D2D1A" w:rsidRDefault="006D2D1A" w:rsidP="008429FD">
            <w:pPr>
              <w:pStyle w:val="AppendixTableText"/>
            </w:pPr>
            <w:r>
              <w:t>Matipo Road School</w:t>
            </w:r>
          </w:p>
        </w:tc>
        <w:tc>
          <w:tcPr>
            <w:tcW w:w="907" w:type="dxa"/>
            <w:shd w:val="clear" w:color="auto" w:fill="auto"/>
          </w:tcPr>
          <w:p w:rsidR="006D2D1A" w:rsidRDefault="006D2D1A" w:rsidP="008429FD">
            <w:pPr>
              <w:pStyle w:val="AppendixTableText"/>
            </w:pPr>
            <w:r>
              <w:t>1/10/2012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1820</w:t>
            </w:r>
          </w:p>
        </w:tc>
        <w:tc>
          <w:tcPr>
            <w:tcW w:w="2333" w:type="dxa"/>
            <w:shd w:val="clear" w:color="auto" w:fill="auto"/>
          </w:tcPr>
          <w:p w:rsidR="006D2D1A" w:rsidRDefault="006D2D1A" w:rsidP="008429FD">
            <w:pPr>
              <w:pStyle w:val="AppendixTableText"/>
            </w:pPr>
            <w:r>
              <w:t>Matua School</w:t>
            </w:r>
          </w:p>
        </w:tc>
        <w:tc>
          <w:tcPr>
            <w:tcW w:w="907" w:type="dxa"/>
            <w:shd w:val="clear" w:color="auto" w:fill="auto"/>
          </w:tcPr>
          <w:p w:rsidR="006D2D1A" w:rsidRDefault="006D2D1A" w:rsidP="008429FD">
            <w:pPr>
              <w:pStyle w:val="AppendixTableText"/>
            </w:pPr>
            <w:r>
              <w:t>17/12/2007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2968</w:t>
            </w:r>
          </w:p>
        </w:tc>
        <w:tc>
          <w:tcPr>
            <w:tcW w:w="2333" w:type="dxa"/>
            <w:shd w:val="clear" w:color="auto" w:fill="auto"/>
          </w:tcPr>
          <w:p w:rsidR="006D2D1A" w:rsidRDefault="006D2D1A" w:rsidP="008429FD">
            <w:pPr>
              <w:pStyle w:val="AppendixTableText"/>
            </w:pPr>
            <w:r>
              <w:t>Maungaraki School</w:t>
            </w:r>
          </w:p>
        </w:tc>
        <w:tc>
          <w:tcPr>
            <w:tcW w:w="907" w:type="dxa"/>
            <w:shd w:val="clear" w:color="auto" w:fill="auto"/>
          </w:tcPr>
          <w:p w:rsidR="006D2D1A" w:rsidRDefault="006D2D1A" w:rsidP="008429FD">
            <w:pPr>
              <w:pStyle w:val="AppendixTableText"/>
            </w:pPr>
            <w:r>
              <w:t>27/01/2006</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1821</w:t>
            </w:r>
          </w:p>
        </w:tc>
        <w:tc>
          <w:tcPr>
            <w:tcW w:w="2333" w:type="dxa"/>
            <w:shd w:val="clear" w:color="auto" w:fill="auto"/>
          </w:tcPr>
          <w:p w:rsidR="006D2D1A" w:rsidRDefault="006D2D1A" w:rsidP="008429FD">
            <w:pPr>
              <w:pStyle w:val="AppendixTableText"/>
            </w:pPr>
            <w:r>
              <w:t>Maungatapu School</w:t>
            </w:r>
          </w:p>
        </w:tc>
        <w:tc>
          <w:tcPr>
            <w:tcW w:w="907" w:type="dxa"/>
            <w:shd w:val="clear" w:color="auto" w:fill="auto"/>
          </w:tcPr>
          <w:p w:rsidR="006D2D1A" w:rsidRDefault="006D2D1A" w:rsidP="008429FD">
            <w:pPr>
              <w:pStyle w:val="AppendixTableText"/>
            </w:pPr>
            <w:r>
              <w:t>16/03/2007</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1367</w:t>
            </w:r>
          </w:p>
        </w:tc>
        <w:tc>
          <w:tcPr>
            <w:tcW w:w="2333" w:type="dxa"/>
            <w:shd w:val="clear" w:color="auto" w:fill="auto"/>
          </w:tcPr>
          <w:p w:rsidR="006D2D1A" w:rsidRDefault="006D2D1A" w:rsidP="008429FD">
            <w:pPr>
              <w:pStyle w:val="AppendixTableText"/>
            </w:pPr>
            <w:r>
              <w:t>Maungawhau School</w:t>
            </w:r>
          </w:p>
        </w:tc>
        <w:tc>
          <w:tcPr>
            <w:tcW w:w="907" w:type="dxa"/>
            <w:shd w:val="clear" w:color="auto" w:fill="auto"/>
          </w:tcPr>
          <w:p w:rsidR="006D2D1A" w:rsidRDefault="006D2D1A" w:rsidP="008429FD">
            <w:pPr>
              <w:pStyle w:val="AppendixTableText"/>
            </w:pPr>
            <w:r>
              <w:t>26/11/1999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1050</w:t>
            </w:r>
          </w:p>
        </w:tc>
        <w:tc>
          <w:tcPr>
            <w:tcW w:w="2333" w:type="dxa"/>
            <w:shd w:val="clear" w:color="auto" w:fill="auto"/>
          </w:tcPr>
          <w:p w:rsidR="006D2D1A" w:rsidRDefault="006D2D1A" w:rsidP="008429FD">
            <w:pPr>
              <w:pStyle w:val="AppendixTableText"/>
            </w:pPr>
            <w:r>
              <w:t>Maunu School</w:t>
            </w:r>
          </w:p>
        </w:tc>
        <w:tc>
          <w:tcPr>
            <w:tcW w:w="907" w:type="dxa"/>
            <w:shd w:val="clear" w:color="auto" w:fill="auto"/>
          </w:tcPr>
          <w:p w:rsidR="006D2D1A" w:rsidRDefault="006D2D1A" w:rsidP="008429FD">
            <w:pPr>
              <w:pStyle w:val="AppendixTableText"/>
            </w:pPr>
            <w:r>
              <w:t>24/12/2007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1370</w:t>
            </w:r>
          </w:p>
        </w:tc>
        <w:tc>
          <w:tcPr>
            <w:tcW w:w="2333" w:type="dxa"/>
            <w:shd w:val="clear" w:color="auto" w:fill="auto"/>
          </w:tcPr>
          <w:p w:rsidR="006D2D1A" w:rsidRDefault="006D2D1A" w:rsidP="008429FD">
            <w:pPr>
              <w:pStyle w:val="AppendixTableText"/>
            </w:pPr>
            <w:r>
              <w:t>Meadowbank School</w:t>
            </w:r>
          </w:p>
        </w:tc>
        <w:tc>
          <w:tcPr>
            <w:tcW w:w="907" w:type="dxa"/>
            <w:shd w:val="clear" w:color="auto" w:fill="auto"/>
          </w:tcPr>
          <w:p w:rsidR="006D2D1A" w:rsidRDefault="006D2D1A" w:rsidP="008429FD">
            <w:pPr>
              <w:pStyle w:val="AppendixTableText"/>
            </w:pPr>
            <w:r>
              <w:t>27/09/1999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1371</w:t>
            </w:r>
          </w:p>
        </w:tc>
        <w:tc>
          <w:tcPr>
            <w:tcW w:w="2333" w:type="dxa"/>
            <w:shd w:val="clear" w:color="auto" w:fill="auto"/>
          </w:tcPr>
          <w:p w:rsidR="006D2D1A" w:rsidRDefault="006D2D1A" w:rsidP="008429FD">
            <w:pPr>
              <w:pStyle w:val="AppendixTableText"/>
            </w:pPr>
            <w:r>
              <w:t>Mellons Bay School</w:t>
            </w:r>
          </w:p>
        </w:tc>
        <w:tc>
          <w:tcPr>
            <w:tcW w:w="907" w:type="dxa"/>
            <w:shd w:val="clear" w:color="auto" w:fill="auto"/>
          </w:tcPr>
          <w:p w:rsidR="006D2D1A" w:rsidRDefault="006D2D1A" w:rsidP="008429FD">
            <w:pPr>
              <w:pStyle w:val="AppendixTableText"/>
            </w:pPr>
            <w:r>
              <w:t>6/10/1999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3434</w:t>
            </w:r>
          </w:p>
        </w:tc>
        <w:tc>
          <w:tcPr>
            <w:tcW w:w="2333" w:type="dxa"/>
            <w:shd w:val="clear" w:color="auto" w:fill="auto"/>
          </w:tcPr>
          <w:p w:rsidR="006D2D1A" w:rsidRDefault="006D2D1A" w:rsidP="008429FD">
            <w:pPr>
              <w:pStyle w:val="AppendixTableText"/>
            </w:pPr>
            <w:r>
              <w:t>Merrin School</w:t>
            </w:r>
          </w:p>
        </w:tc>
        <w:tc>
          <w:tcPr>
            <w:tcW w:w="907" w:type="dxa"/>
            <w:shd w:val="clear" w:color="auto" w:fill="auto"/>
          </w:tcPr>
          <w:p w:rsidR="006D2D1A" w:rsidRDefault="006D2D1A" w:rsidP="008429FD">
            <w:pPr>
              <w:pStyle w:val="AppendixTableText"/>
            </w:pPr>
            <w:r>
              <w:t>22/10/1999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3436</w:t>
            </w:r>
          </w:p>
        </w:tc>
        <w:tc>
          <w:tcPr>
            <w:tcW w:w="2333" w:type="dxa"/>
            <w:shd w:val="clear" w:color="auto" w:fill="auto"/>
          </w:tcPr>
          <w:p w:rsidR="006D2D1A" w:rsidRDefault="006D2D1A" w:rsidP="008429FD">
            <w:pPr>
              <w:pStyle w:val="AppendixTableText"/>
            </w:pPr>
            <w:r>
              <w:t>Methven School</w:t>
            </w:r>
          </w:p>
        </w:tc>
        <w:tc>
          <w:tcPr>
            <w:tcW w:w="907" w:type="dxa"/>
            <w:shd w:val="clear" w:color="auto" w:fill="auto"/>
          </w:tcPr>
          <w:p w:rsidR="006D2D1A" w:rsidRDefault="006D2D1A" w:rsidP="008429FD">
            <w:pPr>
              <w:pStyle w:val="AppendixTableText"/>
            </w:pPr>
            <w:r>
              <w:t>9/05/2008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335</w:t>
            </w:r>
          </w:p>
        </w:tc>
        <w:tc>
          <w:tcPr>
            <w:tcW w:w="2333" w:type="dxa"/>
            <w:shd w:val="clear" w:color="auto" w:fill="auto"/>
          </w:tcPr>
          <w:p w:rsidR="006D2D1A" w:rsidRDefault="006D2D1A" w:rsidP="008429FD">
            <w:pPr>
              <w:pStyle w:val="AppendixTableText"/>
            </w:pPr>
            <w:r>
              <w:t>Middleton Grange School</w:t>
            </w:r>
          </w:p>
        </w:tc>
        <w:tc>
          <w:tcPr>
            <w:tcW w:w="907" w:type="dxa"/>
            <w:shd w:val="clear" w:color="auto" w:fill="auto"/>
          </w:tcPr>
          <w:p w:rsidR="006D2D1A" w:rsidRDefault="006D2D1A" w:rsidP="008429FD">
            <w:pPr>
              <w:pStyle w:val="AppendixTableText"/>
            </w:pPr>
            <w:r>
              <w:t>2/05/2006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1375</w:t>
            </w:r>
          </w:p>
        </w:tc>
        <w:tc>
          <w:tcPr>
            <w:tcW w:w="2333" w:type="dxa"/>
            <w:shd w:val="clear" w:color="auto" w:fill="auto"/>
          </w:tcPr>
          <w:p w:rsidR="006D2D1A" w:rsidRDefault="006D2D1A" w:rsidP="008429FD">
            <w:pPr>
              <w:pStyle w:val="AppendixTableText"/>
            </w:pPr>
            <w:r>
              <w:t>Milford School (Auckland)</w:t>
            </w:r>
          </w:p>
        </w:tc>
        <w:tc>
          <w:tcPr>
            <w:tcW w:w="907" w:type="dxa"/>
            <w:shd w:val="clear" w:color="auto" w:fill="auto"/>
          </w:tcPr>
          <w:p w:rsidR="006D2D1A" w:rsidRDefault="006D2D1A" w:rsidP="008429FD">
            <w:pPr>
              <w:pStyle w:val="AppendixTableText"/>
            </w:pPr>
            <w:r>
              <w:t>6/10/1999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2199</w:t>
            </w:r>
          </w:p>
        </w:tc>
        <w:tc>
          <w:tcPr>
            <w:tcW w:w="2333" w:type="dxa"/>
            <w:shd w:val="clear" w:color="auto" w:fill="auto"/>
          </w:tcPr>
          <w:p w:rsidR="006D2D1A" w:rsidRDefault="006D2D1A" w:rsidP="008429FD">
            <w:pPr>
              <w:pStyle w:val="AppendixTableText"/>
            </w:pPr>
            <w:r>
              <w:t>Mimi School</w:t>
            </w:r>
          </w:p>
        </w:tc>
        <w:tc>
          <w:tcPr>
            <w:tcW w:w="907" w:type="dxa"/>
            <w:shd w:val="clear" w:color="auto" w:fill="auto"/>
          </w:tcPr>
          <w:p w:rsidR="006D2D1A" w:rsidRDefault="006D2D1A" w:rsidP="008429FD">
            <w:pPr>
              <w:pStyle w:val="AppendixTableText"/>
            </w:pPr>
            <w:r>
              <w:t>9/08/2012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2916</w:t>
            </w:r>
          </w:p>
        </w:tc>
        <w:tc>
          <w:tcPr>
            <w:tcW w:w="2333" w:type="dxa"/>
            <w:shd w:val="clear" w:color="auto" w:fill="auto"/>
          </w:tcPr>
          <w:p w:rsidR="006D2D1A" w:rsidRDefault="006D2D1A" w:rsidP="008429FD">
            <w:pPr>
              <w:pStyle w:val="AppendixTableText"/>
            </w:pPr>
            <w:r>
              <w:t>Miramar North School</w:t>
            </w:r>
          </w:p>
        </w:tc>
        <w:tc>
          <w:tcPr>
            <w:tcW w:w="907" w:type="dxa"/>
            <w:shd w:val="clear" w:color="auto" w:fill="auto"/>
          </w:tcPr>
          <w:p w:rsidR="006D2D1A" w:rsidRDefault="006D2D1A" w:rsidP="008429FD">
            <w:pPr>
              <w:pStyle w:val="AppendixTableText"/>
            </w:pPr>
            <w:r>
              <w:t>6/04/2001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553</w:t>
            </w:r>
          </w:p>
        </w:tc>
        <w:tc>
          <w:tcPr>
            <w:tcW w:w="2333" w:type="dxa"/>
            <w:shd w:val="clear" w:color="auto" w:fill="auto"/>
          </w:tcPr>
          <w:p w:rsidR="006D2D1A" w:rsidRDefault="006D2D1A" w:rsidP="008429FD">
            <w:pPr>
              <w:pStyle w:val="AppendixTableText"/>
            </w:pPr>
            <w:r>
              <w:t>Mission Heights Junior College</w:t>
            </w:r>
          </w:p>
        </w:tc>
        <w:tc>
          <w:tcPr>
            <w:tcW w:w="907" w:type="dxa"/>
            <w:shd w:val="clear" w:color="auto" w:fill="auto"/>
          </w:tcPr>
          <w:p w:rsidR="006D2D1A" w:rsidRDefault="006D2D1A" w:rsidP="008429FD">
            <w:pPr>
              <w:pStyle w:val="AppendixTableText"/>
            </w:pPr>
            <w:r>
              <w:t>15/05/2008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570</w:t>
            </w:r>
          </w:p>
        </w:tc>
        <w:tc>
          <w:tcPr>
            <w:tcW w:w="2333" w:type="dxa"/>
            <w:shd w:val="clear" w:color="auto" w:fill="auto"/>
          </w:tcPr>
          <w:p w:rsidR="006D2D1A" w:rsidRDefault="006D2D1A" w:rsidP="008429FD">
            <w:pPr>
              <w:pStyle w:val="AppendixTableText"/>
            </w:pPr>
            <w:r>
              <w:t>Mission Heights Primary School</w:t>
            </w:r>
          </w:p>
        </w:tc>
        <w:tc>
          <w:tcPr>
            <w:tcW w:w="907" w:type="dxa"/>
            <w:shd w:val="clear" w:color="auto" w:fill="auto"/>
          </w:tcPr>
          <w:p w:rsidR="006D2D1A" w:rsidRDefault="006D2D1A" w:rsidP="008429FD">
            <w:pPr>
              <w:pStyle w:val="AppendixTableText"/>
            </w:pPr>
            <w:r>
              <w:t>15/05/2008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2403</w:t>
            </w:r>
          </w:p>
        </w:tc>
        <w:tc>
          <w:tcPr>
            <w:tcW w:w="2333" w:type="dxa"/>
            <w:shd w:val="clear" w:color="auto" w:fill="auto"/>
          </w:tcPr>
          <w:p w:rsidR="006D2D1A" w:rsidRDefault="006D2D1A" w:rsidP="008429FD">
            <w:pPr>
              <w:pStyle w:val="AppendixTableText"/>
            </w:pPr>
            <w:r>
              <w:t>Mosston School</w:t>
            </w:r>
          </w:p>
        </w:tc>
        <w:tc>
          <w:tcPr>
            <w:tcW w:w="907" w:type="dxa"/>
            <w:shd w:val="clear" w:color="auto" w:fill="auto"/>
          </w:tcPr>
          <w:p w:rsidR="006D2D1A" w:rsidRDefault="006D2D1A" w:rsidP="008429FD">
            <w:pPr>
              <w:pStyle w:val="AppendixTableText"/>
            </w:pPr>
            <w:r>
              <w:t>29/03/2005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3206</w:t>
            </w:r>
          </w:p>
        </w:tc>
        <w:tc>
          <w:tcPr>
            <w:tcW w:w="2333" w:type="dxa"/>
            <w:shd w:val="clear" w:color="auto" w:fill="auto"/>
          </w:tcPr>
          <w:p w:rsidR="006D2D1A" w:rsidRDefault="006D2D1A" w:rsidP="008429FD">
            <w:pPr>
              <w:pStyle w:val="AppendixTableText"/>
            </w:pPr>
            <w:r>
              <w:t>Motueka South School</w:t>
            </w:r>
          </w:p>
        </w:tc>
        <w:tc>
          <w:tcPr>
            <w:tcW w:w="907" w:type="dxa"/>
            <w:shd w:val="clear" w:color="auto" w:fill="auto"/>
          </w:tcPr>
          <w:p w:rsidR="006D2D1A" w:rsidRDefault="006D2D1A" w:rsidP="008429FD">
            <w:pPr>
              <w:pStyle w:val="AppendixTableText"/>
            </w:pPr>
            <w:r>
              <w:t>29/11/1999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2404</w:t>
            </w:r>
          </w:p>
        </w:tc>
        <w:tc>
          <w:tcPr>
            <w:tcW w:w="2333" w:type="dxa"/>
            <w:shd w:val="clear" w:color="auto" w:fill="auto"/>
          </w:tcPr>
          <w:p w:rsidR="006D2D1A" w:rsidRDefault="006D2D1A" w:rsidP="008429FD">
            <w:pPr>
              <w:pStyle w:val="AppendixTableText"/>
            </w:pPr>
            <w:r>
              <w:t>Mount Biggs School</w:t>
            </w:r>
          </w:p>
        </w:tc>
        <w:tc>
          <w:tcPr>
            <w:tcW w:w="907" w:type="dxa"/>
            <w:shd w:val="clear" w:color="auto" w:fill="auto"/>
          </w:tcPr>
          <w:p w:rsidR="006D2D1A" w:rsidRDefault="006D2D1A" w:rsidP="008429FD">
            <w:pPr>
              <w:pStyle w:val="AppendixTableText"/>
            </w:pPr>
            <w:r>
              <w:t>17/09/1999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348</w:t>
            </w:r>
          </w:p>
        </w:tc>
        <w:tc>
          <w:tcPr>
            <w:tcW w:w="2333" w:type="dxa"/>
            <w:shd w:val="clear" w:color="auto" w:fill="auto"/>
          </w:tcPr>
          <w:p w:rsidR="006D2D1A" w:rsidRDefault="006D2D1A" w:rsidP="008429FD">
            <w:pPr>
              <w:pStyle w:val="AppendixTableText"/>
            </w:pPr>
            <w:r>
              <w:t>Mount Hutt College</w:t>
            </w:r>
          </w:p>
        </w:tc>
        <w:tc>
          <w:tcPr>
            <w:tcW w:w="907" w:type="dxa"/>
            <w:shd w:val="clear" w:color="auto" w:fill="auto"/>
          </w:tcPr>
          <w:p w:rsidR="006D2D1A" w:rsidRDefault="006D2D1A" w:rsidP="008429FD">
            <w:pPr>
              <w:pStyle w:val="AppendixTableText"/>
            </w:pPr>
            <w:r>
              <w:t>29/06/2006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69</w:t>
            </w:r>
          </w:p>
        </w:tc>
        <w:tc>
          <w:tcPr>
            <w:tcW w:w="2333" w:type="dxa"/>
            <w:shd w:val="clear" w:color="auto" w:fill="auto"/>
          </w:tcPr>
          <w:p w:rsidR="006D2D1A" w:rsidRDefault="006D2D1A" w:rsidP="008429FD">
            <w:pPr>
              <w:pStyle w:val="AppendixTableText"/>
            </w:pPr>
            <w:r>
              <w:t>Mt Albert Grammar School</w:t>
            </w:r>
          </w:p>
        </w:tc>
        <w:tc>
          <w:tcPr>
            <w:tcW w:w="907" w:type="dxa"/>
            <w:shd w:val="clear" w:color="auto" w:fill="auto"/>
          </w:tcPr>
          <w:p w:rsidR="006D2D1A" w:rsidRDefault="006D2D1A" w:rsidP="008429FD">
            <w:pPr>
              <w:pStyle w:val="AppendixTableText"/>
            </w:pPr>
            <w:r>
              <w:t>22/05/2000</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1382</w:t>
            </w:r>
          </w:p>
        </w:tc>
        <w:tc>
          <w:tcPr>
            <w:tcW w:w="2333" w:type="dxa"/>
            <w:shd w:val="clear" w:color="auto" w:fill="auto"/>
          </w:tcPr>
          <w:p w:rsidR="006D2D1A" w:rsidRDefault="006D2D1A" w:rsidP="008429FD">
            <w:pPr>
              <w:pStyle w:val="AppendixTableText"/>
            </w:pPr>
            <w:r>
              <w:t>Mt Carmel School (Meadowbank)</w:t>
            </w:r>
          </w:p>
        </w:tc>
        <w:tc>
          <w:tcPr>
            <w:tcW w:w="907" w:type="dxa"/>
            <w:shd w:val="clear" w:color="auto" w:fill="auto"/>
          </w:tcPr>
          <w:p w:rsidR="006D2D1A" w:rsidRDefault="006D2D1A" w:rsidP="008429FD">
            <w:pPr>
              <w:pStyle w:val="AppendixTableText"/>
            </w:pPr>
            <w:r>
              <w:t>4/11/2008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2918</w:t>
            </w:r>
          </w:p>
        </w:tc>
        <w:tc>
          <w:tcPr>
            <w:tcW w:w="2333" w:type="dxa"/>
            <w:shd w:val="clear" w:color="auto" w:fill="auto"/>
          </w:tcPr>
          <w:p w:rsidR="006D2D1A" w:rsidRDefault="006D2D1A" w:rsidP="008429FD">
            <w:pPr>
              <w:pStyle w:val="AppendixTableText"/>
            </w:pPr>
            <w:r>
              <w:t>Mt Cook School (Wellington)</w:t>
            </w:r>
          </w:p>
        </w:tc>
        <w:tc>
          <w:tcPr>
            <w:tcW w:w="907" w:type="dxa"/>
            <w:shd w:val="clear" w:color="auto" w:fill="auto"/>
          </w:tcPr>
          <w:p w:rsidR="006D2D1A" w:rsidRDefault="006D2D1A" w:rsidP="008429FD">
            <w:pPr>
              <w:pStyle w:val="AppendixTableText"/>
            </w:pPr>
            <w:r>
              <w:t>8/12/2010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1378</w:t>
            </w:r>
          </w:p>
        </w:tc>
        <w:tc>
          <w:tcPr>
            <w:tcW w:w="2333" w:type="dxa"/>
            <w:shd w:val="clear" w:color="auto" w:fill="auto"/>
          </w:tcPr>
          <w:p w:rsidR="006D2D1A" w:rsidRDefault="006D2D1A" w:rsidP="008429FD">
            <w:pPr>
              <w:pStyle w:val="AppendixTableText"/>
            </w:pPr>
            <w:r>
              <w:t>Mt Eden Normal School</w:t>
            </w:r>
          </w:p>
        </w:tc>
        <w:tc>
          <w:tcPr>
            <w:tcW w:w="907" w:type="dxa"/>
            <w:shd w:val="clear" w:color="auto" w:fill="auto"/>
          </w:tcPr>
          <w:p w:rsidR="006D2D1A" w:rsidRDefault="006D2D1A" w:rsidP="008429FD">
            <w:pPr>
              <w:pStyle w:val="AppendixTableText"/>
            </w:pPr>
            <w:r>
              <w:t>26/11/1999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1838</w:t>
            </w:r>
          </w:p>
        </w:tc>
        <w:tc>
          <w:tcPr>
            <w:tcW w:w="2333" w:type="dxa"/>
            <w:shd w:val="clear" w:color="auto" w:fill="auto"/>
          </w:tcPr>
          <w:p w:rsidR="006D2D1A" w:rsidRDefault="006D2D1A" w:rsidP="008429FD">
            <w:pPr>
              <w:pStyle w:val="AppendixTableText"/>
            </w:pPr>
            <w:r>
              <w:t>Mt Maunganui School</w:t>
            </w:r>
          </w:p>
        </w:tc>
        <w:tc>
          <w:tcPr>
            <w:tcW w:w="907" w:type="dxa"/>
            <w:shd w:val="clear" w:color="auto" w:fill="auto"/>
          </w:tcPr>
          <w:p w:rsidR="006D2D1A" w:rsidRDefault="006D2D1A" w:rsidP="008429FD">
            <w:pPr>
              <w:pStyle w:val="AppendixTableText"/>
            </w:pPr>
            <w:r>
              <w:t>27/01/2008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3443</w:t>
            </w:r>
          </w:p>
        </w:tc>
        <w:tc>
          <w:tcPr>
            <w:tcW w:w="2333" w:type="dxa"/>
            <w:shd w:val="clear" w:color="auto" w:fill="auto"/>
          </w:tcPr>
          <w:p w:rsidR="006D2D1A" w:rsidRDefault="006D2D1A" w:rsidP="008429FD">
            <w:pPr>
              <w:pStyle w:val="AppendixTableText"/>
            </w:pPr>
            <w:r>
              <w:t>Mt Pleasant School</w:t>
            </w:r>
          </w:p>
        </w:tc>
        <w:tc>
          <w:tcPr>
            <w:tcW w:w="907" w:type="dxa"/>
            <w:shd w:val="clear" w:color="auto" w:fill="auto"/>
          </w:tcPr>
          <w:p w:rsidR="006D2D1A" w:rsidRDefault="006D2D1A" w:rsidP="008429FD">
            <w:pPr>
              <w:pStyle w:val="AppendixTableText"/>
            </w:pPr>
            <w:r>
              <w:t>1/11/2005</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74</w:t>
            </w:r>
          </w:p>
        </w:tc>
        <w:tc>
          <w:tcPr>
            <w:tcW w:w="2333" w:type="dxa"/>
            <w:shd w:val="clear" w:color="auto" w:fill="auto"/>
          </w:tcPr>
          <w:p w:rsidR="006D2D1A" w:rsidRDefault="006D2D1A" w:rsidP="008429FD">
            <w:pPr>
              <w:pStyle w:val="AppendixTableText"/>
            </w:pPr>
            <w:r>
              <w:t>Mt Roskill Grammar</w:t>
            </w:r>
          </w:p>
        </w:tc>
        <w:tc>
          <w:tcPr>
            <w:tcW w:w="907" w:type="dxa"/>
            <w:shd w:val="clear" w:color="auto" w:fill="auto"/>
          </w:tcPr>
          <w:p w:rsidR="006D2D1A" w:rsidRDefault="006D2D1A" w:rsidP="008429FD">
            <w:pPr>
              <w:pStyle w:val="AppendixTableText"/>
            </w:pPr>
            <w:r>
              <w:t>3/08/1999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1383</w:t>
            </w:r>
          </w:p>
        </w:tc>
        <w:tc>
          <w:tcPr>
            <w:tcW w:w="2333" w:type="dxa"/>
            <w:shd w:val="clear" w:color="auto" w:fill="auto"/>
          </w:tcPr>
          <w:p w:rsidR="006D2D1A" w:rsidRDefault="006D2D1A" w:rsidP="008429FD">
            <w:pPr>
              <w:pStyle w:val="AppendixTableText"/>
            </w:pPr>
            <w:r>
              <w:t>Mt Roskill Intermediate</w:t>
            </w:r>
          </w:p>
        </w:tc>
        <w:tc>
          <w:tcPr>
            <w:tcW w:w="907" w:type="dxa"/>
            <w:shd w:val="clear" w:color="auto" w:fill="auto"/>
          </w:tcPr>
          <w:p w:rsidR="006D2D1A" w:rsidRDefault="006D2D1A" w:rsidP="008429FD">
            <w:pPr>
              <w:pStyle w:val="AppendixTableText"/>
            </w:pPr>
            <w:r>
              <w:t>29/07/2002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1384</w:t>
            </w:r>
          </w:p>
        </w:tc>
        <w:tc>
          <w:tcPr>
            <w:tcW w:w="2333" w:type="dxa"/>
            <w:shd w:val="clear" w:color="auto" w:fill="auto"/>
          </w:tcPr>
          <w:p w:rsidR="006D2D1A" w:rsidRDefault="006D2D1A" w:rsidP="008429FD">
            <w:pPr>
              <w:pStyle w:val="AppendixTableText"/>
            </w:pPr>
            <w:r>
              <w:t>Mt Roskill Primary School</w:t>
            </w:r>
          </w:p>
        </w:tc>
        <w:tc>
          <w:tcPr>
            <w:tcW w:w="907" w:type="dxa"/>
            <w:shd w:val="clear" w:color="auto" w:fill="auto"/>
          </w:tcPr>
          <w:p w:rsidR="006D2D1A" w:rsidRDefault="006D2D1A" w:rsidP="008429FD">
            <w:pPr>
              <w:pStyle w:val="AppendixTableText"/>
            </w:pPr>
            <w:r>
              <w:t>17/09/1999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3441</w:t>
            </w:r>
          </w:p>
        </w:tc>
        <w:tc>
          <w:tcPr>
            <w:tcW w:w="2333" w:type="dxa"/>
            <w:shd w:val="clear" w:color="auto" w:fill="auto"/>
          </w:tcPr>
          <w:p w:rsidR="006D2D1A" w:rsidRDefault="006D2D1A" w:rsidP="008429FD">
            <w:pPr>
              <w:pStyle w:val="AppendixTableText"/>
            </w:pPr>
            <w:r>
              <w:t>Mt Somers Springburn School</w:t>
            </w:r>
          </w:p>
        </w:tc>
        <w:tc>
          <w:tcPr>
            <w:tcW w:w="907" w:type="dxa"/>
            <w:shd w:val="clear" w:color="auto" w:fill="auto"/>
          </w:tcPr>
          <w:p w:rsidR="006D2D1A" w:rsidRDefault="006D2D1A" w:rsidP="008429FD">
            <w:pPr>
              <w:pStyle w:val="AppendixTableText"/>
            </w:pPr>
            <w:r>
              <w:t>18/02/2008</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1386</w:t>
            </w:r>
          </w:p>
        </w:tc>
        <w:tc>
          <w:tcPr>
            <w:tcW w:w="2333" w:type="dxa"/>
            <w:shd w:val="clear" w:color="auto" w:fill="auto"/>
          </w:tcPr>
          <w:p w:rsidR="006D2D1A" w:rsidRDefault="006D2D1A" w:rsidP="008429FD">
            <w:pPr>
              <w:pStyle w:val="AppendixTableText"/>
            </w:pPr>
            <w:r>
              <w:t>Murrays Bay Intermediate</w:t>
            </w:r>
          </w:p>
        </w:tc>
        <w:tc>
          <w:tcPr>
            <w:tcW w:w="907" w:type="dxa"/>
            <w:shd w:val="clear" w:color="auto" w:fill="auto"/>
          </w:tcPr>
          <w:p w:rsidR="006D2D1A" w:rsidRDefault="006D2D1A" w:rsidP="008429FD">
            <w:pPr>
              <w:pStyle w:val="AppendixTableText"/>
            </w:pPr>
            <w:r>
              <w:t>10/08/1999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1387</w:t>
            </w:r>
          </w:p>
        </w:tc>
        <w:tc>
          <w:tcPr>
            <w:tcW w:w="2333" w:type="dxa"/>
            <w:shd w:val="clear" w:color="auto" w:fill="auto"/>
          </w:tcPr>
          <w:p w:rsidR="006D2D1A" w:rsidRDefault="006D2D1A" w:rsidP="008429FD">
            <w:pPr>
              <w:pStyle w:val="AppendixTableText"/>
            </w:pPr>
            <w:r>
              <w:t>Murrays Bay School</w:t>
            </w:r>
          </w:p>
        </w:tc>
        <w:tc>
          <w:tcPr>
            <w:tcW w:w="907" w:type="dxa"/>
            <w:shd w:val="clear" w:color="auto" w:fill="auto"/>
          </w:tcPr>
          <w:p w:rsidR="006D2D1A" w:rsidRDefault="006D2D1A" w:rsidP="008429FD">
            <w:pPr>
              <w:pStyle w:val="AppendixTableText"/>
            </w:pPr>
            <w:r>
              <w:t>13/10/2011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3991</w:t>
            </w:r>
          </w:p>
        </w:tc>
        <w:tc>
          <w:tcPr>
            <w:tcW w:w="2333" w:type="dxa"/>
            <w:shd w:val="clear" w:color="auto" w:fill="auto"/>
          </w:tcPr>
          <w:p w:rsidR="006D2D1A" w:rsidRDefault="006D2D1A" w:rsidP="008429FD">
            <w:pPr>
              <w:pStyle w:val="AppendixTableText"/>
            </w:pPr>
            <w:r>
              <w:t>Myross Bush School</w:t>
            </w:r>
          </w:p>
        </w:tc>
        <w:tc>
          <w:tcPr>
            <w:tcW w:w="907" w:type="dxa"/>
            <w:shd w:val="clear" w:color="auto" w:fill="auto"/>
          </w:tcPr>
          <w:p w:rsidR="006D2D1A" w:rsidRDefault="006D2D1A" w:rsidP="008429FD">
            <w:pPr>
              <w:pStyle w:val="AppendixTableText"/>
            </w:pPr>
            <w:r>
              <w:t>10/03/2003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216</w:t>
            </w:r>
          </w:p>
        </w:tc>
        <w:tc>
          <w:tcPr>
            <w:tcW w:w="2333" w:type="dxa"/>
            <w:shd w:val="clear" w:color="auto" w:fill="auto"/>
          </w:tcPr>
          <w:p w:rsidR="006D2D1A" w:rsidRDefault="006D2D1A" w:rsidP="008429FD">
            <w:pPr>
              <w:pStyle w:val="AppendixTableText"/>
            </w:pPr>
            <w:r>
              <w:t>Napier Boys' High School</w:t>
            </w:r>
          </w:p>
        </w:tc>
        <w:tc>
          <w:tcPr>
            <w:tcW w:w="907" w:type="dxa"/>
            <w:shd w:val="clear" w:color="auto" w:fill="auto"/>
          </w:tcPr>
          <w:p w:rsidR="006D2D1A" w:rsidRDefault="006D2D1A" w:rsidP="008429FD">
            <w:pPr>
              <w:pStyle w:val="AppendixTableText"/>
            </w:pPr>
            <w:r>
              <w:t>21/06/2002</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2618</w:t>
            </w:r>
          </w:p>
        </w:tc>
        <w:tc>
          <w:tcPr>
            <w:tcW w:w="2333" w:type="dxa"/>
            <w:shd w:val="clear" w:color="auto" w:fill="auto"/>
          </w:tcPr>
          <w:p w:rsidR="006D2D1A" w:rsidRDefault="006D2D1A" w:rsidP="008429FD">
            <w:pPr>
              <w:pStyle w:val="AppendixTableText"/>
            </w:pPr>
            <w:r>
              <w:t>Napier Central School</w:t>
            </w:r>
          </w:p>
        </w:tc>
        <w:tc>
          <w:tcPr>
            <w:tcW w:w="907" w:type="dxa"/>
            <w:shd w:val="clear" w:color="auto" w:fill="auto"/>
          </w:tcPr>
          <w:p w:rsidR="006D2D1A" w:rsidRDefault="006D2D1A" w:rsidP="008429FD">
            <w:pPr>
              <w:pStyle w:val="AppendixTableText"/>
            </w:pPr>
            <w:r>
              <w:t>3/12/2012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217</w:t>
            </w:r>
          </w:p>
        </w:tc>
        <w:tc>
          <w:tcPr>
            <w:tcW w:w="2333" w:type="dxa"/>
            <w:shd w:val="clear" w:color="auto" w:fill="auto"/>
          </w:tcPr>
          <w:p w:rsidR="006D2D1A" w:rsidRDefault="006D2D1A" w:rsidP="008429FD">
            <w:pPr>
              <w:pStyle w:val="AppendixTableText"/>
            </w:pPr>
            <w:r>
              <w:t>Napier Girls' High School</w:t>
            </w:r>
          </w:p>
        </w:tc>
        <w:tc>
          <w:tcPr>
            <w:tcW w:w="907" w:type="dxa"/>
            <w:shd w:val="clear" w:color="auto" w:fill="auto"/>
          </w:tcPr>
          <w:p w:rsidR="006D2D1A" w:rsidRDefault="006D2D1A" w:rsidP="008429FD">
            <w:pPr>
              <w:pStyle w:val="AppendixTableText"/>
            </w:pPr>
            <w:r>
              <w:t>3/06/2001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2619</w:t>
            </w:r>
          </w:p>
        </w:tc>
        <w:tc>
          <w:tcPr>
            <w:tcW w:w="2333" w:type="dxa"/>
            <w:shd w:val="clear" w:color="auto" w:fill="auto"/>
          </w:tcPr>
          <w:p w:rsidR="006D2D1A" w:rsidRDefault="006D2D1A" w:rsidP="008429FD">
            <w:pPr>
              <w:pStyle w:val="AppendixTableText"/>
            </w:pPr>
            <w:r>
              <w:t>Napier Intermediate</w:t>
            </w:r>
          </w:p>
        </w:tc>
        <w:tc>
          <w:tcPr>
            <w:tcW w:w="907" w:type="dxa"/>
            <w:shd w:val="clear" w:color="auto" w:fill="auto"/>
          </w:tcPr>
          <w:p w:rsidR="006D2D1A" w:rsidRDefault="006D2D1A" w:rsidP="008429FD">
            <w:pPr>
              <w:pStyle w:val="AppendixTableText"/>
            </w:pPr>
            <w:r>
              <w:t>2/09/2009</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1841</w:t>
            </w:r>
          </w:p>
        </w:tc>
        <w:tc>
          <w:tcPr>
            <w:tcW w:w="2333" w:type="dxa"/>
            <w:shd w:val="clear" w:color="auto" w:fill="auto"/>
          </w:tcPr>
          <w:p w:rsidR="006D2D1A" w:rsidRDefault="006D2D1A" w:rsidP="008429FD">
            <w:pPr>
              <w:pStyle w:val="AppendixTableText"/>
            </w:pPr>
            <w:r>
              <w:t>Nawton School</w:t>
            </w:r>
          </w:p>
        </w:tc>
        <w:tc>
          <w:tcPr>
            <w:tcW w:w="907" w:type="dxa"/>
            <w:shd w:val="clear" w:color="auto" w:fill="auto"/>
          </w:tcPr>
          <w:p w:rsidR="006D2D1A" w:rsidRDefault="006D2D1A" w:rsidP="008429FD">
            <w:pPr>
              <w:pStyle w:val="AppendixTableText"/>
            </w:pPr>
            <w:r>
              <w:t>14/12/2000</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2620</w:t>
            </w:r>
          </w:p>
        </w:tc>
        <w:tc>
          <w:tcPr>
            <w:tcW w:w="2333" w:type="dxa"/>
            <w:shd w:val="clear" w:color="auto" w:fill="auto"/>
          </w:tcPr>
          <w:p w:rsidR="006D2D1A" w:rsidRDefault="006D2D1A" w:rsidP="008429FD">
            <w:pPr>
              <w:pStyle w:val="AppendixTableText"/>
            </w:pPr>
            <w:r>
              <w:t>Nelson Park School</w:t>
            </w:r>
          </w:p>
        </w:tc>
        <w:tc>
          <w:tcPr>
            <w:tcW w:w="907" w:type="dxa"/>
            <w:shd w:val="clear" w:color="auto" w:fill="auto"/>
          </w:tcPr>
          <w:p w:rsidR="006D2D1A" w:rsidRDefault="006D2D1A" w:rsidP="008429FD">
            <w:pPr>
              <w:pStyle w:val="AppendixTableText"/>
            </w:pPr>
            <w:r>
              <w:t>30/09/2002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1842</w:t>
            </w:r>
          </w:p>
        </w:tc>
        <w:tc>
          <w:tcPr>
            <w:tcW w:w="2333" w:type="dxa"/>
            <w:shd w:val="clear" w:color="auto" w:fill="auto"/>
          </w:tcPr>
          <w:p w:rsidR="006D2D1A" w:rsidRDefault="006D2D1A" w:rsidP="008429FD">
            <w:pPr>
              <w:pStyle w:val="AppendixTableText"/>
            </w:pPr>
            <w:r>
              <w:t>Netherton School</w:t>
            </w:r>
          </w:p>
        </w:tc>
        <w:tc>
          <w:tcPr>
            <w:tcW w:w="907" w:type="dxa"/>
            <w:shd w:val="clear" w:color="auto" w:fill="auto"/>
          </w:tcPr>
          <w:p w:rsidR="006D2D1A" w:rsidRDefault="006D2D1A" w:rsidP="008429FD">
            <w:pPr>
              <w:pStyle w:val="AppendixTableText"/>
            </w:pPr>
            <w:r>
              <w:t>22/06/2012</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1389</w:t>
            </w:r>
          </w:p>
        </w:tc>
        <w:tc>
          <w:tcPr>
            <w:tcW w:w="2333" w:type="dxa"/>
            <w:shd w:val="clear" w:color="auto" w:fill="auto"/>
          </w:tcPr>
          <w:p w:rsidR="006D2D1A" w:rsidRDefault="006D2D1A" w:rsidP="008429FD">
            <w:pPr>
              <w:pStyle w:val="AppendixTableText"/>
            </w:pPr>
            <w:r>
              <w:t>New Lynn School</w:t>
            </w:r>
          </w:p>
        </w:tc>
        <w:tc>
          <w:tcPr>
            <w:tcW w:w="907" w:type="dxa"/>
            <w:shd w:val="clear" w:color="auto" w:fill="auto"/>
          </w:tcPr>
          <w:p w:rsidR="006D2D1A" w:rsidRDefault="006D2D1A" w:rsidP="008429FD">
            <w:pPr>
              <w:pStyle w:val="AppendixTableText"/>
            </w:pPr>
            <w:r>
              <w:t>24/10/2007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2406</w:t>
            </w:r>
          </w:p>
        </w:tc>
        <w:tc>
          <w:tcPr>
            <w:tcW w:w="2333" w:type="dxa"/>
            <w:shd w:val="clear" w:color="auto" w:fill="auto"/>
          </w:tcPr>
          <w:p w:rsidR="006D2D1A" w:rsidRDefault="006D2D1A" w:rsidP="008429FD">
            <w:pPr>
              <w:pStyle w:val="AppendixTableText"/>
            </w:pPr>
            <w:r>
              <w:t>Newbury School</w:t>
            </w:r>
          </w:p>
        </w:tc>
        <w:tc>
          <w:tcPr>
            <w:tcW w:w="907" w:type="dxa"/>
            <w:shd w:val="clear" w:color="auto" w:fill="auto"/>
          </w:tcPr>
          <w:p w:rsidR="006D2D1A" w:rsidRDefault="006D2D1A" w:rsidP="008429FD">
            <w:pPr>
              <w:pStyle w:val="AppendixTableText"/>
            </w:pPr>
            <w:r>
              <w:t>23/10/2003</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268</w:t>
            </w:r>
          </w:p>
        </w:tc>
        <w:tc>
          <w:tcPr>
            <w:tcW w:w="2333" w:type="dxa"/>
            <w:shd w:val="clear" w:color="auto" w:fill="auto"/>
          </w:tcPr>
          <w:p w:rsidR="006D2D1A" w:rsidRDefault="006D2D1A" w:rsidP="008429FD">
            <w:pPr>
              <w:pStyle w:val="AppendixTableText"/>
            </w:pPr>
            <w:r>
              <w:t>Newlands College</w:t>
            </w:r>
          </w:p>
        </w:tc>
        <w:tc>
          <w:tcPr>
            <w:tcW w:w="907" w:type="dxa"/>
            <w:shd w:val="clear" w:color="auto" w:fill="auto"/>
          </w:tcPr>
          <w:p w:rsidR="006D2D1A" w:rsidRDefault="006D2D1A" w:rsidP="008429FD">
            <w:pPr>
              <w:pStyle w:val="AppendixTableText"/>
            </w:pPr>
            <w:r>
              <w:t>14/05/2004</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1391</w:t>
            </w:r>
          </w:p>
        </w:tc>
        <w:tc>
          <w:tcPr>
            <w:tcW w:w="2333" w:type="dxa"/>
            <w:shd w:val="clear" w:color="auto" w:fill="auto"/>
          </w:tcPr>
          <w:p w:rsidR="006D2D1A" w:rsidRDefault="006D2D1A" w:rsidP="008429FD">
            <w:pPr>
              <w:pStyle w:val="AppendixTableText"/>
            </w:pPr>
            <w:r>
              <w:t>Newmarket School</w:t>
            </w:r>
          </w:p>
        </w:tc>
        <w:tc>
          <w:tcPr>
            <w:tcW w:w="907" w:type="dxa"/>
            <w:shd w:val="clear" w:color="auto" w:fill="auto"/>
          </w:tcPr>
          <w:p w:rsidR="006D2D1A" w:rsidRDefault="006D2D1A" w:rsidP="008429FD">
            <w:pPr>
              <w:pStyle w:val="AppendixTableText"/>
            </w:pPr>
            <w:r>
              <w:t>26/11/1999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1843</w:t>
            </w:r>
          </w:p>
        </w:tc>
        <w:tc>
          <w:tcPr>
            <w:tcW w:w="2333" w:type="dxa"/>
            <w:shd w:val="clear" w:color="auto" w:fill="auto"/>
          </w:tcPr>
          <w:p w:rsidR="006D2D1A" w:rsidRDefault="006D2D1A" w:rsidP="008429FD">
            <w:pPr>
              <w:pStyle w:val="AppendixTableText"/>
            </w:pPr>
            <w:r>
              <w:t>Newstead Model School</w:t>
            </w:r>
          </w:p>
        </w:tc>
        <w:tc>
          <w:tcPr>
            <w:tcW w:w="907" w:type="dxa"/>
            <w:shd w:val="clear" w:color="auto" w:fill="auto"/>
          </w:tcPr>
          <w:p w:rsidR="006D2D1A" w:rsidRDefault="006D2D1A" w:rsidP="008429FD">
            <w:pPr>
              <w:pStyle w:val="AppendixTableText"/>
            </w:pPr>
            <w:r>
              <w:t>21/01/2011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1392</w:t>
            </w:r>
          </w:p>
        </w:tc>
        <w:tc>
          <w:tcPr>
            <w:tcW w:w="2333" w:type="dxa"/>
            <w:shd w:val="clear" w:color="auto" w:fill="auto"/>
          </w:tcPr>
          <w:p w:rsidR="006D2D1A" w:rsidRDefault="006D2D1A" w:rsidP="008429FD">
            <w:pPr>
              <w:pStyle w:val="AppendixTableText"/>
            </w:pPr>
            <w:r>
              <w:t>Newton Central School</w:t>
            </w:r>
          </w:p>
        </w:tc>
        <w:tc>
          <w:tcPr>
            <w:tcW w:w="907" w:type="dxa"/>
            <w:shd w:val="clear" w:color="auto" w:fill="auto"/>
          </w:tcPr>
          <w:p w:rsidR="006D2D1A" w:rsidRDefault="006D2D1A" w:rsidP="008429FD">
            <w:pPr>
              <w:pStyle w:val="AppendixTableText"/>
            </w:pPr>
            <w:r>
              <w:t>2/11/2007</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2205</w:t>
            </w:r>
          </w:p>
        </w:tc>
        <w:tc>
          <w:tcPr>
            <w:tcW w:w="2333" w:type="dxa"/>
            <w:shd w:val="clear" w:color="auto" w:fill="auto"/>
          </w:tcPr>
          <w:p w:rsidR="006D2D1A" w:rsidRDefault="006D2D1A" w:rsidP="008429FD">
            <w:pPr>
              <w:pStyle w:val="AppendixTableText"/>
            </w:pPr>
            <w:r>
              <w:t>Ngaere School</w:t>
            </w:r>
          </w:p>
        </w:tc>
        <w:tc>
          <w:tcPr>
            <w:tcW w:w="907" w:type="dxa"/>
            <w:shd w:val="clear" w:color="auto" w:fill="auto"/>
          </w:tcPr>
          <w:p w:rsidR="006D2D1A" w:rsidRDefault="006D2D1A" w:rsidP="008429FD">
            <w:pPr>
              <w:pStyle w:val="AppendixTableText"/>
            </w:pPr>
            <w:r>
              <w:t>23/03/2001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1844</w:t>
            </w:r>
          </w:p>
        </w:tc>
        <w:tc>
          <w:tcPr>
            <w:tcW w:w="2333" w:type="dxa"/>
            <w:shd w:val="clear" w:color="auto" w:fill="auto"/>
          </w:tcPr>
          <w:p w:rsidR="006D2D1A" w:rsidRDefault="006D2D1A" w:rsidP="008429FD">
            <w:pPr>
              <w:pStyle w:val="AppendixTableText"/>
            </w:pPr>
            <w:r>
              <w:t>Ngahinapouri School</w:t>
            </w:r>
          </w:p>
        </w:tc>
        <w:tc>
          <w:tcPr>
            <w:tcW w:w="907" w:type="dxa"/>
            <w:shd w:val="clear" w:color="auto" w:fill="auto"/>
          </w:tcPr>
          <w:p w:rsidR="006D2D1A" w:rsidRDefault="006D2D1A" w:rsidP="008429FD">
            <w:pPr>
              <w:pStyle w:val="AppendixTableText"/>
            </w:pPr>
            <w:r>
              <w:t>9/02/2001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2927</w:t>
            </w:r>
          </w:p>
        </w:tc>
        <w:tc>
          <w:tcPr>
            <w:tcW w:w="2333" w:type="dxa"/>
            <w:shd w:val="clear" w:color="auto" w:fill="auto"/>
          </w:tcPr>
          <w:p w:rsidR="006D2D1A" w:rsidRDefault="006D2D1A" w:rsidP="008429FD">
            <w:pPr>
              <w:pStyle w:val="AppendixTableText"/>
            </w:pPr>
            <w:r>
              <w:t>Ngaio School</w:t>
            </w:r>
          </w:p>
        </w:tc>
        <w:tc>
          <w:tcPr>
            <w:tcW w:w="907" w:type="dxa"/>
            <w:shd w:val="clear" w:color="auto" w:fill="auto"/>
          </w:tcPr>
          <w:p w:rsidR="006D2D1A" w:rsidRDefault="006D2D1A" w:rsidP="008429FD">
            <w:pPr>
              <w:pStyle w:val="AppendixTableText"/>
            </w:pPr>
            <w:r>
              <w:t>6/02/2001</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1847</w:t>
            </w:r>
          </w:p>
        </w:tc>
        <w:tc>
          <w:tcPr>
            <w:tcW w:w="2333" w:type="dxa"/>
            <w:shd w:val="clear" w:color="auto" w:fill="auto"/>
          </w:tcPr>
          <w:p w:rsidR="006D2D1A" w:rsidRDefault="006D2D1A" w:rsidP="008429FD">
            <w:pPr>
              <w:pStyle w:val="AppendixTableText"/>
            </w:pPr>
            <w:r>
              <w:t>Ngapuke School</w:t>
            </w:r>
          </w:p>
        </w:tc>
        <w:tc>
          <w:tcPr>
            <w:tcW w:w="907" w:type="dxa"/>
            <w:shd w:val="clear" w:color="auto" w:fill="auto"/>
          </w:tcPr>
          <w:p w:rsidR="006D2D1A" w:rsidRDefault="006D2D1A" w:rsidP="008429FD">
            <w:pPr>
              <w:pStyle w:val="AppendixTableText"/>
            </w:pPr>
            <w:r>
              <w:t>21/01/2008</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1850</w:t>
            </w:r>
          </w:p>
        </w:tc>
        <w:tc>
          <w:tcPr>
            <w:tcW w:w="2333" w:type="dxa"/>
            <w:shd w:val="clear" w:color="auto" w:fill="auto"/>
          </w:tcPr>
          <w:p w:rsidR="006D2D1A" w:rsidRDefault="006D2D1A" w:rsidP="008429FD">
            <w:pPr>
              <w:pStyle w:val="AppendixTableText"/>
            </w:pPr>
            <w:r>
              <w:t>Ngatea School</w:t>
            </w:r>
          </w:p>
        </w:tc>
        <w:tc>
          <w:tcPr>
            <w:tcW w:w="907" w:type="dxa"/>
            <w:shd w:val="clear" w:color="auto" w:fill="auto"/>
          </w:tcPr>
          <w:p w:rsidR="006D2D1A" w:rsidRDefault="006D2D1A" w:rsidP="008429FD">
            <w:pPr>
              <w:pStyle w:val="AppendixTableText"/>
            </w:pPr>
            <w:r>
              <w:t>9/08/2010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2206</w:t>
            </w:r>
          </w:p>
        </w:tc>
        <w:tc>
          <w:tcPr>
            <w:tcW w:w="2333" w:type="dxa"/>
            <w:shd w:val="clear" w:color="auto" w:fill="auto"/>
          </w:tcPr>
          <w:p w:rsidR="006D2D1A" w:rsidRDefault="006D2D1A" w:rsidP="008429FD">
            <w:pPr>
              <w:pStyle w:val="AppendixTableText"/>
            </w:pPr>
            <w:r>
              <w:t>Norfolk School</w:t>
            </w:r>
          </w:p>
        </w:tc>
        <w:tc>
          <w:tcPr>
            <w:tcW w:w="907" w:type="dxa"/>
            <w:shd w:val="clear" w:color="auto" w:fill="auto"/>
          </w:tcPr>
          <w:p w:rsidR="006D2D1A" w:rsidRDefault="006D2D1A" w:rsidP="008429FD">
            <w:pPr>
              <w:pStyle w:val="AppendixTableText"/>
            </w:pPr>
            <w:r>
              <w:t>26/08/2005</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3447</w:t>
            </w:r>
          </w:p>
        </w:tc>
        <w:tc>
          <w:tcPr>
            <w:tcW w:w="2333" w:type="dxa"/>
            <w:shd w:val="clear" w:color="auto" w:fill="auto"/>
          </w:tcPr>
          <w:p w:rsidR="006D2D1A" w:rsidRDefault="006D2D1A" w:rsidP="008429FD">
            <w:pPr>
              <w:pStyle w:val="AppendixTableText"/>
            </w:pPr>
            <w:r>
              <w:t>North Loburn School</w:t>
            </w:r>
          </w:p>
        </w:tc>
        <w:tc>
          <w:tcPr>
            <w:tcW w:w="907" w:type="dxa"/>
            <w:shd w:val="clear" w:color="auto" w:fill="auto"/>
          </w:tcPr>
          <w:p w:rsidR="006D2D1A" w:rsidRDefault="006D2D1A" w:rsidP="008429FD">
            <w:pPr>
              <w:pStyle w:val="AppendixTableText"/>
            </w:pPr>
            <w:r>
              <w:t>4/09/2006</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32</w:t>
            </w:r>
          </w:p>
        </w:tc>
        <w:tc>
          <w:tcPr>
            <w:tcW w:w="2333" w:type="dxa"/>
            <w:shd w:val="clear" w:color="auto" w:fill="auto"/>
          </w:tcPr>
          <w:p w:rsidR="006D2D1A" w:rsidRDefault="006D2D1A" w:rsidP="008429FD">
            <w:pPr>
              <w:pStyle w:val="AppendixTableText"/>
            </w:pPr>
            <w:r>
              <w:t>Northcote College</w:t>
            </w:r>
          </w:p>
        </w:tc>
        <w:tc>
          <w:tcPr>
            <w:tcW w:w="907" w:type="dxa"/>
            <w:shd w:val="clear" w:color="auto" w:fill="auto"/>
          </w:tcPr>
          <w:p w:rsidR="006D2D1A" w:rsidRDefault="006D2D1A" w:rsidP="008429FD">
            <w:pPr>
              <w:pStyle w:val="AppendixTableText"/>
            </w:pPr>
            <w:r>
              <w:t>30/05/2003</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1395</w:t>
            </w:r>
          </w:p>
        </w:tc>
        <w:tc>
          <w:tcPr>
            <w:tcW w:w="2333" w:type="dxa"/>
            <w:shd w:val="clear" w:color="auto" w:fill="auto"/>
          </w:tcPr>
          <w:p w:rsidR="006D2D1A" w:rsidRDefault="006D2D1A" w:rsidP="008429FD">
            <w:pPr>
              <w:pStyle w:val="AppendixTableText"/>
            </w:pPr>
            <w:r>
              <w:t>Northcote School (Auckland)</w:t>
            </w:r>
          </w:p>
        </w:tc>
        <w:tc>
          <w:tcPr>
            <w:tcW w:w="907" w:type="dxa"/>
            <w:shd w:val="clear" w:color="auto" w:fill="auto"/>
          </w:tcPr>
          <w:p w:rsidR="006D2D1A" w:rsidRDefault="006D2D1A" w:rsidP="008429FD">
            <w:pPr>
              <w:pStyle w:val="AppendixTableText"/>
            </w:pPr>
            <w:r>
              <w:t>1/12/2011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2931</w:t>
            </w:r>
          </w:p>
        </w:tc>
        <w:tc>
          <w:tcPr>
            <w:tcW w:w="2333" w:type="dxa"/>
            <w:shd w:val="clear" w:color="auto" w:fill="auto"/>
          </w:tcPr>
          <w:p w:rsidR="006D2D1A" w:rsidRDefault="006D2D1A" w:rsidP="008429FD">
            <w:pPr>
              <w:pStyle w:val="AppendixTableText"/>
            </w:pPr>
            <w:r>
              <w:t>Northland School</w:t>
            </w:r>
          </w:p>
        </w:tc>
        <w:tc>
          <w:tcPr>
            <w:tcW w:w="907" w:type="dxa"/>
            <w:shd w:val="clear" w:color="auto" w:fill="auto"/>
          </w:tcPr>
          <w:p w:rsidR="006D2D1A" w:rsidRDefault="006D2D1A" w:rsidP="008429FD">
            <w:pPr>
              <w:pStyle w:val="AppendixTableText"/>
            </w:pPr>
            <w:r>
              <w:t>14/02/2001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3450</w:t>
            </w:r>
          </w:p>
        </w:tc>
        <w:tc>
          <w:tcPr>
            <w:tcW w:w="2333" w:type="dxa"/>
            <w:shd w:val="clear" w:color="auto" w:fill="auto"/>
          </w:tcPr>
          <w:p w:rsidR="006D2D1A" w:rsidRDefault="006D2D1A" w:rsidP="008429FD">
            <w:pPr>
              <w:pStyle w:val="AppendixTableText"/>
            </w:pPr>
            <w:r>
              <w:t>Oaklands School</w:t>
            </w:r>
          </w:p>
        </w:tc>
        <w:tc>
          <w:tcPr>
            <w:tcW w:w="907" w:type="dxa"/>
            <w:shd w:val="clear" w:color="auto" w:fill="auto"/>
          </w:tcPr>
          <w:p w:rsidR="006D2D1A" w:rsidRDefault="006D2D1A" w:rsidP="008429FD">
            <w:pPr>
              <w:pStyle w:val="AppendixTableText"/>
            </w:pPr>
            <w:r>
              <w:t>22/11/1999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2208</w:t>
            </w:r>
          </w:p>
        </w:tc>
        <w:tc>
          <w:tcPr>
            <w:tcW w:w="2333" w:type="dxa"/>
            <w:shd w:val="clear" w:color="auto" w:fill="auto"/>
          </w:tcPr>
          <w:p w:rsidR="006D2D1A" w:rsidRDefault="006D2D1A" w:rsidP="008429FD">
            <w:pPr>
              <w:pStyle w:val="AppendixTableText"/>
            </w:pPr>
            <w:r>
              <w:t>Oakura School</w:t>
            </w:r>
          </w:p>
        </w:tc>
        <w:tc>
          <w:tcPr>
            <w:tcW w:w="907" w:type="dxa"/>
            <w:shd w:val="clear" w:color="auto" w:fill="auto"/>
          </w:tcPr>
          <w:p w:rsidR="006D2D1A" w:rsidRDefault="006D2D1A" w:rsidP="008429FD">
            <w:pPr>
              <w:pStyle w:val="AppendixTableText"/>
            </w:pPr>
            <w:r>
              <w:t>19/05/2004</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2933</w:t>
            </w:r>
          </w:p>
        </w:tc>
        <w:tc>
          <w:tcPr>
            <w:tcW w:w="2333" w:type="dxa"/>
            <w:shd w:val="clear" w:color="auto" w:fill="auto"/>
          </w:tcPr>
          <w:p w:rsidR="006D2D1A" w:rsidRDefault="006D2D1A" w:rsidP="008429FD">
            <w:pPr>
              <w:pStyle w:val="AppendixTableText"/>
            </w:pPr>
            <w:r>
              <w:t>Ohau School</w:t>
            </w:r>
          </w:p>
        </w:tc>
        <w:tc>
          <w:tcPr>
            <w:tcW w:w="907" w:type="dxa"/>
            <w:shd w:val="clear" w:color="auto" w:fill="auto"/>
          </w:tcPr>
          <w:p w:rsidR="006D2D1A" w:rsidRDefault="006D2D1A" w:rsidP="008429FD">
            <w:pPr>
              <w:pStyle w:val="AppendixTableText"/>
            </w:pPr>
            <w:r>
              <w:t>15/10/1999</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8429FD">
            <w:pPr>
              <w:pStyle w:val="AppendixTableText"/>
            </w:pPr>
            <w:r>
              <w:t>1856</w:t>
            </w:r>
          </w:p>
        </w:tc>
        <w:tc>
          <w:tcPr>
            <w:tcW w:w="2333" w:type="dxa"/>
            <w:shd w:val="clear" w:color="auto" w:fill="auto"/>
          </w:tcPr>
          <w:p w:rsidR="006D2D1A" w:rsidRDefault="006D2D1A" w:rsidP="008429FD">
            <w:pPr>
              <w:pStyle w:val="AppendixTableText"/>
            </w:pPr>
            <w:r>
              <w:t>Ohinewai School</w:t>
            </w:r>
          </w:p>
        </w:tc>
        <w:tc>
          <w:tcPr>
            <w:tcW w:w="907" w:type="dxa"/>
            <w:shd w:val="clear" w:color="auto" w:fill="auto"/>
          </w:tcPr>
          <w:p w:rsidR="006D2D1A" w:rsidRDefault="006D2D1A" w:rsidP="008429FD">
            <w:pPr>
              <w:pStyle w:val="AppendixTableText"/>
            </w:pPr>
            <w:r>
              <w:t>20/12/2010</w:t>
            </w:r>
          </w:p>
        </w:tc>
        <w:tc>
          <w:tcPr>
            <w:tcW w:w="775" w:type="dxa"/>
            <w:shd w:val="clear" w:color="auto" w:fill="auto"/>
          </w:tcPr>
          <w:p w:rsidR="006D2D1A" w:rsidRDefault="006D2D1A" w:rsidP="008429FD">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8429FD">
            <w:pPr>
              <w:pStyle w:val="AppendixTableText"/>
            </w:pPr>
            <w:r>
              <w:t>3451</w:t>
            </w:r>
          </w:p>
        </w:tc>
        <w:tc>
          <w:tcPr>
            <w:tcW w:w="2333" w:type="dxa"/>
            <w:shd w:val="clear" w:color="auto" w:fill="auto"/>
          </w:tcPr>
          <w:p w:rsidR="006D2D1A" w:rsidRDefault="006D2D1A" w:rsidP="008429FD">
            <w:pPr>
              <w:pStyle w:val="AppendixTableText"/>
            </w:pPr>
            <w:r>
              <w:t>Ohoka School</w:t>
            </w:r>
          </w:p>
        </w:tc>
        <w:tc>
          <w:tcPr>
            <w:tcW w:w="907" w:type="dxa"/>
            <w:shd w:val="clear" w:color="auto" w:fill="auto"/>
          </w:tcPr>
          <w:p w:rsidR="006D2D1A" w:rsidRDefault="006D2D1A" w:rsidP="008429FD">
            <w:pPr>
              <w:pStyle w:val="AppendixTableText"/>
            </w:pPr>
            <w:r>
              <w:t>7/03/2001</w:t>
            </w:r>
          </w:p>
        </w:tc>
        <w:tc>
          <w:tcPr>
            <w:tcW w:w="775" w:type="dxa"/>
            <w:shd w:val="clear" w:color="auto" w:fill="auto"/>
          </w:tcPr>
          <w:p w:rsidR="006D2D1A" w:rsidRDefault="006D2D1A" w:rsidP="008429FD">
            <w:pPr>
              <w:pStyle w:val="AppendixTableText"/>
              <w:jc w:val="center"/>
            </w:pPr>
            <w:r>
              <w:t>Yes</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1857</w:t>
            </w:r>
          </w:p>
        </w:tc>
        <w:tc>
          <w:tcPr>
            <w:tcW w:w="2333" w:type="dxa"/>
            <w:shd w:val="clear" w:color="auto" w:fill="auto"/>
          </w:tcPr>
          <w:p w:rsidR="006D2D1A" w:rsidRDefault="006D2D1A" w:rsidP="009901AD">
            <w:pPr>
              <w:pStyle w:val="AppendixTableText"/>
            </w:pPr>
            <w:r>
              <w:t>Ohope Beach School</w:t>
            </w:r>
          </w:p>
        </w:tc>
        <w:tc>
          <w:tcPr>
            <w:tcW w:w="907" w:type="dxa"/>
            <w:shd w:val="clear" w:color="auto" w:fill="auto"/>
          </w:tcPr>
          <w:p w:rsidR="006D2D1A" w:rsidRDefault="006D2D1A" w:rsidP="009901AD">
            <w:pPr>
              <w:pStyle w:val="AppendixTableText"/>
            </w:pPr>
            <w:r>
              <w:t>12/12/2008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7</w:t>
            </w:r>
          </w:p>
        </w:tc>
        <w:tc>
          <w:tcPr>
            <w:tcW w:w="2333" w:type="dxa"/>
            <w:shd w:val="clear" w:color="auto" w:fill="auto"/>
          </w:tcPr>
          <w:p w:rsidR="006D2D1A" w:rsidRDefault="006D2D1A" w:rsidP="009901AD">
            <w:pPr>
              <w:pStyle w:val="AppendixTableText"/>
            </w:pPr>
            <w:r>
              <w:t>Okaihau College</w:t>
            </w:r>
          </w:p>
        </w:tc>
        <w:tc>
          <w:tcPr>
            <w:tcW w:w="907" w:type="dxa"/>
            <w:shd w:val="clear" w:color="auto" w:fill="auto"/>
          </w:tcPr>
          <w:p w:rsidR="006D2D1A" w:rsidRDefault="006D2D1A" w:rsidP="009901AD">
            <w:pPr>
              <w:pStyle w:val="AppendixTableText"/>
            </w:pPr>
            <w:r>
              <w:t>1/12/1999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1860</w:t>
            </w:r>
          </w:p>
        </w:tc>
        <w:tc>
          <w:tcPr>
            <w:tcW w:w="2333" w:type="dxa"/>
            <w:shd w:val="clear" w:color="auto" w:fill="auto"/>
          </w:tcPr>
          <w:p w:rsidR="006D2D1A" w:rsidRDefault="006D2D1A" w:rsidP="009901AD">
            <w:pPr>
              <w:pStyle w:val="AppendixTableText"/>
            </w:pPr>
            <w:r>
              <w:t>Omanu School</w:t>
            </w:r>
          </w:p>
        </w:tc>
        <w:tc>
          <w:tcPr>
            <w:tcW w:w="907" w:type="dxa"/>
            <w:shd w:val="clear" w:color="auto" w:fill="auto"/>
          </w:tcPr>
          <w:p w:rsidR="006D2D1A" w:rsidRDefault="006D2D1A" w:rsidP="009901AD">
            <w:pPr>
              <w:pStyle w:val="AppendixTableText"/>
            </w:pPr>
            <w:r>
              <w:t>19/07/2004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2214</w:t>
            </w:r>
          </w:p>
        </w:tc>
        <w:tc>
          <w:tcPr>
            <w:tcW w:w="2333" w:type="dxa"/>
            <w:shd w:val="clear" w:color="auto" w:fill="auto"/>
          </w:tcPr>
          <w:p w:rsidR="006D2D1A" w:rsidRDefault="006D2D1A" w:rsidP="009901AD">
            <w:pPr>
              <w:pStyle w:val="AppendixTableText"/>
            </w:pPr>
            <w:r>
              <w:t>Omata School</w:t>
            </w:r>
          </w:p>
        </w:tc>
        <w:tc>
          <w:tcPr>
            <w:tcW w:w="907" w:type="dxa"/>
            <w:shd w:val="clear" w:color="auto" w:fill="auto"/>
          </w:tcPr>
          <w:p w:rsidR="006D2D1A" w:rsidRDefault="006D2D1A" w:rsidP="009901AD">
            <w:pPr>
              <w:pStyle w:val="AppendixTableText"/>
            </w:pPr>
            <w:r>
              <w:t>6/11/2007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1863</w:t>
            </w:r>
          </w:p>
        </w:tc>
        <w:tc>
          <w:tcPr>
            <w:tcW w:w="2333" w:type="dxa"/>
            <w:shd w:val="clear" w:color="auto" w:fill="auto"/>
          </w:tcPr>
          <w:p w:rsidR="006D2D1A" w:rsidRDefault="006D2D1A" w:rsidP="009901AD">
            <w:pPr>
              <w:pStyle w:val="AppendixTableText"/>
            </w:pPr>
            <w:r>
              <w:t>Omokoroa School</w:t>
            </w:r>
          </w:p>
        </w:tc>
        <w:tc>
          <w:tcPr>
            <w:tcW w:w="907" w:type="dxa"/>
            <w:shd w:val="clear" w:color="auto" w:fill="auto"/>
          </w:tcPr>
          <w:p w:rsidR="006D2D1A" w:rsidRDefault="006D2D1A" w:rsidP="009901AD">
            <w:pPr>
              <w:pStyle w:val="AppendixTableText"/>
            </w:pPr>
            <w:r>
              <w:t>25/01/2005</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86</w:t>
            </w:r>
          </w:p>
        </w:tc>
        <w:tc>
          <w:tcPr>
            <w:tcW w:w="2333" w:type="dxa"/>
            <w:shd w:val="clear" w:color="auto" w:fill="auto"/>
          </w:tcPr>
          <w:p w:rsidR="006D2D1A" w:rsidRDefault="006D2D1A" w:rsidP="009901AD">
            <w:pPr>
              <w:pStyle w:val="AppendixTableText"/>
            </w:pPr>
            <w:r>
              <w:t>Onehunga High School</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1399</w:t>
            </w:r>
          </w:p>
        </w:tc>
        <w:tc>
          <w:tcPr>
            <w:tcW w:w="2333" w:type="dxa"/>
            <w:shd w:val="clear" w:color="auto" w:fill="auto"/>
          </w:tcPr>
          <w:p w:rsidR="006D2D1A" w:rsidRDefault="006D2D1A" w:rsidP="009901AD">
            <w:pPr>
              <w:pStyle w:val="AppendixTableText"/>
            </w:pPr>
            <w:r>
              <w:t>Onehunga Primary School</w:t>
            </w:r>
          </w:p>
        </w:tc>
        <w:tc>
          <w:tcPr>
            <w:tcW w:w="907" w:type="dxa"/>
            <w:shd w:val="clear" w:color="auto" w:fill="auto"/>
          </w:tcPr>
          <w:p w:rsidR="006D2D1A" w:rsidRDefault="006D2D1A" w:rsidP="009901AD">
            <w:pPr>
              <w:pStyle w:val="AppendixTableText"/>
            </w:pPr>
            <w:r>
              <w:t>25/11/1999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108</w:t>
            </w:r>
          </w:p>
        </w:tc>
        <w:tc>
          <w:tcPr>
            <w:tcW w:w="2333" w:type="dxa"/>
            <w:shd w:val="clear" w:color="auto" w:fill="auto"/>
          </w:tcPr>
          <w:p w:rsidR="006D2D1A" w:rsidRDefault="006D2D1A" w:rsidP="009901AD">
            <w:pPr>
              <w:pStyle w:val="AppendixTableText"/>
            </w:pPr>
            <w:r>
              <w:t>Onewhero Area School</w:t>
            </w:r>
          </w:p>
        </w:tc>
        <w:tc>
          <w:tcPr>
            <w:tcW w:w="907" w:type="dxa"/>
            <w:shd w:val="clear" w:color="auto" w:fill="auto"/>
          </w:tcPr>
          <w:p w:rsidR="006D2D1A" w:rsidRDefault="006D2D1A" w:rsidP="009901AD">
            <w:pPr>
              <w:pStyle w:val="AppendixTableText"/>
            </w:pPr>
            <w:r>
              <w:t>24/03/2010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2629</w:t>
            </w:r>
          </w:p>
        </w:tc>
        <w:tc>
          <w:tcPr>
            <w:tcW w:w="2333" w:type="dxa"/>
            <w:shd w:val="clear" w:color="auto" w:fill="auto"/>
          </w:tcPr>
          <w:p w:rsidR="006D2D1A" w:rsidRDefault="006D2D1A" w:rsidP="009901AD">
            <w:pPr>
              <w:pStyle w:val="AppendixTableText"/>
            </w:pPr>
            <w:r>
              <w:t>Ongaonga School</w:t>
            </w:r>
          </w:p>
        </w:tc>
        <w:tc>
          <w:tcPr>
            <w:tcW w:w="907" w:type="dxa"/>
            <w:shd w:val="clear" w:color="auto" w:fill="auto"/>
          </w:tcPr>
          <w:p w:rsidR="006D2D1A" w:rsidRDefault="006D2D1A" w:rsidP="009901AD">
            <w:pPr>
              <w:pStyle w:val="AppendixTableText"/>
            </w:pPr>
            <w:r>
              <w:t>31/03/2006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269</w:t>
            </w:r>
          </w:p>
        </w:tc>
        <w:tc>
          <w:tcPr>
            <w:tcW w:w="2333" w:type="dxa"/>
            <w:shd w:val="clear" w:color="auto" w:fill="auto"/>
          </w:tcPr>
          <w:p w:rsidR="006D2D1A" w:rsidRDefault="006D2D1A" w:rsidP="009901AD">
            <w:pPr>
              <w:pStyle w:val="AppendixTableText"/>
            </w:pPr>
            <w:r>
              <w:t>Onslow College</w:t>
            </w:r>
          </w:p>
        </w:tc>
        <w:tc>
          <w:tcPr>
            <w:tcW w:w="907" w:type="dxa"/>
            <w:shd w:val="clear" w:color="auto" w:fill="auto"/>
          </w:tcPr>
          <w:p w:rsidR="006D2D1A" w:rsidRDefault="006D2D1A" w:rsidP="009901AD">
            <w:pPr>
              <w:pStyle w:val="AppendixTableText"/>
            </w:pPr>
            <w:r>
              <w:t>21/09/1999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1401</w:t>
            </w:r>
          </w:p>
        </w:tc>
        <w:tc>
          <w:tcPr>
            <w:tcW w:w="2333" w:type="dxa"/>
            <w:shd w:val="clear" w:color="auto" w:fill="auto"/>
          </w:tcPr>
          <w:p w:rsidR="006D2D1A" w:rsidRDefault="006D2D1A" w:rsidP="009901AD">
            <w:pPr>
              <w:pStyle w:val="AppendixTableText"/>
            </w:pPr>
            <w:r>
              <w:t>Opaheke School</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2936</w:t>
            </w:r>
          </w:p>
        </w:tc>
        <w:tc>
          <w:tcPr>
            <w:tcW w:w="2333" w:type="dxa"/>
            <w:shd w:val="clear" w:color="auto" w:fill="auto"/>
          </w:tcPr>
          <w:p w:rsidR="006D2D1A" w:rsidRDefault="006D2D1A" w:rsidP="009901AD">
            <w:pPr>
              <w:pStyle w:val="AppendixTableText"/>
            </w:pPr>
            <w:r>
              <w:t>Opaki School</w:t>
            </w:r>
          </w:p>
        </w:tc>
        <w:tc>
          <w:tcPr>
            <w:tcW w:w="907" w:type="dxa"/>
            <w:shd w:val="clear" w:color="auto" w:fill="auto"/>
          </w:tcPr>
          <w:p w:rsidR="006D2D1A" w:rsidRDefault="006D2D1A" w:rsidP="009901AD">
            <w:pPr>
              <w:pStyle w:val="AppendixTableText"/>
            </w:pPr>
            <w:r>
              <w:t>24/11/2003</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3455</w:t>
            </w:r>
          </w:p>
        </w:tc>
        <w:tc>
          <w:tcPr>
            <w:tcW w:w="2333" w:type="dxa"/>
            <w:shd w:val="clear" w:color="auto" w:fill="auto"/>
          </w:tcPr>
          <w:p w:rsidR="006D2D1A" w:rsidRDefault="006D2D1A" w:rsidP="009901AD">
            <w:pPr>
              <w:pStyle w:val="AppendixTableText"/>
            </w:pPr>
            <w:r>
              <w:t>Opawa School</w:t>
            </w:r>
          </w:p>
        </w:tc>
        <w:tc>
          <w:tcPr>
            <w:tcW w:w="907" w:type="dxa"/>
            <w:shd w:val="clear" w:color="auto" w:fill="auto"/>
          </w:tcPr>
          <w:p w:rsidR="006D2D1A" w:rsidRDefault="006D2D1A" w:rsidP="009901AD">
            <w:pPr>
              <w:pStyle w:val="AppendixTableText"/>
            </w:pPr>
            <w:r>
              <w:t>19/11/1999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2937</w:t>
            </w:r>
          </w:p>
        </w:tc>
        <w:tc>
          <w:tcPr>
            <w:tcW w:w="2333" w:type="dxa"/>
            <w:shd w:val="clear" w:color="auto" w:fill="auto"/>
          </w:tcPr>
          <w:p w:rsidR="006D2D1A" w:rsidRDefault="006D2D1A" w:rsidP="009901AD">
            <w:pPr>
              <w:pStyle w:val="AppendixTableText"/>
            </w:pPr>
            <w:r>
              <w:t>Opiki School</w:t>
            </w:r>
          </w:p>
        </w:tc>
        <w:tc>
          <w:tcPr>
            <w:tcW w:w="907" w:type="dxa"/>
            <w:shd w:val="clear" w:color="auto" w:fill="auto"/>
          </w:tcPr>
          <w:p w:rsidR="006D2D1A" w:rsidRDefault="006D2D1A" w:rsidP="009901AD">
            <w:pPr>
              <w:pStyle w:val="AppendixTableText"/>
            </w:pPr>
            <w:r>
              <w:t>20/10/2009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1867</w:t>
            </w:r>
          </w:p>
        </w:tc>
        <w:tc>
          <w:tcPr>
            <w:tcW w:w="2333" w:type="dxa"/>
            <w:shd w:val="clear" w:color="auto" w:fill="auto"/>
          </w:tcPr>
          <w:p w:rsidR="006D2D1A" w:rsidRDefault="006D2D1A" w:rsidP="009901AD">
            <w:pPr>
              <w:pStyle w:val="AppendixTableText"/>
            </w:pPr>
            <w:r>
              <w:t>Opoutere School</w:t>
            </w:r>
          </w:p>
        </w:tc>
        <w:tc>
          <w:tcPr>
            <w:tcW w:w="907" w:type="dxa"/>
            <w:shd w:val="clear" w:color="auto" w:fill="auto"/>
          </w:tcPr>
          <w:p w:rsidR="006D2D1A" w:rsidRDefault="006D2D1A" w:rsidP="009901AD">
            <w:pPr>
              <w:pStyle w:val="AppendixTableText"/>
            </w:pPr>
            <w:r>
              <w:t>25/10/2011</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1404</w:t>
            </w:r>
          </w:p>
        </w:tc>
        <w:tc>
          <w:tcPr>
            <w:tcW w:w="2333" w:type="dxa"/>
            <w:shd w:val="clear" w:color="auto" w:fill="auto"/>
          </w:tcPr>
          <w:p w:rsidR="006D2D1A" w:rsidRDefault="006D2D1A" w:rsidP="009901AD">
            <w:pPr>
              <w:pStyle w:val="AppendixTableText"/>
            </w:pPr>
            <w:r>
              <w:t>Oratia School</w:t>
            </w:r>
          </w:p>
        </w:tc>
        <w:tc>
          <w:tcPr>
            <w:tcW w:w="907" w:type="dxa"/>
            <w:shd w:val="clear" w:color="auto" w:fill="auto"/>
          </w:tcPr>
          <w:p w:rsidR="006D2D1A" w:rsidRDefault="006D2D1A" w:rsidP="009901AD">
            <w:pPr>
              <w:pStyle w:val="AppendixTableText"/>
            </w:pPr>
            <w:r>
              <w:t>7/10/1999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25</w:t>
            </w:r>
          </w:p>
        </w:tc>
        <w:tc>
          <w:tcPr>
            <w:tcW w:w="2333" w:type="dxa"/>
            <w:shd w:val="clear" w:color="auto" w:fill="auto"/>
          </w:tcPr>
          <w:p w:rsidR="006D2D1A" w:rsidRDefault="006D2D1A" w:rsidP="009901AD">
            <w:pPr>
              <w:pStyle w:val="AppendixTableText"/>
            </w:pPr>
            <w:r>
              <w:t>Orewa College</w:t>
            </w:r>
          </w:p>
        </w:tc>
        <w:tc>
          <w:tcPr>
            <w:tcW w:w="907" w:type="dxa"/>
            <w:shd w:val="clear" w:color="auto" w:fill="auto"/>
          </w:tcPr>
          <w:p w:rsidR="006D2D1A" w:rsidRDefault="006D2D1A" w:rsidP="009901AD">
            <w:pPr>
              <w:pStyle w:val="AppendixTableText"/>
            </w:pPr>
            <w:r>
              <w:t>30/08/2004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1407</w:t>
            </w:r>
          </w:p>
        </w:tc>
        <w:tc>
          <w:tcPr>
            <w:tcW w:w="2333" w:type="dxa"/>
            <w:shd w:val="clear" w:color="auto" w:fill="auto"/>
          </w:tcPr>
          <w:p w:rsidR="006D2D1A" w:rsidRDefault="006D2D1A" w:rsidP="009901AD">
            <w:pPr>
              <w:pStyle w:val="AppendixTableText"/>
            </w:pPr>
            <w:r>
              <w:t>Orewa School</w:t>
            </w:r>
          </w:p>
        </w:tc>
        <w:tc>
          <w:tcPr>
            <w:tcW w:w="907" w:type="dxa"/>
            <w:shd w:val="clear" w:color="auto" w:fill="auto"/>
          </w:tcPr>
          <w:p w:rsidR="006D2D1A" w:rsidRDefault="006D2D1A" w:rsidP="009901AD">
            <w:pPr>
              <w:pStyle w:val="AppendixTableText"/>
            </w:pPr>
            <w:r>
              <w:t>21/04/2006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564</w:t>
            </w:r>
          </w:p>
        </w:tc>
        <w:tc>
          <w:tcPr>
            <w:tcW w:w="2333" w:type="dxa"/>
            <w:shd w:val="clear" w:color="auto" w:fill="auto"/>
          </w:tcPr>
          <w:p w:rsidR="006D2D1A" w:rsidRDefault="006D2D1A" w:rsidP="009901AD">
            <w:pPr>
              <w:pStyle w:val="AppendixTableText"/>
            </w:pPr>
            <w:r>
              <w:t>Ormiston Senior College</w:t>
            </w:r>
          </w:p>
        </w:tc>
        <w:tc>
          <w:tcPr>
            <w:tcW w:w="907" w:type="dxa"/>
            <w:shd w:val="clear" w:color="auto" w:fill="auto"/>
          </w:tcPr>
          <w:p w:rsidR="006D2D1A" w:rsidRDefault="006D2D1A" w:rsidP="009901AD">
            <w:pPr>
              <w:pStyle w:val="AppendixTableText"/>
            </w:pPr>
            <w:r>
              <w:t>19/04/2010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2631</w:t>
            </w:r>
          </w:p>
        </w:tc>
        <w:tc>
          <w:tcPr>
            <w:tcW w:w="2333" w:type="dxa"/>
            <w:shd w:val="clear" w:color="auto" w:fill="auto"/>
          </w:tcPr>
          <w:p w:rsidR="006D2D1A" w:rsidRDefault="006D2D1A" w:rsidP="009901AD">
            <w:pPr>
              <w:pStyle w:val="AppendixTableText"/>
            </w:pPr>
            <w:r>
              <w:t>Ormond School</w:t>
            </w:r>
          </w:p>
        </w:tc>
        <w:tc>
          <w:tcPr>
            <w:tcW w:w="907" w:type="dxa"/>
            <w:shd w:val="clear" w:color="auto" w:fill="auto"/>
          </w:tcPr>
          <w:p w:rsidR="006D2D1A" w:rsidRDefault="006D2D1A" w:rsidP="009901AD">
            <w:pPr>
              <w:pStyle w:val="AppendixTableText"/>
            </w:pPr>
            <w:r>
              <w:t>31/03/2006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378</w:t>
            </w:r>
          </w:p>
        </w:tc>
        <w:tc>
          <w:tcPr>
            <w:tcW w:w="2333" w:type="dxa"/>
            <w:shd w:val="clear" w:color="auto" w:fill="auto"/>
          </w:tcPr>
          <w:p w:rsidR="006D2D1A" w:rsidRDefault="006D2D1A" w:rsidP="009901AD">
            <w:pPr>
              <w:pStyle w:val="AppendixTableText"/>
            </w:pPr>
            <w:r>
              <w:t>Otago Girls' High School</w:t>
            </w:r>
          </w:p>
        </w:tc>
        <w:tc>
          <w:tcPr>
            <w:tcW w:w="907" w:type="dxa"/>
            <w:shd w:val="clear" w:color="auto" w:fill="auto"/>
          </w:tcPr>
          <w:p w:rsidR="006D2D1A" w:rsidRDefault="006D2D1A" w:rsidP="009901AD">
            <w:pPr>
              <w:pStyle w:val="AppendixTableText"/>
            </w:pPr>
            <w:r>
              <w:t>7/06/1999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88</w:t>
            </w:r>
          </w:p>
        </w:tc>
        <w:tc>
          <w:tcPr>
            <w:tcW w:w="2333" w:type="dxa"/>
            <w:shd w:val="clear" w:color="auto" w:fill="auto"/>
          </w:tcPr>
          <w:p w:rsidR="006D2D1A" w:rsidRDefault="006D2D1A" w:rsidP="009901AD">
            <w:pPr>
              <w:pStyle w:val="AppendixTableText"/>
            </w:pPr>
            <w:r>
              <w:t>Otahuhu College</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21</w:t>
            </w:r>
          </w:p>
        </w:tc>
        <w:tc>
          <w:tcPr>
            <w:tcW w:w="2333" w:type="dxa"/>
            <w:shd w:val="clear" w:color="auto" w:fill="auto"/>
          </w:tcPr>
          <w:p w:rsidR="006D2D1A" w:rsidRDefault="006D2D1A" w:rsidP="009901AD">
            <w:pPr>
              <w:pStyle w:val="AppendixTableText"/>
            </w:pPr>
            <w:r>
              <w:t>Otamatea High School</w:t>
            </w:r>
          </w:p>
        </w:tc>
        <w:tc>
          <w:tcPr>
            <w:tcW w:w="907" w:type="dxa"/>
            <w:shd w:val="clear" w:color="auto" w:fill="auto"/>
          </w:tcPr>
          <w:p w:rsidR="006D2D1A" w:rsidRDefault="006D2D1A" w:rsidP="009901AD">
            <w:pPr>
              <w:pStyle w:val="AppendixTableText"/>
            </w:pPr>
            <w:r>
              <w:t>17/11/2008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3073</w:t>
            </w:r>
          </w:p>
        </w:tc>
        <w:tc>
          <w:tcPr>
            <w:tcW w:w="2333" w:type="dxa"/>
            <w:shd w:val="clear" w:color="auto" w:fill="auto"/>
          </w:tcPr>
          <w:p w:rsidR="006D2D1A" w:rsidRDefault="006D2D1A" w:rsidP="009901AD">
            <w:pPr>
              <w:pStyle w:val="AppendixTableText"/>
            </w:pPr>
            <w:r>
              <w:t>Otari School</w:t>
            </w:r>
          </w:p>
        </w:tc>
        <w:tc>
          <w:tcPr>
            <w:tcW w:w="907" w:type="dxa"/>
            <w:shd w:val="clear" w:color="auto" w:fill="auto"/>
          </w:tcPr>
          <w:p w:rsidR="006D2D1A" w:rsidRDefault="006D2D1A" w:rsidP="009901AD">
            <w:pPr>
              <w:pStyle w:val="AppendixTableText"/>
            </w:pPr>
            <w:r>
              <w:t>4/12/2011</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4000</w:t>
            </w:r>
          </w:p>
        </w:tc>
        <w:tc>
          <w:tcPr>
            <w:tcW w:w="2333" w:type="dxa"/>
            <w:shd w:val="clear" w:color="auto" w:fill="auto"/>
          </w:tcPr>
          <w:p w:rsidR="006D2D1A" w:rsidRDefault="006D2D1A" w:rsidP="009901AD">
            <w:pPr>
              <w:pStyle w:val="AppendixTableText"/>
            </w:pPr>
            <w:r>
              <w:t>Otatara School</w:t>
            </w:r>
          </w:p>
        </w:tc>
        <w:tc>
          <w:tcPr>
            <w:tcW w:w="907" w:type="dxa"/>
            <w:shd w:val="clear" w:color="auto" w:fill="auto"/>
          </w:tcPr>
          <w:p w:rsidR="006D2D1A" w:rsidRDefault="006D2D1A" w:rsidP="009901AD">
            <w:pPr>
              <w:pStyle w:val="AppendixTableText"/>
            </w:pPr>
            <w:r>
              <w:t>20/05/2011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6946</w:t>
            </w:r>
          </w:p>
        </w:tc>
        <w:tc>
          <w:tcPr>
            <w:tcW w:w="2333" w:type="dxa"/>
            <w:shd w:val="clear" w:color="auto" w:fill="auto"/>
          </w:tcPr>
          <w:p w:rsidR="006D2D1A" w:rsidRDefault="006D2D1A" w:rsidP="009901AD">
            <w:pPr>
              <w:pStyle w:val="AppendixTableText"/>
            </w:pPr>
            <w:r>
              <w:t>Oteha Valley School</w:t>
            </w:r>
          </w:p>
        </w:tc>
        <w:tc>
          <w:tcPr>
            <w:tcW w:w="907" w:type="dxa"/>
            <w:shd w:val="clear" w:color="auto" w:fill="auto"/>
          </w:tcPr>
          <w:p w:rsidR="006D2D1A" w:rsidRDefault="006D2D1A" w:rsidP="009901AD">
            <w:pPr>
              <w:pStyle w:val="AppendixTableText"/>
            </w:pPr>
            <w:r>
              <w:t>25/11/2003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1877</w:t>
            </w:r>
          </w:p>
        </w:tc>
        <w:tc>
          <w:tcPr>
            <w:tcW w:w="2333" w:type="dxa"/>
            <w:shd w:val="clear" w:color="auto" w:fill="auto"/>
          </w:tcPr>
          <w:p w:rsidR="006D2D1A" w:rsidRDefault="006D2D1A" w:rsidP="009901AD">
            <w:pPr>
              <w:pStyle w:val="AppendixTableText"/>
            </w:pPr>
            <w:r>
              <w:t>Otorohanga South School</w:t>
            </w:r>
          </w:p>
        </w:tc>
        <w:tc>
          <w:tcPr>
            <w:tcW w:w="907" w:type="dxa"/>
            <w:shd w:val="clear" w:color="auto" w:fill="auto"/>
          </w:tcPr>
          <w:p w:rsidR="006D2D1A" w:rsidRDefault="006D2D1A" w:rsidP="009901AD">
            <w:pPr>
              <w:pStyle w:val="AppendixTableText"/>
            </w:pPr>
            <w:r>
              <w:t>23/05/2011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120</w:t>
            </w:r>
          </w:p>
        </w:tc>
        <w:tc>
          <w:tcPr>
            <w:tcW w:w="2333" w:type="dxa"/>
            <w:shd w:val="clear" w:color="auto" w:fill="auto"/>
          </w:tcPr>
          <w:p w:rsidR="006D2D1A" w:rsidRDefault="006D2D1A" w:rsidP="009901AD">
            <w:pPr>
              <w:pStyle w:val="AppendixTableText"/>
            </w:pPr>
            <w:r>
              <w:t>Otumoetai College</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1878</w:t>
            </w:r>
          </w:p>
        </w:tc>
        <w:tc>
          <w:tcPr>
            <w:tcW w:w="2333" w:type="dxa"/>
            <w:shd w:val="clear" w:color="auto" w:fill="auto"/>
          </w:tcPr>
          <w:p w:rsidR="006D2D1A" w:rsidRDefault="006D2D1A" w:rsidP="009901AD">
            <w:pPr>
              <w:pStyle w:val="AppendixTableText"/>
            </w:pPr>
            <w:r>
              <w:t>Otumoetai Intermediate</w:t>
            </w:r>
          </w:p>
        </w:tc>
        <w:tc>
          <w:tcPr>
            <w:tcW w:w="907" w:type="dxa"/>
            <w:shd w:val="clear" w:color="auto" w:fill="auto"/>
          </w:tcPr>
          <w:p w:rsidR="006D2D1A" w:rsidRDefault="006D2D1A" w:rsidP="009901AD">
            <w:pPr>
              <w:pStyle w:val="AppendixTableText"/>
            </w:pPr>
            <w:r>
              <w:t>1/07/2003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3464</w:t>
            </w:r>
          </w:p>
        </w:tc>
        <w:tc>
          <w:tcPr>
            <w:tcW w:w="2333" w:type="dxa"/>
            <w:shd w:val="clear" w:color="auto" w:fill="auto"/>
          </w:tcPr>
          <w:p w:rsidR="006D2D1A" w:rsidRDefault="006D2D1A" w:rsidP="009901AD">
            <w:pPr>
              <w:pStyle w:val="AppendixTableText"/>
            </w:pPr>
            <w:r>
              <w:t>Ouruhia Model School</w:t>
            </w:r>
          </w:p>
        </w:tc>
        <w:tc>
          <w:tcPr>
            <w:tcW w:w="907" w:type="dxa"/>
            <w:shd w:val="clear" w:color="auto" w:fill="auto"/>
          </w:tcPr>
          <w:p w:rsidR="006D2D1A" w:rsidRDefault="006D2D1A" w:rsidP="009901AD">
            <w:pPr>
              <w:pStyle w:val="AppendixTableText"/>
            </w:pPr>
            <w:r>
              <w:t>22/11/1999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3795</w:t>
            </w:r>
          </w:p>
        </w:tc>
        <w:tc>
          <w:tcPr>
            <w:tcW w:w="2333" w:type="dxa"/>
            <w:shd w:val="clear" w:color="auto" w:fill="auto"/>
          </w:tcPr>
          <w:p w:rsidR="006D2D1A" w:rsidRDefault="006D2D1A" w:rsidP="009901AD">
            <w:pPr>
              <w:pStyle w:val="AppendixTableText"/>
            </w:pPr>
            <w:r>
              <w:t>Outram School</w:t>
            </w:r>
          </w:p>
        </w:tc>
        <w:tc>
          <w:tcPr>
            <w:tcW w:w="907" w:type="dxa"/>
            <w:shd w:val="clear" w:color="auto" w:fill="auto"/>
          </w:tcPr>
          <w:p w:rsidR="006D2D1A" w:rsidRDefault="006D2D1A" w:rsidP="009901AD">
            <w:pPr>
              <w:pStyle w:val="AppendixTableText"/>
            </w:pPr>
            <w:r>
              <w:t>14/11/2009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1884</w:t>
            </w:r>
          </w:p>
        </w:tc>
        <w:tc>
          <w:tcPr>
            <w:tcW w:w="2333" w:type="dxa"/>
            <w:shd w:val="clear" w:color="auto" w:fill="auto"/>
          </w:tcPr>
          <w:p w:rsidR="006D2D1A" w:rsidRDefault="006D2D1A" w:rsidP="009901AD">
            <w:pPr>
              <w:pStyle w:val="AppendixTableText"/>
            </w:pPr>
            <w:r>
              <w:t>Pahoia School</w:t>
            </w:r>
          </w:p>
        </w:tc>
        <w:tc>
          <w:tcPr>
            <w:tcW w:w="907" w:type="dxa"/>
            <w:shd w:val="clear" w:color="auto" w:fill="auto"/>
          </w:tcPr>
          <w:p w:rsidR="006D2D1A" w:rsidRDefault="006D2D1A" w:rsidP="009901AD">
            <w:pPr>
              <w:pStyle w:val="AppendixTableText"/>
            </w:pPr>
            <w:r>
              <w:t>1/10/2005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2638</w:t>
            </w:r>
          </w:p>
        </w:tc>
        <w:tc>
          <w:tcPr>
            <w:tcW w:w="2333" w:type="dxa"/>
            <w:shd w:val="clear" w:color="auto" w:fill="auto"/>
          </w:tcPr>
          <w:p w:rsidR="006D2D1A" w:rsidRDefault="006D2D1A" w:rsidP="009901AD">
            <w:pPr>
              <w:pStyle w:val="AppendixTableText"/>
            </w:pPr>
            <w:r>
              <w:t>Pakowhai School</w:t>
            </w:r>
          </w:p>
        </w:tc>
        <w:tc>
          <w:tcPr>
            <w:tcW w:w="907" w:type="dxa"/>
            <w:shd w:val="clear" w:color="auto" w:fill="auto"/>
          </w:tcPr>
          <w:p w:rsidR="006D2D1A" w:rsidRDefault="006D2D1A" w:rsidP="009901AD">
            <w:pPr>
              <w:pStyle w:val="AppendixTableText"/>
            </w:pPr>
            <w:r>
              <w:t>12/02/2004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80</w:t>
            </w:r>
          </w:p>
        </w:tc>
        <w:tc>
          <w:tcPr>
            <w:tcW w:w="2333" w:type="dxa"/>
            <w:shd w:val="clear" w:color="auto" w:fill="auto"/>
          </w:tcPr>
          <w:p w:rsidR="006D2D1A" w:rsidRDefault="006D2D1A" w:rsidP="009901AD">
            <w:pPr>
              <w:pStyle w:val="AppendixTableText"/>
            </w:pPr>
            <w:r>
              <w:t>Pakuranga College</w:t>
            </w:r>
          </w:p>
        </w:tc>
        <w:tc>
          <w:tcPr>
            <w:tcW w:w="907" w:type="dxa"/>
            <w:shd w:val="clear" w:color="auto" w:fill="auto"/>
          </w:tcPr>
          <w:p w:rsidR="006D2D1A" w:rsidRDefault="006D2D1A" w:rsidP="009901AD">
            <w:pPr>
              <w:pStyle w:val="AppendixTableText"/>
            </w:pPr>
            <w:r>
              <w:t>23/09/1999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1417</w:t>
            </w:r>
          </w:p>
        </w:tc>
        <w:tc>
          <w:tcPr>
            <w:tcW w:w="2333" w:type="dxa"/>
            <w:shd w:val="clear" w:color="auto" w:fill="auto"/>
          </w:tcPr>
          <w:p w:rsidR="006D2D1A" w:rsidRDefault="006D2D1A" w:rsidP="009901AD">
            <w:pPr>
              <w:pStyle w:val="AppendixTableText"/>
            </w:pPr>
            <w:r>
              <w:t>Pakuranga Intermediate</w:t>
            </w:r>
          </w:p>
        </w:tc>
        <w:tc>
          <w:tcPr>
            <w:tcW w:w="907" w:type="dxa"/>
            <w:shd w:val="clear" w:color="auto" w:fill="auto"/>
          </w:tcPr>
          <w:p w:rsidR="006D2D1A" w:rsidRDefault="006D2D1A" w:rsidP="009901AD">
            <w:pPr>
              <w:pStyle w:val="AppendixTableText"/>
            </w:pPr>
            <w:r>
              <w:t>19/09/2002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202</w:t>
            </w:r>
          </w:p>
        </w:tc>
        <w:tc>
          <w:tcPr>
            <w:tcW w:w="2333" w:type="dxa"/>
            <w:shd w:val="clear" w:color="auto" w:fill="auto"/>
          </w:tcPr>
          <w:p w:rsidR="006D2D1A" w:rsidRDefault="006D2D1A" w:rsidP="009901AD">
            <w:pPr>
              <w:pStyle w:val="AppendixTableText"/>
            </w:pPr>
            <w:r>
              <w:t>Palmerston North Boys' High School</w:t>
            </w:r>
          </w:p>
        </w:tc>
        <w:tc>
          <w:tcPr>
            <w:tcW w:w="907" w:type="dxa"/>
            <w:shd w:val="clear" w:color="auto" w:fill="auto"/>
          </w:tcPr>
          <w:p w:rsidR="006D2D1A" w:rsidRDefault="006D2D1A" w:rsidP="009901AD">
            <w:pPr>
              <w:pStyle w:val="AppendixTableText"/>
            </w:pPr>
            <w:r>
              <w:t>8/07/2005</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203</w:t>
            </w:r>
          </w:p>
        </w:tc>
        <w:tc>
          <w:tcPr>
            <w:tcW w:w="2333" w:type="dxa"/>
            <w:shd w:val="clear" w:color="auto" w:fill="auto"/>
          </w:tcPr>
          <w:p w:rsidR="006D2D1A" w:rsidRDefault="006D2D1A" w:rsidP="009901AD">
            <w:pPr>
              <w:pStyle w:val="AppendixTableText"/>
            </w:pPr>
            <w:r>
              <w:t>Palmerston North Girls' High School</w:t>
            </w:r>
          </w:p>
        </w:tc>
        <w:tc>
          <w:tcPr>
            <w:tcW w:w="907" w:type="dxa"/>
            <w:shd w:val="clear" w:color="auto" w:fill="auto"/>
          </w:tcPr>
          <w:p w:rsidR="006D2D1A" w:rsidRDefault="006D2D1A" w:rsidP="009901AD">
            <w:pPr>
              <w:pStyle w:val="AppendixTableText"/>
            </w:pPr>
            <w:r>
              <w:t>20/05/1999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2419</w:t>
            </w:r>
          </w:p>
        </w:tc>
        <w:tc>
          <w:tcPr>
            <w:tcW w:w="2333" w:type="dxa"/>
            <w:shd w:val="clear" w:color="auto" w:fill="auto"/>
          </w:tcPr>
          <w:p w:rsidR="006D2D1A" w:rsidRDefault="006D2D1A" w:rsidP="009901AD">
            <w:pPr>
              <w:pStyle w:val="AppendixTableText"/>
            </w:pPr>
            <w:r>
              <w:t>Palmerston North Intermediate</w:t>
            </w:r>
          </w:p>
        </w:tc>
        <w:tc>
          <w:tcPr>
            <w:tcW w:w="907" w:type="dxa"/>
            <w:shd w:val="clear" w:color="auto" w:fill="auto"/>
          </w:tcPr>
          <w:p w:rsidR="006D2D1A" w:rsidRDefault="006D2D1A" w:rsidP="009901AD">
            <w:pPr>
              <w:pStyle w:val="AppendixTableText"/>
            </w:pPr>
            <w:r>
              <w:t>15/12/1999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2946</w:t>
            </w:r>
          </w:p>
        </w:tc>
        <w:tc>
          <w:tcPr>
            <w:tcW w:w="2333" w:type="dxa"/>
            <w:shd w:val="clear" w:color="auto" w:fill="auto"/>
          </w:tcPr>
          <w:p w:rsidR="006D2D1A" w:rsidRDefault="006D2D1A" w:rsidP="009901AD">
            <w:pPr>
              <w:pStyle w:val="AppendixTableText"/>
            </w:pPr>
            <w:r>
              <w:t>Papakowhai School</w:t>
            </w:r>
          </w:p>
        </w:tc>
        <w:tc>
          <w:tcPr>
            <w:tcW w:w="907" w:type="dxa"/>
            <w:shd w:val="clear" w:color="auto" w:fill="auto"/>
          </w:tcPr>
          <w:p w:rsidR="006D2D1A" w:rsidRDefault="006D2D1A" w:rsidP="009901AD">
            <w:pPr>
              <w:pStyle w:val="AppendixTableText"/>
            </w:pPr>
            <w:r>
              <w:t>12/02/2007</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1421</w:t>
            </w:r>
          </w:p>
        </w:tc>
        <w:tc>
          <w:tcPr>
            <w:tcW w:w="2333" w:type="dxa"/>
            <w:shd w:val="clear" w:color="auto" w:fill="auto"/>
          </w:tcPr>
          <w:p w:rsidR="006D2D1A" w:rsidRDefault="006D2D1A" w:rsidP="009901AD">
            <w:pPr>
              <w:pStyle w:val="AppendixTableText"/>
            </w:pPr>
            <w:r>
              <w:t>Papakura Central School</w:t>
            </w:r>
          </w:p>
        </w:tc>
        <w:tc>
          <w:tcPr>
            <w:tcW w:w="907" w:type="dxa"/>
            <w:shd w:val="clear" w:color="auto" w:fill="auto"/>
          </w:tcPr>
          <w:p w:rsidR="006D2D1A" w:rsidRDefault="006D2D1A" w:rsidP="009901AD">
            <w:pPr>
              <w:pStyle w:val="AppendixTableText"/>
            </w:pPr>
            <w:r>
              <w:t>10/08/2005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1423</w:t>
            </w:r>
          </w:p>
        </w:tc>
        <w:tc>
          <w:tcPr>
            <w:tcW w:w="2333" w:type="dxa"/>
            <w:shd w:val="clear" w:color="auto" w:fill="auto"/>
          </w:tcPr>
          <w:p w:rsidR="006D2D1A" w:rsidRDefault="006D2D1A" w:rsidP="009901AD">
            <w:pPr>
              <w:pStyle w:val="AppendixTableText"/>
            </w:pPr>
            <w:r>
              <w:t>Papakura Normal School</w:t>
            </w:r>
          </w:p>
        </w:tc>
        <w:tc>
          <w:tcPr>
            <w:tcW w:w="907" w:type="dxa"/>
            <w:shd w:val="clear" w:color="auto" w:fill="auto"/>
          </w:tcPr>
          <w:p w:rsidR="006D2D1A" w:rsidRDefault="006D2D1A" w:rsidP="009901AD">
            <w:pPr>
              <w:pStyle w:val="AppendixTableText"/>
            </w:pPr>
            <w:r>
              <w:t>5/12/2001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6963</w:t>
            </w:r>
          </w:p>
        </w:tc>
        <w:tc>
          <w:tcPr>
            <w:tcW w:w="2333" w:type="dxa"/>
            <w:shd w:val="clear" w:color="auto" w:fill="auto"/>
          </w:tcPr>
          <w:p w:rsidR="006D2D1A" w:rsidRDefault="006D2D1A" w:rsidP="009901AD">
            <w:pPr>
              <w:pStyle w:val="AppendixTableText"/>
            </w:pPr>
            <w:r>
              <w:t>Papamoa College</w:t>
            </w:r>
          </w:p>
        </w:tc>
        <w:tc>
          <w:tcPr>
            <w:tcW w:w="907" w:type="dxa"/>
            <w:shd w:val="clear" w:color="auto" w:fill="auto"/>
          </w:tcPr>
          <w:p w:rsidR="006D2D1A" w:rsidRDefault="006D2D1A" w:rsidP="009901AD">
            <w:pPr>
              <w:pStyle w:val="AppendixTableText"/>
            </w:pPr>
            <w:r>
              <w:t>27/01/2011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1885</w:t>
            </w:r>
          </w:p>
        </w:tc>
        <w:tc>
          <w:tcPr>
            <w:tcW w:w="2333" w:type="dxa"/>
            <w:shd w:val="clear" w:color="auto" w:fill="auto"/>
          </w:tcPr>
          <w:p w:rsidR="006D2D1A" w:rsidRDefault="006D2D1A" w:rsidP="009901AD">
            <w:pPr>
              <w:pStyle w:val="AppendixTableText"/>
            </w:pPr>
            <w:r>
              <w:t>Papamoa School</w:t>
            </w:r>
          </w:p>
        </w:tc>
        <w:tc>
          <w:tcPr>
            <w:tcW w:w="907" w:type="dxa"/>
            <w:shd w:val="clear" w:color="auto" w:fill="auto"/>
          </w:tcPr>
          <w:p w:rsidR="006D2D1A" w:rsidRDefault="006D2D1A" w:rsidP="009901AD">
            <w:pPr>
              <w:pStyle w:val="AppendixTableText"/>
            </w:pPr>
            <w:r>
              <w:t>9/07/2005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316</w:t>
            </w:r>
          </w:p>
        </w:tc>
        <w:tc>
          <w:tcPr>
            <w:tcW w:w="2333" w:type="dxa"/>
            <w:shd w:val="clear" w:color="auto" w:fill="auto"/>
          </w:tcPr>
          <w:p w:rsidR="006D2D1A" w:rsidRDefault="006D2D1A" w:rsidP="009901AD">
            <w:pPr>
              <w:pStyle w:val="AppendixTableText"/>
            </w:pPr>
            <w:r>
              <w:t>Papanui High School</w:t>
            </w:r>
          </w:p>
        </w:tc>
        <w:tc>
          <w:tcPr>
            <w:tcW w:w="907" w:type="dxa"/>
            <w:shd w:val="clear" w:color="auto" w:fill="auto"/>
          </w:tcPr>
          <w:p w:rsidR="006D2D1A" w:rsidRDefault="006D2D1A" w:rsidP="009901AD">
            <w:pPr>
              <w:pStyle w:val="AppendixTableText"/>
            </w:pPr>
            <w:r>
              <w:t>2/05/2006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3467</w:t>
            </w:r>
          </w:p>
        </w:tc>
        <w:tc>
          <w:tcPr>
            <w:tcW w:w="2333" w:type="dxa"/>
            <w:shd w:val="clear" w:color="auto" w:fill="auto"/>
          </w:tcPr>
          <w:p w:rsidR="006D2D1A" w:rsidRDefault="006D2D1A" w:rsidP="009901AD">
            <w:pPr>
              <w:pStyle w:val="AppendixTableText"/>
            </w:pPr>
            <w:r>
              <w:t>Paparoa Street School</w:t>
            </w:r>
          </w:p>
        </w:tc>
        <w:tc>
          <w:tcPr>
            <w:tcW w:w="907" w:type="dxa"/>
            <w:shd w:val="clear" w:color="auto" w:fill="auto"/>
          </w:tcPr>
          <w:p w:rsidR="006D2D1A" w:rsidRDefault="006D2D1A" w:rsidP="009901AD">
            <w:pPr>
              <w:pStyle w:val="AppendixTableText"/>
            </w:pPr>
            <w:r>
              <w:t>26/11/1999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1426</w:t>
            </w:r>
          </w:p>
        </w:tc>
        <w:tc>
          <w:tcPr>
            <w:tcW w:w="2333" w:type="dxa"/>
            <w:shd w:val="clear" w:color="auto" w:fill="auto"/>
          </w:tcPr>
          <w:p w:rsidR="006D2D1A" w:rsidRDefault="006D2D1A" w:rsidP="009901AD">
            <w:pPr>
              <w:pStyle w:val="AppendixTableText"/>
            </w:pPr>
            <w:r>
              <w:t>Papatoetoe Central School</w:t>
            </w:r>
          </w:p>
        </w:tc>
        <w:tc>
          <w:tcPr>
            <w:tcW w:w="907" w:type="dxa"/>
            <w:shd w:val="clear" w:color="auto" w:fill="auto"/>
          </w:tcPr>
          <w:p w:rsidR="006D2D1A" w:rsidRDefault="006D2D1A" w:rsidP="009901AD">
            <w:pPr>
              <w:pStyle w:val="AppendixTableText"/>
            </w:pPr>
            <w:r>
              <w:t>6/08/1999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1427</w:t>
            </w:r>
          </w:p>
        </w:tc>
        <w:tc>
          <w:tcPr>
            <w:tcW w:w="2333" w:type="dxa"/>
            <w:shd w:val="clear" w:color="auto" w:fill="auto"/>
          </w:tcPr>
          <w:p w:rsidR="006D2D1A" w:rsidRDefault="006D2D1A" w:rsidP="009901AD">
            <w:pPr>
              <w:pStyle w:val="AppendixTableText"/>
            </w:pPr>
            <w:r>
              <w:t>Papatoetoe East School</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95</w:t>
            </w:r>
          </w:p>
        </w:tc>
        <w:tc>
          <w:tcPr>
            <w:tcW w:w="2333" w:type="dxa"/>
            <w:shd w:val="clear" w:color="auto" w:fill="auto"/>
          </w:tcPr>
          <w:p w:rsidR="006D2D1A" w:rsidRDefault="006D2D1A" w:rsidP="009901AD">
            <w:pPr>
              <w:pStyle w:val="AppendixTableText"/>
            </w:pPr>
            <w:r>
              <w:t>Papatoetoe High School</w:t>
            </w:r>
          </w:p>
        </w:tc>
        <w:tc>
          <w:tcPr>
            <w:tcW w:w="907" w:type="dxa"/>
            <w:shd w:val="clear" w:color="auto" w:fill="auto"/>
          </w:tcPr>
          <w:p w:rsidR="006D2D1A" w:rsidRDefault="006D2D1A" w:rsidP="009901AD">
            <w:pPr>
              <w:pStyle w:val="AppendixTableText"/>
            </w:pPr>
            <w:r>
              <w:t>5/08/1999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1428</w:t>
            </w:r>
          </w:p>
        </w:tc>
        <w:tc>
          <w:tcPr>
            <w:tcW w:w="2333" w:type="dxa"/>
            <w:shd w:val="clear" w:color="auto" w:fill="auto"/>
          </w:tcPr>
          <w:p w:rsidR="006D2D1A" w:rsidRDefault="006D2D1A" w:rsidP="009901AD">
            <w:pPr>
              <w:pStyle w:val="AppendixTableText"/>
            </w:pPr>
            <w:r>
              <w:t>Papatoetoe Intermediate</w:t>
            </w:r>
          </w:p>
        </w:tc>
        <w:tc>
          <w:tcPr>
            <w:tcW w:w="907" w:type="dxa"/>
            <w:shd w:val="clear" w:color="auto" w:fill="auto"/>
          </w:tcPr>
          <w:p w:rsidR="006D2D1A" w:rsidRDefault="006D2D1A" w:rsidP="009901AD">
            <w:pPr>
              <w:pStyle w:val="AppendixTableText"/>
            </w:pPr>
            <w:r>
              <w:t>30/08/1999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1429</w:t>
            </w:r>
          </w:p>
        </w:tc>
        <w:tc>
          <w:tcPr>
            <w:tcW w:w="2333" w:type="dxa"/>
            <w:shd w:val="clear" w:color="auto" w:fill="auto"/>
          </w:tcPr>
          <w:p w:rsidR="006D2D1A" w:rsidRDefault="006D2D1A" w:rsidP="009901AD">
            <w:pPr>
              <w:pStyle w:val="AppendixTableText"/>
            </w:pPr>
            <w:r>
              <w:t>Papatoetoe North School</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1430</w:t>
            </w:r>
          </w:p>
        </w:tc>
        <w:tc>
          <w:tcPr>
            <w:tcW w:w="2333" w:type="dxa"/>
            <w:shd w:val="clear" w:color="auto" w:fill="auto"/>
          </w:tcPr>
          <w:p w:rsidR="006D2D1A" w:rsidRDefault="006D2D1A" w:rsidP="009901AD">
            <w:pPr>
              <w:pStyle w:val="AppendixTableText"/>
            </w:pPr>
            <w:r>
              <w:t>Papatoetoe South School</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1431</w:t>
            </w:r>
          </w:p>
        </w:tc>
        <w:tc>
          <w:tcPr>
            <w:tcW w:w="2333" w:type="dxa"/>
            <w:shd w:val="clear" w:color="auto" w:fill="auto"/>
          </w:tcPr>
          <w:p w:rsidR="006D2D1A" w:rsidRDefault="006D2D1A" w:rsidP="009901AD">
            <w:pPr>
              <w:pStyle w:val="AppendixTableText"/>
            </w:pPr>
            <w:r>
              <w:t>Papatoetoe West School</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2948</w:t>
            </w:r>
          </w:p>
        </w:tc>
        <w:tc>
          <w:tcPr>
            <w:tcW w:w="2333" w:type="dxa"/>
            <w:shd w:val="clear" w:color="auto" w:fill="auto"/>
          </w:tcPr>
          <w:p w:rsidR="006D2D1A" w:rsidRDefault="006D2D1A" w:rsidP="009901AD">
            <w:pPr>
              <w:pStyle w:val="AppendixTableText"/>
            </w:pPr>
            <w:r>
              <w:t>Paraparaumu Beach School</w:t>
            </w:r>
          </w:p>
        </w:tc>
        <w:tc>
          <w:tcPr>
            <w:tcW w:w="907" w:type="dxa"/>
            <w:shd w:val="clear" w:color="auto" w:fill="auto"/>
          </w:tcPr>
          <w:p w:rsidR="006D2D1A" w:rsidRDefault="006D2D1A" w:rsidP="009901AD">
            <w:pPr>
              <w:pStyle w:val="AppendixTableText"/>
            </w:pPr>
            <w:r>
              <w:t>15/07/2002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248</w:t>
            </w:r>
          </w:p>
        </w:tc>
        <w:tc>
          <w:tcPr>
            <w:tcW w:w="2333" w:type="dxa"/>
            <w:shd w:val="clear" w:color="auto" w:fill="auto"/>
          </w:tcPr>
          <w:p w:rsidR="006D2D1A" w:rsidRDefault="006D2D1A" w:rsidP="009901AD">
            <w:pPr>
              <w:pStyle w:val="AppendixTableText"/>
            </w:pPr>
            <w:r>
              <w:t>Paraparaumu College</w:t>
            </w:r>
          </w:p>
        </w:tc>
        <w:tc>
          <w:tcPr>
            <w:tcW w:w="907" w:type="dxa"/>
            <w:shd w:val="clear" w:color="auto" w:fill="auto"/>
          </w:tcPr>
          <w:p w:rsidR="006D2D1A" w:rsidRDefault="006D2D1A" w:rsidP="009901AD">
            <w:pPr>
              <w:pStyle w:val="AppendixTableText"/>
            </w:pPr>
            <w:r>
              <w:t>23/04/2002</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2950</w:t>
            </w:r>
          </w:p>
        </w:tc>
        <w:tc>
          <w:tcPr>
            <w:tcW w:w="2333" w:type="dxa"/>
            <w:shd w:val="clear" w:color="auto" w:fill="auto"/>
          </w:tcPr>
          <w:p w:rsidR="006D2D1A" w:rsidRDefault="006D2D1A" w:rsidP="009901AD">
            <w:pPr>
              <w:pStyle w:val="AppendixTableText"/>
            </w:pPr>
            <w:r>
              <w:t>Paremata School</w:t>
            </w:r>
          </w:p>
        </w:tc>
        <w:tc>
          <w:tcPr>
            <w:tcW w:w="907" w:type="dxa"/>
            <w:shd w:val="clear" w:color="auto" w:fill="auto"/>
          </w:tcPr>
          <w:p w:rsidR="006D2D1A" w:rsidRDefault="006D2D1A" w:rsidP="009901AD">
            <w:pPr>
              <w:pStyle w:val="AppendixTableText"/>
            </w:pPr>
            <w:r>
              <w:t>3/11/1999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2424</w:t>
            </w:r>
          </w:p>
        </w:tc>
        <w:tc>
          <w:tcPr>
            <w:tcW w:w="2333" w:type="dxa"/>
            <w:shd w:val="clear" w:color="auto" w:fill="auto"/>
          </w:tcPr>
          <w:p w:rsidR="006D2D1A" w:rsidRDefault="006D2D1A" w:rsidP="009901AD">
            <w:pPr>
              <w:pStyle w:val="AppendixTableText"/>
            </w:pPr>
            <w:r>
              <w:t>Parkland School (P North)</w:t>
            </w:r>
          </w:p>
        </w:tc>
        <w:tc>
          <w:tcPr>
            <w:tcW w:w="907" w:type="dxa"/>
            <w:shd w:val="clear" w:color="auto" w:fill="auto"/>
          </w:tcPr>
          <w:p w:rsidR="006D2D1A" w:rsidRDefault="006D2D1A" w:rsidP="009901AD">
            <w:pPr>
              <w:pStyle w:val="AppendixTableText"/>
            </w:pPr>
            <w:r>
              <w:t>1/11/2007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2641</w:t>
            </w:r>
          </w:p>
        </w:tc>
        <w:tc>
          <w:tcPr>
            <w:tcW w:w="2333" w:type="dxa"/>
            <w:shd w:val="clear" w:color="auto" w:fill="auto"/>
          </w:tcPr>
          <w:p w:rsidR="006D2D1A" w:rsidRDefault="006D2D1A" w:rsidP="009901AD">
            <w:pPr>
              <w:pStyle w:val="AppendixTableText"/>
            </w:pPr>
            <w:r>
              <w:t>Parkvale School</w:t>
            </w:r>
          </w:p>
        </w:tc>
        <w:tc>
          <w:tcPr>
            <w:tcW w:w="907" w:type="dxa"/>
            <w:shd w:val="clear" w:color="auto" w:fill="auto"/>
          </w:tcPr>
          <w:p w:rsidR="006D2D1A" w:rsidRDefault="006D2D1A" w:rsidP="009901AD">
            <w:pPr>
              <w:pStyle w:val="AppendixTableText"/>
            </w:pPr>
            <w:r>
              <w:t>28/11/2003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1436</w:t>
            </w:r>
          </w:p>
        </w:tc>
        <w:tc>
          <w:tcPr>
            <w:tcW w:w="2333" w:type="dxa"/>
            <w:shd w:val="clear" w:color="auto" w:fill="auto"/>
          </w:tcPr>
          <w:p w:rsidR="006D2D1A" w:rsidRDefault="006D2D1A" w:rsidP="009901AD">
            <w:pPr>
              <w:pStyle w:val="AppendixTableText"/>
            </w:pPr>
            <w:r>
              <w:t>Parnell School</w:t>
            </w:r>
          </w:p>
        </w:tc>
        <w:tc>
          <w:tcPr>
            <w:tcW w:w="907" w:type="dxa"/>
            <w:shd w:val="clear" w:color="auto" w:fill="auto"/>
          </w:tcPr>
          <w:p w:rsidR="006D2D1A" w:rsidRDefault="006D2D1A" w:rsidP="009901AD">
            <w:pPr>
              <w:pStyle w:val="AppendixTableText"/>
            </w:pPr>
            <w:r>
              <w:t>27/09/1999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1438</w:t>
            </w:r>
          </w:p>
        </w:tc>
        <w:tc>
          <w:tcPr>
            <w:tcW w:w="2333" w:type="dxa"/>
            <w:shd w:val="clear" w:color="auto" w:fill="auto"/>
          </w:tcPr>
          <w:p w:rsidR="006D2D1A" w:rsidRDefault="006D2D1A" w:rsidP="009901AD">
            <w:pPr>
              <w:pStyle w:val="AppendixTableText"/>
            </w:pPr>
            <w:r>
              <w:t>Patumahoe Primary School</w:t>
            </w:r>
          </w:p>
        </w:tc>
        <w:tc>
          <w:tcPr>
            <w:tcW w:w="907" w:type="dxa"/>
            <w:shd w:val="clear" w:color="auto" w:fill="auto"/>
          </w:tcPr>
          <w:p w:rsidR="006D2D1A" w:rsidRDefault="006D2D1A" w:rsidP="009901AD">
            <w:pPr>
              <w:pStyle w:val="AppendixTableText"/>
            </w:pPr>
            <w:r>
              <w:t>21/06/2007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2953</w:t>
            </w:r>
          </w:p>
        </w:tc>
        <w:tc>
          <w:tcPr>
            <w:tcW w:w="2333" w:type="dxa"/>
            <w:shd w:val="clear" w:color="auto" w:fill="auto"/>
          </w:tcPr>
          <w:p w:rsidR="006D2D1A" w:rsidRDefault="006D2D1A" w:rsidP="009901AD">
            <w:pPr>
              <w:pStyle w:val="AppendixTableText"/>
            </w:pPr>
            <w:r>
              <w:t>Pauatahanui School</w:t>
            </w:r>
          </w:p>
        </w:tc>
        <w:tc>
          <w:tcPr>
            <w:tcW w:w="907" w:type="dxa"/>
            <w:shd w:val="clear" w:color="auto" w:fill="auto"/>
          </w:tcPr>
          <w:p w:rsidR="006D2D1A" w:rsidRDefault="006D2D1A" w:rsidP="009901AD">
            <w:pPr>
              <w:pStyle w:val="AppendixTableText"/>
            </w:pPr>
            <w:r>
              <w:t>23/06/2005</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1892</w:t>
            </w:r>
          </w:p>
        </w:tc>
        <w:tc>
          <w:tcPr>
            <w:tcW w:w="2333" w:type="dxa"/>
            <w:shd w:val="clear" w:color="auto" w:fill="auto"/>
          </w:tcPr>
          <w:p w:rsidR="006D2D1A" w:rsidRDefault="006D2D1A" w:rsidP="009901AD">
            <w:pPr>
              <w:pStyle w:val="AppendixTableText"/>
            </w:pPr>
            <w:r>
              <w:t>Peachgrove Intermediate</w:t>
            </w:r>
          </w:p>
        </w:tc>
        <w:tc>
          <w:tcPr>
            <w:tcW w:w="907" w:type="dxa"/>
            <w:shd w:val="clear" w:color="auto" w:fill="auto"/>
          </w:tcPr>
          <w:p w:rsidR="006D2D1A" w:rsidRDefault="006D2D1A" w:rsidP="009901AD">
            <w:pPr>
              <w:pStyle w:val="AppendixTableText"/>
            </w:pPr>
            <w:r>
              <w:t>24/10/2002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1893</w:t>
            </w:r>
          </w:p>
        </w:tc>
        <w:tc>
          <w:tcPr>
            <w:tcW w:w="2333" w:type="dxa"/>
            <w:shd w:val="clear" w:color="auto" w:fill="auto"/>
          </w:tcPr>
          <w:p w:rsidR="006D2D1A" w:rsidRDefault="006D2D1A" w:rsidP="009901AD">
            <w:pPr>
              <w:pStyle w:val="AppendixTableText"/>
            </w:pPr>
            <w:r>
              <w:t>Pekerau School</w:t>
            </w:r>
          </w:p>
        </w:tc>
        <w:tc>
          <w:tcPr>
            <w:tcW w:w="907" w:type="dxa"/>
            <w:shd w:val="clear" w:color="auto" w:fill="auto"/>
          </w:tcPr>
          <w:p w:rsidR="006D2D1A" w:rsidRDefault="006D2D1A" w:rsidP="009901AD">
            <w:pPr>
              <w:pStyle w:val="AppendixTableText"/>
            </w:pPr>
            <w:r>
              <w:t>11/05/2007</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3737</w:t>
            </w:r>
          </w:p>
        </w:tc>
        <w:tc>
          <w:tcPr>
            <w:tcW w:w="2333" w:type="dxa"/>
            <w:shd w:val="clear" w:color="auto" w:fill="auto"/>
          </w:tcPr>
          <w:p w:rsidR="006D2D1A" w:rsidRDefault="006D2D1A" w:rsidP="009901AD">
            <w:pPr>
              <w:pStyle w:val="AppendixTableText"/>
            </w:pPr>
            <w:r>
              <w:t>Pembroke School (Oamaru)</w:t>
            </w:r>
          </w:p>
        </w:tc>
        <w:tc>
          <w:tcPr>
            <w:tcW w:w="907" w:type="dxa"/>
            <w:shd w:val="clear" w:color="auto" w:fill="auto"/>
          </w:tcPr>
          <w:p w:rsidR="006D2D1A" w:rsidRDefault="006D2D1A" w:rsidP="009901AD">
            <w:pPr>
              <w:pStyle w:val="AppendixTableText"/>
            </w:pPr>
            <w:r>
              <w:t>31/05/2007</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2644</w:t>
            </w:r>
          </w:p>
        </w:tc>
        <w:tc>
          <w:tcPr>
            <w:tcW w:w="2333" w:type="dxa"/>
            <w:shd w:val="clear" w:color="auto" w:fill="auto"/>
          </w:tcPr>
          <w:p w:rsidR="006D2D1A" w:rsidRDefault="006D2D1A" w:rsidP="009901AD">
            <w:pPr>
              <w:pStyle w:val="AppendixTableText"/>
            </w:pPr>
            <w:r>
              <w:t>Peterhead School</w:t>
            </w:r>
          </w:p>
        </w:tc>
        <w:tc>
          <w:tcPr>
            <w:tcW w:w="907" w:type="dxa"/>
            <w:shd w:val="clear" w:color="auto" w:fill="auto"/>
          </w:tcPr>
          <w:p w:rsidR="006D2D1A" w:rsidRDefault="006D2D1A" w:rsidP="009901AD">
            <w:pPr>
              <w:pStyle w:val="AppendixTableText"/>
            </w:pPr>
            <w:r>
              <w:t>22/11/2002</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1439</w:t>
            </w:r>
          </w:p>
        </w:tc>
        <w:tc>
          <w:tcPr>
            <w:tcW w:w="2333" w:type="dxa"/>
            <w:shd w:val="clear" w:color="auto" w:fill="auto"/>
          </w:tcPr>
          <w:p w:rsidR="006D2D1A" w:rsidRDefault="006D2D1A" w:rsidP="009901AD">
            <w:pPr>
              <w:pStyle w:val="AppendixTableText"/>
            </w:pPr>
            <w:r>
              <w:t>Pigeon Mountain School</w:t>
            </w:r>
          </w:p>
        </w:tc>
        <w:tc>
          <w:tcPr>
            <w:tcW w:w="907" w:type="dxa"/>
            <w:shd w:val="clear" w:color="auto" w:fill="auto"/>
          </w:tcPr>
          <w:p w:rsidR="006D2D1A" w:rsidRDefault="006D2D1A" w:rsidP="009901AD">
            <w:pPr>
              <w:pStyle w:val="AppendixTableText"/>
            </w:pPr>
            <w:r>
              <w:t>25/11/1999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1894</w:t>
            </w:r>
          </w:p>
        </w:tc>
        <w:tc>
          <w:tcPr>
            <w:tcW w:w="2333" w:type="dxa"/>
            <w:shd w:val="clear" w:color="auto" w:fill="auto"/>
          </w:tcPr>
          <w:p w:rsidR="006D2D1A" w:rsidRDefault="006D2D1A" w:rsidP="009901AD">
            <w:pPr>
              <w:pStyle w:val="AppendixTableText"/>
            </w:pPr>
            <w:r>
              <w:t>Pillans Point School</w:t>
            </w:r>
          </w:p>
        </w:tc>
        <w:tc>
          <w:tcPr>
            <w:tcW w:w="907" w:type="dxa"/>
            <w:shd w:val="clear" w:color="auto" w:fill="auto"/>
          </w:tcPr>
          <w:p w:rsidR="006D2D1A" w:rsidRDefault="006D2D1A" w:rsidP="009901AD">
            <w:pPr>
              <w:pStyle w:val="AppendixTableText"/>
            </w:pPr>
            <w:r>
              <w:t>20/12/1999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2957</w:t>
            </w:r>
          </w:p>
        </w:tc>
        <w:tc>
          <w:tcPr>
            <w:tcW w:w="2333" w:type="dxa"/>
            <w:shd w:val="clear" w:color="auto" w:fill="auto"/>
          </w:tcPr>
          <w:p w:rsidR="006D2D1A" w:rsidRDefault="006D2D1A" w:rsidP="009901AD">
            <w:pPr>
              <w:pStyle w:val="AppendixTableText"/>
            </w:pPr>
            <w:r>
              <w:t>Pinehaven School</w:t>
            </w:r>
          </w:p>
        </w:tc>
        <w:tc>
          <w:tcPr>
            <w:tcW w:w="907" w:type="dxa"/>
            <w:shd w:val="clear" w:color="auto" w:fill="auto"/>
          </w:tcPr>
          <w:p w:rsidR="006D2D1A" w:rsidRDefault="006D2D1A" w:rsidP="009901AD">
            <w:pPr>
              <w:pStyle w:val="AppendixTableText"/>
            </w:pPr>
            <w:r>
              <w:t>27/02/2009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6932</w:t>
            </w:r>
          </w:p>
        </w:tc>
        <w:tc>
          <w:tcPr>
            <w:tcW w:w="2333" w:type="dxa"/>
            <w:shd w:val="clear" w:color="auto" w:fill="auto"/>
          </w:tcPr>
          <w:p w:rsidR="006D2D1A" w:rsidRDefault="006D2D1A" w:rsidP="009901AD">
            <w:pPr>
              <w:pStyle w:val="AppendixTableText"/>
            </w:pPr>
            <w:r>
              <w:t>Pinehill School (Browns Bay)</w:t>
            </w:r>
          </w:p>
        </w:tc>
        <w:tc>
          <w:tcPr>
            <w:tcW w:w="907" w:type="dxa"/>
            <w:shd w:val="clear" w:color="auto" w:fill="auto"/>
          </w:tcPr>
          <w:p w:rsidR="006D2D1A" w:rsidRDefault="006D2D1A" w:rsidP="009901AD">
            <w:pPr>
              <w:pStyle w:val="AppendixTableText"/>
            </w:pPr>
            <w:r>
              <w:t>27/10/1999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1897</w:t>
            </w:r>
          </w:p>
        </w:tc>
        <w:tc>
          <w:tcPr>
            <w:tcW w:w="2333" w:type="dxa"/>
            <w:shd w:val="clear" w:color="auto" w:fill="auto"/>
          </w:tcPr>
          <w:p w:rsidR="006D2D1A" w:rsidRDefault="006D2D1A" w:rsidP="009901AD">
            <w:pPr>
              <w:pStyle w:val="AppendixTableText"/>
            </w:pPr>
            <w:r>
              <w:t>Pirongia School</w:t>
            </w:r>
          </w:p>
        </w:tc>
        <w:tc>
          <w:tcPr>
            <w:tcW w:w="907" w:type="dxa"/>
            <w:shd w:val="clear" w:color="auto" w:fill="auto"/>
          </w:tcPr>
          <w:p w:rsidR="006D2D1A" w:rsidRDefault="006D2D1A" w:rsidP="009901AD">
            <w:pPr>
              <w:pStyle w:val="AppendixTableText"/>
            </w:pPr>
            <w:r>
              <w:t>18/02/2002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2959</w:t>
            </w:r>
          </w:p>
        </w:tc>
        <w:tc>
          <w:tcPr>
            <w:tcW w:w="2333" w:type="dxa"/>
            <w:shd w:val="clear" w:color="auto" w:fill="auto"/>
          </w:tcPr>
          <w:p w:rsidR="006D2D1A" w:rsidRDefault="006D2D1A" w:rsidP="009901AD">
            <w:pPr>
              <w:pStyle w:val="AppendixTableText"/>
            </w:pPr>
            <w:r>
              <w:t>Plateau School</w:t>
            </w:r>
          </w:p>
        </w:tc>
        <w:tc>
          <w:tcPr>
            <w:tcW w:w="907" w:type="dxa"/>
            <w:shd w:val="clear" w:color="auto" w:fill="auto"/>
          </w:tcPr>
          <w:p w:rsidR="006D2D1A" w:rsidRDefault="006D2D1A" w:rsidP="009901AD">
            <w:pPr>
              <w:pStyle w:val="AppendixTableText"/>
            </w:pPr>
            <w:r>
              <w:t>6/09/2006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2960</w:t>
            </w:r>
          </w:p>
        </w:tc>
        <w:tc>
          <w:tcPr>
            <w:tcW w:w="2333" w:type="dxa"/>
            <w:shd w:val="clear" w:color="auto" w:fill="auto"/>
          </w:tcPr>
          <w:p w:rsidR="006D2D1A" w:rsidRDefault="006D2D1A" w:rsidP="009901AD">
            <w:pPr>
              <w:pStyle w:val="AppendixTableText"/>
            </w:pPr>
            <w:r>
              <w:t>Plimmerton School</w:t>
            </w:r>
          </w:p>
        </w:tc>
        <w:tc>
          <w:tcPr>
            <w:tcW w:w="907" w:type="dxa"/>
            <w:shd w:val="clear" w:color="auto" w:fill="auto"/>
          </w:tcPr>
          <w:p w:rsidR="006D2D1A" w:rsidRDefault="006D2D1A" w:rsidP="009901AD">
            <w:pPr>
              <w:pStyle w:val="AppendixTableText"/>
            </w:pPr>
            <w:r>
              <w:t>18/06/1999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6921</w:t>
            </w:r>
          </w:p>
        </w:tc>
        <w:tc>
          <w:tcPr>
            <w:tcW w:w="2333" w:type="dxa"/>
            <w:shd w:val="clear" w:color="auto" w:fill="auto"/>
          </w:tcPr>
          <w:p w:rsidR="006D2D1A" w:rsidRDefault="006D2D1A" w:rsidP="009901AD">
            <w:pPr>
              <w:pStyle w:val="AppendixTableText"/>
            </w:pPr>
            <w:r>
              <w:t>Point View School</w:t>
            </w:r>
          </w:p>
        </w:tc>
        <w:tc>
          <w:tcPr>
            <w:tcW w:w="907" w:type="dxa"/>
            <w:shd w:val="clear" w:color="auto" w:fill="auto"/>
          </w:tcPr>
          <w:p w:rsidR="006D2D1A" w:rsidRDefault="006D2D1A" w:rsidP="009901AD">
            <w:pPr>
              <w:pStyle w:val="AppendixTableText"/>
            </w:pPr>
            <w:r>
              <w:t>9/09/1999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1442</w:t>
            </w:r>
          </w:p>
        </w:tc>
        <w:tc>
          <w:tcPr>
            <w:tcW w:w="2333" w:type="dxa"/>
            <w:shd w:val="clear" w:color="auto" w:fill="auto"/>
          </w:tcPr>
          <w:p w:rsidR="006D2D1A" w:rsidRDefault="006D2D1A" w:rsidP="009901AD">
            <w:pPr>
              <w:pStyle w:val="AppendixTableText"/>
            </w:pPr>
            <w:r>
              <w:t>Pokeno School</w:t>
            </w:r>
          </w:p>
        </w:tc>
        <w:tc>
          <w:tcPr>
            <w:tcW w:w="907" w:type="dxa"/>
            <w:shd w:val="clear" w:color="auto" w:fill="auto"/>
          </w:tcPr>
          <w:p w:rsidR="006D2D1A" w:rsidRDefault="006D2D1A" w:rsidP="009901AD">
            <w:pPr>
              <w:pStyle w:val="AppendixTableText"/>
            </w:pPr>
            <w:r>
              <w:t>24/06/2008</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1445</w:t>
            </w:r>
          </w:p>
        </w:tc>
        <w:tc>
          <w:tcPr>
            <w:tcW w:w="2333" w:type="dxa"/>
            <w:shd w:val="clear" w:color="auto" w:fill="auto"/>
          </w:tcPr>
          <w:p w:rsidR="006D2D1A" w:rsidRDefault="006D2D1A" w:rsidP="009901AD">
            <w:pPr>
              <w:pStyle w:val="AppendixTableText"/>
            </w:pPr>
            <w:r>
              <w:t>Ponsonby Intermediate</w:t>
            </w:r>
          </w:p>
        </w:tc>
        <w:tc>
          <w:tcPr>
            <w:tcW w:w="907" w:type="dxa"/>
            <w:shd w:val="clear" w:color="auto" w:fill="auto"/>
          </w:tcPr>
          <w:p w:rsidR="006D2D1A" w:rsidRDefault="006D2D1A" w:rsidP="009901AD">
            <w:pPr>
              <w:pStyle w:val="AppendixTableText"/>
            </w:pPr>
            <w:r>
              <w:t>16/10/2002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1446</w:t>
            </w:r>
          </w:p>
        </w:tc>
        <w:tc>
          <w:tcPr>
            <w:tcW w:w="2333" w:type="dxa"/>
            <w:shd w:val="clear" w:color="auto" w:fill="auto"/>
          </w:tcPr>
          <w:p w:rsidR="006D2D1A" w:rsidRDefault="006D2D1A" w:rsidP="009901AD">
            <w:pPr>
              <w:pStyle w:val="AppendixTableText"/>
            </w:pPr>
            <w:r>
              <w:t>Ponsonby Primary School</w:t>
            </w:r>
          </w:p>
        </w:tc>
        <w:tc>
          <w:tcPr>
            <w:tcW w:w="907" w:type="dxa"/>
            <w:shd w:val="clear" w:color="auto" w:fill="auto"/>
          </w:tcPr>
          <w:p w:rsidR="006D2D1A" w:rsidRDefault="006D2D1A" w:rsidP="009901AD">
            <w:pPr>
              <w:pStyle w:val="AppendixTableText"/>
            </w:pPr>
            <w:r>
              <w:t>7/09/1999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255</w:t>
            </w:r>
          </w:p>
        </w:tc>
        <w:tc>
          <w:tcPr>
            <w:tcW w:w="2333" w:type="dxa"/>
            <w:shd w:val="clear" w:color="auto" w:fill="auto"/>
          </w:tcPr>
          <w:p w:rsidR="006D2D1A" w:rsidRDefault="006D2D1A" w:rsidP="009901AD">
            <w:pPr>
              <w:pStyle w:val="AppendixTableText"/>
            </w:pPr>
            <w:r>
              <w:t>Porirua College</w:t>
            </w:r>
          </w:p>
        </w:tc>
        <w:tc>
          <w:tcPr>
            <w:tcW w:w="907" w:type="dxa"/>
            <w:shd w:val="clear" w:color="auto" w:fill="auto"/>
          </w:tcPr>
          <w:p w:rsidR="006D2D1A" w:rsidRDefault="006D2D1A" w:rsidP="009901AD">
            <w:pPr>
              <w:pStyle w:val="AppendixTableText"/>
            </w:pPr>
            <w:r>
              <w:t>27/01/2010</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2965</w:t>
            </w:r>
          </w:p>
        </w:tc>
        <w:tc>
          <w:tcPr>
            <w:tcW w:w="2333" w:type="dxa"/>
            <w:shd w:val="clear" w:color="auto" w:fill="auto"/>
          </w:tcPr>
          <w:p w:rsidR="006D2D1A" w:rsidRDefault="006D2D1A" w:rsidP="009901AD">
            <w:pPr>
              <w:pStyle w:val="AppendixTableText"/>
            </w:pPr>
            <w:r>
              <w:t>Poroutawhao School</w:t>
            </w:r>
          </w:p>
        </w:tc>
        <w:tc>
          <w:tcPr>
            <w:tcW w:w="907" w:type="dxa"/>
            <w:shd w:val="clear" w:color="auto" w:fill="auto"/>
          </w:tcPr>
          <w:p w:rsidR="006D2D1A" w:rsidRDefault="006D2D1A" w:rsidP="009901AD">
            <w:pPr>
              <w:pStyle w:val="AppendixTableText"/>
            </w:pPr>
            <w:r>
              <w:t>10/07/2006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2648</w:t>
            </w:r>
          </w:p>
        </w:tc>
        <w:tc>
          <w:tcPr>
            <w:tcW w:w="2333" w:type="dxa"/>
            <w:shd w:val="clear" w:color="auto" w:fill="auto"/>
          </w:tcPr>
          <w:p w:rsidR="006D2D1A" w:rsidRDefault="006D2D1A" w:rsidP="009901AD">
            <w:pPr>
              <w:pStyle w:val="AppendixTableText"/>
            </w:pPr>
            <w:r>
              <w:t>Port Ahuriri School</w:t>
            </w:r>
          </w:p>
        </w:tc>
        <w:tc>
          <w:tcPr>
            <w:tcW w:w="907" w:type="dxa"/>
            <w:shd w:val="clear" w:color="auto" w:fill="auto"/>
          </w:tcPr>
          <w:p w:rsidR="006D2D1A" w:rsidRDefault="006D2D1A" w:rsidP="009901AD">
            <w:pPr>
              <w:pStyle w:val="AppendixTableText"/>
            </w:pPr>
            <w:r>
              <w:t>27/05/2009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2966</w:t>
            </w:r>
          </w:p>
        </w:tc>
        <w:tc>
          <w:tcPr>
            <w:tcW w:w="2333" w:type="dxa"/>
            <w:shd w:val="clear" w:color="auto" w:fill="auto"/>
          </w:tcPr>
          <w:p w:rsidR="006D2D1A" w:rsidRDefault="006D2D1A" w:rsidP="009901AD">
            <w:pPr>
              <w:pStyle w:val="AppendixTableText"/>
            </w:pPr>
            <w:r>
              <w:t>Postgate School</w:t>
            </w:r>
          </w:p>
        </w:tc>
        <w:tc>
          <w:tcPr>
            <w:tcW w:w="907" w:type="dxa"/>
            <w:shd w:val="clear" w:color="auto" w:fill="auto"/>
          </w:tcPr>
          <w:p w:rsidR="006D2D1A" w:rsidRDefault="006D2D1A" w:rsidP="009901AD">
            <w:pPr>
              <w:pStyle w:val="AppendixTableText"/>
            </w:pPr>
            <w:r>
              <w:t>10/12/2012</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2650</w:t>
            </w:r>
          </w:p>
        </w:tc>
        <w:tc>
          <w:tcPr>
            <w:tcW w:w="2333" w:type="dxa"/>
            <w:shd w:val="clear" w:color="auto" w:fill="auto"/>
          </w:tcPr>
          <w:p w:rsidR="006D2D1A" w:rsidRDefault="006D2D1A" w:rsidP="009901AD">
            <w:pPr>
              <w:pStyle w:val="AppendixTableText"/>
            </w:pPr>
            <w:r>
              <w:t>Poukawa School</w:t>
            </w:r>
          </w:p>
        </w:tc>
        <w:tc>
          <w:tcPr>
            <w:tcW w:w="907" w:type="dxa"/>
            <w:shd w:val="clear" w:color="auto" w:fill="auto"/>
          </w:tcPr>
          <w:p w:rsidR="006D2D1A" w:rsidRDefault="006D2D1A" w:rsidP="009901AD">
            <w:pPr>
              <w:pStyle w:val="AppendixTableText"/>
            </w:pPr>
            <w:r>
              <w:t>19/04/2006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3478</w:t>
            </w:r>
          </w:p>
        </w:tc>
        <w:tc>
          <w:tcPr>
            <w:tcW w:w="2333" w:type="dxa"/>
            <w:shd w:val="clear" w:color="auto" w:fill="auto"/>
          </w:tcPr>
          <w:p w:rsidR="006D2D1A" w:rsidRDefault="006D2D1A" w:rsidP="009901AD">
            <w:pPr>
              <w:pStyle w:val="AppendixTableText"/>
            </w:pPr>
            <w:r>
              <w:t>Prebbleton School</w:t>
            </w:r>
          </w:p>
        </w:tc>
        <w:tc>
          <w:tcPr>
            <w:tcW w:w="907" w:type="dxa"/>
            <w:shd w:val="clear" w:color="auto" w:fill="auto"/>
          </w:tcPr>
          <w:p w:rsidR="006D2D1A" w:rsidRDefault="006D2D1A" w:rsidP="009901AD">
            <w:pPr>
              <w:pStyle w:val="AppendixTableText"/>
            </w:pPr>
            <w:r>
              <w:t>24/11/2003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1440</w:t>
            </w:r>
          </w:p>
        </w:tc>
        <w:tc>
          <w:tcPr>
            <w:tcW w:w="2333" w:type="dxa"/>
            <w:shd w:val="clear" w:color="auto" w:fill="auto"/>
          </w:tcPr>
          <w:p w:rsidR="006D2D1A" w:rsidRDefault="006D2D1A" w:rsidP="009901AD">
            <w:pPr>
              <w:pStyle w:val="AppendixTableText"/>
            </w:pPr>
            <w:r>
              <w:t>Pt Chevalier School</w:t>
            </w:r>
          </w:p>
        </w:tc>
        <w:tc>
          <w:tcPr>
            <w:tcW w:w="907" w:type="dxa"/>
            <w:shd w:val="clear" w:color="auto" w:fill="auto"/>
          </w:tcPr>
          <w:p w:rsidR="006D2D1A" w:rsidRDefault="006D2D1A" w:rsidP="009901AD">
            <w:pPr>
              <w:pStyle w:val="AppendixTableText"/>
            </w:pPr>
            <w:r>
              <w:t>28/09/1999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1441</w:t>
            </w:r>
          </w:p>
        </w:tc>
        <w:tc>
          <w:tcPr>
            <w:tcW w:w="2333" w:type="dxa"/>
            <w:shd w:val="clear" w:color="auto" w:fill="auto"/>
          </w:tcPr>
          <w:p w:rsidR="006D2D1A" w:rsidRDefault="006D2D1A" w:rsidP="009901AD">
            <w:pPr>
              <w:pStyle w:val="AppendixTableText"/>
            </w:pPr>
            <w:r>
              <w:t>Pt England School</w:t>
            </w:r>
          </w:p>
        </w:tc>
        <w:tc>
          <w:tcPr>
            <w:tcW w:w="907" w:type="dxa"/>
            <w:shd w:val="clear" w:color="auto" w:fill="auto"/>
          </w:tcPr>
          <w:p w:rsidR="006D2D1A" w:rsidRDefault="006D2D1A" w:rsidP="009901AD">
            <w:pPr>
              <w:pStyle w:val="AppendixTableText"/>
            </w:pPr>
            <w:r>
              <w:t>23/07/1999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1902</w:t>
            </w:r>
          </w:p>
        </w:tc>
        <w:tc>
          <w:tcPr>
            <w:tcW w:w="2333" w:type="dxa"/>
            <w:shd w:val="clear" w:color="auto" w:fill="auto"/>
          </w:tcPr>
          <w:p w:rsidR="006D2D1A" w:rsidRDefault="006D2D1A" w:rsidP="009901AD">
            <w:pPr>
              <w:pStyle w:val="AppendixTableText"/>
            </w:pPr>
            <w:r>
              <w:t>Puahue School</w:t>
            </w:r>
          </w:p>
        </w:tc>
        <w:tc>
          <w:tcPr>
            <w:tcW w:w="907" w:type="dxa"/>
            <w:shd w:val="clear" w:color="auto" w:fill="auto"/>
          </w:tcPr>
          <w:p w:rsidR="006D2D1A" w:rsidRDefault="006D2D1A" w:rsidP="009901AD">
            <w:pPr>
              <w:pStyle w:val="AppendixTableText"/>
            </w:pPr>
            <w:r>
              <w:t>12/05/2010</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1448</w:t>
            </w:r>
          </w:p>
        </w:tc>
        <w:tc>
          <w:tcPr>
            <w:tcW w:w="2333" w:type="dxa"/>
            <w:shd w:val="clear" w:color="auto" w:fill="auto"/>
          </w:tcPr>
          <w:p w:rsidR="006D2D1A" w:rsidRDefault="006D2D1A" w:rsidP="009901AD">
            <w:pPr>
              <w:pStyle w:val="AppendixTableText"/>
            </w:pPr>
            <w:r>
              <w:t>Puhinui School</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2651</w:t>
            </w:r>
          </w:p>
        </w:tc>
        <w:tc>
          <w:tcPr>
            <w:tcW w:w="2333" w:type="dxa"/>
            <w:shd w:val="clear" w:color="auto" w:fill="auto"/>
          </w:tcPr>
          <w:p w:rsidR="006D2D1A" w:rsidRDefault="006D2D1A" w:rsidP="009901AD">
            <w:pPr>
              <w:pStyle w:val="AppendixTableText"/>
            </w:pPr>
            <w:r>
              <w:t>Pukehamoamoa School</w:t>
            </w:r>
          </w:p>
        </w:tc>
        <w:tc>
          <w:tcPr>
            <w:tcW w:w="907" w:type="dxa"/>
            <w:shd w:val="clear" w:color="auto" w:fill="auto"/>
          </w:tcPr>
          <w:p w:rsidR="006D2D1A" w:rsidRDefault="006D2D1A" w:rsidP="009901AD">
            <w:pPr>
              <w:pStyle w:val="AppendixTableText"/>
            </w:pPr>
            <w:r>
              <w:t>18/06/2007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2652</w:t>
            </w:r>
          </w:p>
        </w:tc>
        <w:tc>
          <w:tcPr>
            <w:tcW w:w="2333" w:type="dxa"/>
            <w:shd w:val="clear" w:color="auto" w:fill="auto"/>
          </w:tcPr>
          <w:p w:rsidR="006D2D1A" w:rsidRDefault="006D2D1A" w:rsidP="009901AD">
            <w:pPr>
              <w:pStyle w:val="AppendixTableText"/>
            </w:pPr>
            <w:r>
              <w:t>Pukehou School</w:t>
            </w:r>
          </w:p>
        </w:tc>
        <w:tc>
          <w:tcPr>
            <w:tcW w:w="907" w:type="dxa"/>
            <w:shd w:val="clear" w:color="auto" w:fill="auto"/>
          </w:tcPr>
          <w:p w:rsidR="006D2D1A" w:rsidRDefault="006D2D1A" w:rsidP="009901AD">
            <w:pPr>
              <w:pStyle w:val="AppendixTableText"/>
            </w:pPr>
            <w:r>
              <w:t>16/05/2007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1449</w:t>
            </w:r>
          </w:p>
        </w:tc>
        <w:tc>
          <w:tcPr>
            <w:tcW w:w="2333" w:type="dxa"/>
            <w:shd w:val="clear" w:color="auto" w:fill="auto"/>
          </w:tcPr>
          <w:p w:rsidR="006D2D1A" w:rsidRDefault="006D2D1A" w:rsidP="009901AD">
            <w:pPr>
              <w:pStyle w:val="AppendixTableText"/>
            </w:pPr>
            <w:r>
              <w:t>Pukekawa School</w:t>
            </w:r>
          </w:p>
        </w:tc>
        <w:tc>
          <w:tcPr>
            <w:tcW w:w="907" w:type="dxa"/>
            <w:shd w:val="clear" w:color="auto" w:fill="auto"/>
          </w:tcPr>
          <w:p w:rsidR="006D2D1A" w:rsidRDefault="006D2D1A" w:rsidP="009901AD">
            <w:pPr>
              <w:pStyle w:val="AppendixTableText"/>
            </w:pPr>
            <w:r>
              <w:t>14/05/2008</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1450</w:t>
            </w:r>
          </w:p>
        </w:tc>
        <w:tc>
          <w:tcPr>
            <w:tcW w:w="2333" w:type="dxa"/>
            <w:shd w:val="clear" w:color="auto" w:fill="auto"/>
          </w:tcPr>
          <w:p w:rsidR="006D2D1A" w:rsidRDefault="006D2D1A" w:rsidP="009901AD">
            <w:pPr>
              <w:pStyle w:val="AppendixTableText"/>
            </w:pPr>
            <w:r>
              <w:t>Pukekohe East School</w:t>
            </w:r>
          </w:p>
        </w:tc>
        <w:tc>
          <w:tcPr>
            <w:tcW w:w="907" w:type="dxa"/>
            <w:shd w:val="clear" w:color="auto" w:fill="auto"/>
          </w:tcPr>
          <w:p w:rsidR="006D2D1A" w:rsidRDefault="006D2D1A" w:rsidP="009901AD">
            <w:pPr>
              <w:pStyle w:val="AppendixTableText"/>
            </w:pPr>
            <w:r>
              <w:t>24/08/2004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103</w:t>
            </w:r>
          </w:p>
        </w:tc>
        <w:tc>
          <w:tcPr>
            <w:tcW w:w="2333" w:type="dxa"/>
            <w:shd w:val="clear" w:color="auto" w:fill="auto"/>
          </w:tcPr>
          <w:p w:rsidR="006D2D1A" w:rsidRDefault="006D2D1A" w:rsidP="009901AD">
            <w:pPr>
              <w:pStyle w:val="AppendixTableText"/>
            </w:pPr>
            <w:r>
              <w:t>Pukekohe High School</w:t>
            </w:r>
          </w:p>
        </w:tc>
        <w:tc>
          <w:tcPr>
            <w:tcW w:w="907" w:type="dxa"/>
            <w:shd w:val="clear" w:color="auto" w:fill="auto"/>
          </w:tcPr>
          <w:p w:rsidR="006D2D1A" w:rsidRDefault="006D2D1A" w:rsidP="009901AD">
            <w:pPr>
              <w:pStyle w:val="AppendixTableText"/>
            </w:pPr>
            <w:r>
              <w:t>16/07/2002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1451</w:t>
            </w:r>
          </w:p>
        </w:tc>
        <w:tc>
          <w:tcPr>
            <w:tcW w:w="2333" w:type="dxa"/>
            <w:shd w:val="clear" w:color="auto" w:fill="auto"/>
          </w:tcPr>
          <w:p w:rsidR="006D2D1A" w:rsidRDefault="006D2D1A" w:rsidP="009901AD">
            <w:pPr>
              <w:pStyle w:val="AppendixTableText"/>
            </w:pPr>
            <w:r>
              <w:t>Pukekohe Hill School</w:t>
            </w:r>
          </w:p>
        </w:tc>
        <w:tc>
          <w:tcPr>
            <w:tcW w:w="907" w:type="dxa"/>
            <w:shd w:val="clear" w:color="auto" w:fill="auto"/>
          </w:tcPr>
          <w:p w:rsidR="006D2D1A" w:rsidRDefault="006D2D1A" w:rsidP="009901AD">
            <w:pPr>
              <w:pStyle w:val="AppendixTableText"/>
            </w:pPr>
            <w:r>
              <w:t>29/10/1999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1452</w:t>
            </w:r>
          </w:p>
        </w:tc>
        <w:tc>
          <w:tcPr>
            <w:tcW w:w="2333" w:type="dxa"/>
            <w:shd w:val="clear" w:color="auto" w:fill="auto"/>
          </w:tcPr>
          <w:p w:rsidR="006D2D1A" w:rsidRDefault="006D2D1A" w:rsidP="009901AD">
            <w:pPr>
              <w:pStyle w:val="AppendixTableText"/>
            </w:pPr>
            <w:r>
              <w:t>Pukekohe Intermediate</w:t>
            </w:r>
          </w:p>
        </w:tc>
        <w:tc>
          <w:tcPr>
            <w:tcW w:w="907" w:type="dxa"/>
            <w:shd w:val="clear" w:color="auto" w:fill="auto"/>
          </w:tcPr>
          <w:p w:rsidR="006D2D1A" w:rsidRDefault="006D2D1A" w:rsidP="009901AD">
            <w:pPr>
              <w:pStyle w:val="AppendixTableText"/>
            </w:pPr>
            <w:r>
              <w:t>1/08/2006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1454</w:t>
            </w:r>
          </w:p>
        </w:tc>
        <w:tc>
          <w:tcPr>
            <w:tcW w:w="2333" w:type="dxa"/>
            <w:shd w:val="clear" w:color="auto" w:fill="auto"/>
          </w:tcPr>
          <w:p w:rsidR="006D2D1A" w:rsidRDefault="006D2D1A" w:rsidP="009901AD">
            <w:pPr>
              <w:pStyle w:val="AppendixTableText"/>
            </w:pPr>
            <w:r>
              <w:t>Pukeoware School</w:t>
            </w:r>
          </w:p>
        </w:tc>
        <w:tc>
          <w:tcPr>
            <w:tcW w:w="907" w:type="dxa"/>
            <w:shd w:val="clear" w:color="auto" w:fill="auto"/>
          </w:tcPr>
          <w:p w:rsidR="006D2D1A" w:rsidRDefault="006D2D1A" w:rsidP="009901AD">
            <w:pPr>
              <w:pStyle w:val="AppendixTableText"/>
            </w:pPr>
            <w:r>
              <w:t>1/12/1999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1907</w:t>
            </w:r>
          </w:p>
        </w:tc>
        <w:tc>
          <w:tcPr>
            <w:tcW w:w="2333" w:type="dxa"/>
            <w:shd w:val="clear" w:color="auto" w:fill="auto"/>
          </w:tcPr>
          <w:p w:rsidR="006D2D1A" w:rsidRDefault="006D2D1A" w:rsidP="009901AD">
            <w:pPr>
              <w:pStyle w:val="AppendixTableText"/>
            </w:pPr>
            <w:r>
              <w:t>Puketaha School</w:t>
            </w:r>
          </w:p>
        </w:tc>
        <w:tc>
          <w:tcPr>
            <w:tcW w:w="907" w:type="dxa"/>
            <w:shd w:val="clear" w:color="auto" w:fill="auto"/>
          </w:tcPr>
          <w:p w:rsidR="006D2D1A" w:rsidRDefault="006D2D1A" w:rsidP="009901AD">
            <w:pPr>
              <w:pStyle w:val="AppendixTableText"/>
            </w:pPr>
            <w:r>
              <w:t>4/07/2003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2654</w:t>
            </w:r>
          </w:p>
        </w:tc>
        <w:tc>
          <w:tcPr>
            <w:tcW w:w="2333" w:type="dxa"/>
            <w:shd w:val="clear" w:color="auto" w:fill="auto"/>
          </w:tcPr>
          <w:p w:rsidR="006D2D1A" w:rsidRDefault="006D2D1A" w:rsidP="009901AD">
            <w:pPr>
              <w:pStyle w:val="AppendixTableText"/>
            </w:pPr>
            <w:r>
              <w:t>Puketapu School (Hawkes Bay)</w:t>
            </w:r>
          </w:p>
        </w:tc>
        <w:tc>
          <w:tcPr>
            <w:tcW w:w="907" w:type="dxa"/>
            <w:shd w:val="clear" w:color="auto" w:fill="auto"/>
          </w:tcPr>
          <w:p w:rsidR="006D2D1A" w:rsidRDefault="006D2D1A" w:rsidP="009901AD">
            <w:pPr>
              <w:pStyle w:val="AppendixTableText"/>
            </w:pPr>
            <w:r>
              <w:t>11/04/2003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1455</w:t>
            </w:r>
          </w:p>
        </w:tc>
        <w:tc>
          <w:tcPr>
            <w:tcW w:w="2333" w:type="dxa"/>
            <w:shd w:val="clear" w:color="auto" w:fill="auto"/>
          </w:tcPr>
          <w:p w:rsidR="006D2D1A" w:rsidRDefault="006D2D1A" w:rsidP="009901AD">
            <w:pPr>
              <w:pStyle w:val="AppendixTableText"/>
            </w:pPr>
            <w:r>
              <w:t>Puni School</w:t>
            </w:r>
          </w:p>
        </w:tc>
        <w:tc>
          <w:tcPr>
            <w:tcW w:w="907" w:type="dxa"/>
            <w:shd w:val="clear" w:color="auto" w:fill="auto"/>
          </w:tcPr>
          <w:p w:rsidR="006D2D1A" w:rsidRDefault="006D2D1A" w:rsidP="009901AD">
            <w:pPr>
              <w:pStyle w:val="AppendixTableText"/>
            </w:pPr>
            <w:r>
              <w:t>6/04/2000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1916</w:t>
            </w:r>
          </w:p>
        </w:tc>
        <w:tc>
          <w:tcPr>
            <w:tcW w:w="2333" w:type="dxa"/>
            <w:shd w:val="clear" w:color="auto" w:fill="auto"/>
          </w:tcPr>
          <w:p w:rsidR="006D2D1A" w:rsidRDefault="006D2D1A" w:rsidP="009901AD">
            <w:pPr>
              <w:pStyle w:val="AppendixTableText"/>
            </w:pPr>
            <w:r>
              <w:t>Pyes Pa Road School</w:t>
            </w:r>
          </w:p>
        </w:tc>
        <w:tc>
          <w:tcPr>
            <w:tcW w:w="907" w:type="dxa"/>
            <w:shd w:val="clear" w:color="auto" w:fill="auto"/>
          </w:tcPr>
          <w:p w:rsidR="006D2D1A" w:rsidRDefault="006D2D1A" w:rsidP="009901AD">
            <w:pPr>
              <w:pStyle w:val="AppendixTableText"/>
            </w:pPr>
            <w:r>
              <w:t>20/11/2011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3479</w:t>
            </w:r>
          </w:p>
        </w:tc>
        <w:tc>
          <w:tcPr>
            <w:tcW w:w="2333" w:type="dxa"/>
            <w:shd w:val="clear" w:color="auto" w:fill="auto"/>
          </w:tcPr>
          <w:p w:rsidR="006D2D1A" w:rsidRDefault="006D2D1A" w:rsidP="009901AD">
            <w:pPr>
              <w:pStyle w:val="AppendixTableText"/>
            </w:pPr>
            <w:r>
              <w:t>Queenspark School</w:t>
            </w:r>
          </w:p>
        </w:tc>
        <w:tc>
          <w:tcPr>
            <w:tcW w:w="907" w:type="dxa"/>
            <w:shd w:val="clear" w:color="auto" w:fill="auto"/>
          </w:tcPr>
          <w:p w:rsidR="006D2D1A" w:rsidRDefault="006D2D1A" w:rsidP="009901AD">
            <w:pPr>
              <w:pStyle w:val="AppendixTableText"/>
            </w:pPr>
            <w:r>
              <w:t>21/02/2003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1456</w:t>
            </w:r>
          </w:p>
        </w:tc>
        <w:tc>
          <w:tcPr>
            <w:tcW w:w="2333" w:type="dxa"/>
            <w:shd w:val="clear" w:color="auto" w:fill="auto"/>
          </w:tcPr>
          <w:p w:rsidR="006D2D1A" w:rsidRDefault="006D2D1A" w:rsidP="009901AD">
            <w:pPr>
              <w:pStyle w:val="AppendixTableText"/>
            </w:pPr>
            <w:r>
              <w:t>Ramarama School</w:t>
            </w:r>
          </w:p>
        </w:tc>
        <w:tc>
          <w:tcPr>
            <w:tcW w:w="907" w:type="dxa"/>
            <w:shd w:val="clear" w:color="auto" w:fill="auto"/>
          </w:tcPr>
          <w:p w:rsidR="006D2D1A" w:rsidRDefault="006D2D1A" w:rsidP="009901AD">
            <w:pPr>
              <w:pStyle w:val="AppendixTableText"/>
            </w:pPr>
            <w:r>
              <w:t>27/11/2009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6944</w:t>
            </w:r>
          </w:p>
        </w:tc>
        <w:tc>
          <w:tcPr>
            <w:tcW w:w="2333" w:type="dxa"/>
            <w:shd w:val="clear" w:color="auto" w:fill="auto"/>
          </w:tcPr>
          <w:p w:rsidR="006D2D1A" w:rsidRDefault="006D2D1A" w:rsidP="009901AD">
            <w:pPr>
              <w:pStyle w:val="AppendixTableText"/>
            </w:pPr>
            <w:r>
              <w:t>Randwick Park School</w:t>
            </w:r>
          </w:p>
        </w:tc>
        <w:tc>
          <w:tcPr>
            <w:tcW w:w="907" w:type="dxa"/>
            <w:shd w:val="clear" w:color="auto" w:fill="auto"/>
          </w:tcPr>
          <w:p w:rsidR="006D2D1A" w:rsidRDefault="006D2D1A" w:rsidP="009901AD">
            <w:pPr>
              <w:pStyle w:val="AppendixTableText"/>
            </w:pPr>
            <w:r>
              <w:t>1/11/1999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1457</w:t>
            </w:r>
          </w:p>
        </w:tc>
        <w:tc>
          <w:tcPr>
            <w:tcW w:w="2333" w:type="dxa"/>
            <w:shd w:val="clear" w:color="auto" w:fill="auto"/>
          </w:tcPr>
          <w:p w:rsidR="006D2D1A" w:rsidRDefault="006D2D1A" w:rsidP="009901AD">
            <w:pPr>
              <w:pStyle w:val="AppendixTableText"/>
            </w:pPr>
            <w:r>
              <w:t>Rangeview Intermediate</w:t>
            </w:r>
          </w:p>
        </w:tc>
        <w:tc>
          <w:tcPr>
            <w:tcW w:w="907" w:type="dxa"/>
            <w:shd w:val="clear" w:color="auto" w:fill="auto"/>
          </w:tcPr>
          <w:p w:rsidR="006D2D1A" w:rsidRDefault="006D2D1A" w:rsidP="009901AD">
            <w:pPr>
              <w:pStyle w:val="AppendixTableText"/>
            </w:pPr>
            <w:r>
              <w:t>27/05/2004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3481</w:t>
            </w:r>
          </w:p>
        </w:tc>
        <w:tc>
          <w:tcPr>
            <w:tcW w:w="2333" w:type="dxa"/>
            <w:shd w:val="clear" w:color="auto" w:fill="auto"/>
          </w:tcPr>
          <w:p w:rsidR="006D2D1A" w:rsidRDefault="006D2D1A" w:rsidP="009901AD">
            <w:pPr>
              <w:pStyle w:val="AppendixTableText"/>
            </w:pPr>
            <w:r>
              <w:t>Rangiora Borough School</w:t>
            </w:r>
          </w:p>
        </w:tc>
        <w:tc>
          <w:tcPr>
            <w:tcW w:w="907" w:type="dxa"/>
            <w:shd w:val="clear" w:color="auto" w:fill="auto"/>
          </w:tcPr>
          <w:p w:rsidR="006D2D1A" w:rsidRDefault="006D2D1A" w:rsidP="009901AD">
            <w:pPr>
              <w:pStyle w:val="AppendixTableText"/>
            </w:pPr>
            <w:r>
              <w:t>28/11/2008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312</w:t>
            </w:r>
          </w:p>
        </w:tc>
        <w:tc>
          <w:tcPr>
            <w:tcW w:w="2333" w:type="dxa"/>
            <w:shd w:val="clear" w:color="auto" w:fill="auto"/>
          </w:tcPr>
          <w:p w:rsidR="006D2D1A" w:rsidRDefault="006D2D1A" w:rsidP="009901AD">
            <w:pPr>
              <w:pStyle w:val="AppendixTableText"/>
            </w:pPr>
            <w:r>
              <w:t>Rangiora High School</w:t>
            </w:r>
          </w:p>
        </w:tc>
        <w:tc>
          <w:tcPr>
            <w:tcW w:w="907" w:type="dxa"/>
            <w:shd w:val="clear" w:color="auto" w:fill="auto"/>
          </w:tcPr>
          <w:p w:rsidR="006D2D1A" w:rsidRDefault="006D2D1A" w:rsidP="009901AD">
            <w:pPr>
              <w:pStyle w:val="AppendixTableText"/>
            </w:pPr>
            <w:r>
              <w:t>8/03/2006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418</w:t>
            </w:r>
          </w:p>
        </w:tc>
        <w:tc>
          <w:tcPr>
            <w:tcW w:w="2333" w:type="dxa"/>
            <w:shd w:val="clear" w:color="auto" w:fill="auto"/>
          </w:tcPr>
          <w:p w:rsidR="006D2D1A" w:rsidRDefault="006D2D1A" w:rsidP="009901AD">
            <w:pPr>
              <w:pStyle w:val="AppendixTableText"/>
            </w:pPr>
            <w:r>
              <w:t>Rangiora New Life School</w:t>
            </w:r>
          </w:p>
        </w:tc>
        <w:tc>
          <w:tcPr>
            <w:tcW w:w="907" w:type="dxa"/>
            <w:shd w:val="clear" w:color="auto" w:fill="auto"/>
          </w:tcPr>
          <w:p w:rsidR="006D2D1A" w:rsidRDefault="006D2D1A" w:rsidP="009901AD">
            <w:pPr>
              <w:pStyle w:val="AppendixTableText"/>
            </w:pPr>
            <w:r>
              <w:t>28/11/2008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28</w:t>
            </w:r>
          </w:p>
        </w:tc>
        <w:tc>
          <w:tcPr>
            <w:tcW w:w="2333" w:type="dxa"/>
            <w:shd w:val="clear" w:color="auto" w:fill="auto"/>
          </w:tcPr>
          <w:p w:rsidR="006D2D1A" w:rsidRDefault="006D2D1A" w:rsidP="009901AD">
            <w:pPr>
              <w:pStyle w:val="AppendixTableText"/>
            </w:pPr>
            <w:r>
              <w:t>Rangitoto College</w:t>
            </w:r>
          </w:p>
        </w:tc>
        <w:tc>
          <w:tcPr>
            <w:tcW w:w="907" w:type="dxa"/>
            <w:shd w:val="clear" w:color="auto" w:fill="auto"/>
          </w:tcPr>
          <w:p w:rsidR="006D2D1A" w:rsidRDefault="006D2D1A" w:rsidP="009901AD">
            <w:pPr>
              <w:pStyle w:val="AppendixTableText"/>
            </w:pPr>
            <w:r>
              <w:t>1/12/1999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2972</w:t>
            </w:r>
          </w:p>
        </w:tc>
        <w:tc>
          <w:tcPr>
            <w:tcW w:w="2333" w:type="dxa"/>
            <w:shd w:val="clear" w:color="auto" w:fill="auto"/>
          </w:tcPr>
          <w:p w:rsidR="006D2D1A" w:rsidRDefault="006D2D1A" w:rsidP="009901AD">
            <w:pPr>
              <w:pStyle w:val="AppendixTableText"/>
            </w:pPr>
            <w:r>
              <w:t>Raroa Normal Intermediate</w:t>
            </w:r>
          </w:p>
        </w:tc>
        <w:tc>
          <w:tcPr>
            <w:tcW w:w="907" w:type="dxa"/>
            <w:shd w:val="clear" w:color="auto" w:fill="auto"/>
          </w:tcPr>
          <w:p w:rsidR="006D2D1A" w:rsidRDefault="006D2D1A" w:rsidP="009901AD">
            <w:pPr>
              <w:pStyle w:val="AppendixTableText"/>
            </w:pPr>
            <w:r>
              <w:t>30/05/2005</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2974</w:t>
            </w:r>
          </w:p>
        </w:tc>
        <w:tc>
          <w:tcPr>
            <w:tcW w:w="2333" w:type="dxa"/>
            <w:shd w:val="clear" w:color="auto" w:fill="auto"/>
          </w:tcPr>
          <w:p w:rsidR="006D2D1A" w:rsidRDefault="006D2D1A" w:rsidP="009901AD">
            <w:pPr>
              <w:pStyle w:val="AppendixTableText"/>
            </w:pPr>
            <w:r>
              <w:t>Raumati Beach School</w:t>
            </w:r>
          </w:p>
        </w:tc>
        <w:tc>
          <w:tcPr>
            <w:tcW w:w="907" w:type="dxa"/>
            <w:shd w:val="clear" w:color="auto" w:fill="auto"/>
          </w:tcPr>
          <w:p w:rsidR="006D2D1A" w:rsidRDefault="006D2D1A" w:rsidP="009901AD">
            <w:pPr>
              <w:pStyle w:val="AppendixTableText"/>
            </w:pPr>
            <w:r>
              <w:t>14/05/2007</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2975</w:t>
            </w:r>
          </w:p>
        </w:tc>
        <w:tc>
          <w:tcPr>
            <w:tcW w:w="2333" w:type="dxa"/>
            <w:shd w:val="clear" w:color="auto" w:fill="auto"/>
          </w:tcPr>
          <w:p w:rsidR="006D2D1A" w:rsidRDefault="006D2D1A" w:rsidP="009901AD">
            <w:pPr>
              <w:pStyle w:val="AppendixTableText"/>
            </w:pPr>
            <w:r>
              <w:t>Raumati South School</w:t>
            </w:r>
          </w:p>
        </w:tc>
        <w:tc>
          <w:tcPr>
            <w:tcW w:w="907" w:type="dxa"/>
            <w:shd w:val="clear" w:color="auto" w:fill="auto"/>
          </w:tcPr>
          <w:p w:rsidR="006D2D1A" w:rsidRDefault="006D2D1A" w:rsidP="009901AD">
            <w:pPr>
              <w:pStyle w:val="AppendixTableText"/>
            </w:pPr>
            <w:r>
              <w:t>30/11/2010</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1194</w:t>
            </w:r>
          </w:p>
        </w:tc>
        <w:tc>
          <w:tcPr>
            <w:tcW w:w="2333" w:type="dxa"/>
            <w:shd w:val="clear" w:color="auto" w:fill="auto"/>
          </w:tcPr>
          <w:p w:rsidR="006D2D1A" w:rsidRDefault="006D2D1A" w:rsidP="009901AD">
            <w:pPr>
              <w:pStyle w:val="AppendixTableText"/>
            </w:pPr>
            <w:r>
              <w:t>Red Beach School</w:t>
            </w:r>
          </w:p>
        </w:tc>
        <w:tc>
          <w:tcPr>
            <w:tcW w:w="907" w:type="dxa"/>
            <w:shd w:val="clear" w:color="auto" w:fill="auto"/>
          </w:tcPr>
          <w:p w:rsidR="006D2D1A" w:rsidRDefault="006D2D1A" w:rsidP="009901AD">
            <w:pPr>
              <w:pStyle w:val="AppendixTableText"/>
            </w:pPr>
            <w:r>
              <w:t>19/10/1999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3483</w:t>
            </w:r>
          </w:p>
        </w:tc>
        <w:tc>
          <w:tcPr>
            <w:tcW w:w="2333" w:type="dxa"/>
            <w:shd w:val="clear" w:color="auto" w:fill="auto"/>
          </w:tcPr>
          <w:p w:rsidR="006D2D1A" w:rsidRDefault="006D2D1A" w:rsidP="009901AD">
            <w:pPr>
              <w:pStyle w:val="AppendixTableText"/>
            </w:pPr>
            <w:r>
              <w:t>Redcliffs School</w:t>
            </w:r>
          </w:p>
        </w:tc>
        <w:tc>
          <w:tcPr>
            <w:tcW w:w="907" w:type="dxa"/>
            <w:shd w:val="clear" w:color="auto" w:fill="auto"/>
          </w:tcPr>
          <w:p w:rsidR="006D2D1A" w:rsidRDefault="006D2D1A" w:rsidP="009901AD">
            <w:pPr>
              <w:pStyle w:val="AppendixTableText"/>
            </w:pPr>
            <w:r>
              <w:t>8/11/1999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1459</w:t>
            </w:r>
          </w:p>
        </w:tc>
        <w:tc>
          <w:tcPr>
            <w:tcW w:w="2333" w:type="dxa"/>
            <w:shd w:val="clear" w:color="auto" w:fill="auto"/>
          </w:tcPr>
          <w:p w:rsidR="006D2D1A" w:rsidRDefault="006D2D1A" w:rsidP="009901AD">
            <w:pPr>
              <w:pStyle w:val="AppendixTableText"/>
            </w:pPr>
            <w:r>
              <w:t>Redhill School</w:t>
            </w:r>
          </w:p>
        </w:tc>
        <w:tc>
          <w:tcPr>
            <w:tcW w:w="907" w:type="dxa"/>
            <w:shd w:val="clear" w:color="auto" w:fill="auto"/>
          </w:tcPr>
          <w:p w:rsidR="006D2D1A" w:rsidRDefault="006D2D1A" w:rsidP="009901AD">
            <w:pPr>
              <w:pStyle w:val="AppendixTableText"/>
            </w:pPr>
            <w:r>
              <w:t>28/08/2007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1460</w:t>
            </w:r>
          </w:p>
        </w:tc>
        <w:tc>
          <w:tcPr>
            <w:tcW w:w="2333" w:type="dxa"/>
            <w:shd w:val="clear" w:color="auto" w:fill="auto"/>
          </w:tcPr>
          <w:p w:rsidR="006D2D1A" w:rsidRDefault="006D2D1A" w:rsidP="009901AD">
            <w:pPr>
              <w:pStyle w:val="AppendixTableText"/>
            </w:pPr>
            <w:r>
              <w:t>Redoubt North School</w:t>
            </w:r>
          </w:p>
        </w:tc>
        <w:tc>
          <w:tcPr>
            <w:tcW w:w="907" w:type="dxa"/>
            <w:shd w:val="clear" w:color="auto" w:fill="auto"/>
          </w:tcPr>
          <w:p w:rsidR="006D2D1A" w:rsidRDefault="006D2D1A" w:rsidP="009901AD">
            <w:pPr>
              <w:pStyle w:val="AppendixTableText"/>
            </w:pPr>
            <w:r>
              <w:t>14/05/2008</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3484</w:t>
            </w:r>
          </w:p>
        </w:tc>
        <w:tc>
          <w:tcPr>
            <w:tcW w:w="2333" w:type="dxa"/>
            <w:shd w:val="clear" w:color="auto" w:fill="auto"/>
          </w:tcPr>
          <w:p w:rsidR="006D2D1A" w:rsidRDefault="006D2D1A" w:rsidP="009901AD">
            <w:pPr>
              <w:pStyle w:val="AppendixTableText"/>
            </w:pPr>
            <w:r>
              <w:t>Redwood School (Christchurch)</w:t>
            </w:r>
          </w:p>
        </w:tc>
        <w:tc>
          <w:tcPr>
            <w:tcW w:w="907" w:type="dxa"/>
            <w:shd w:val="clear" w:color="auto" w:fill="auto"/>
          </w:tcPr>
          <w:p w:rsidR="006D2D1A" w:rsidRDefault="006D2D1A" w:rsidP="009901AD">
            <w:pPr>
              <w:pStyle w:val="AppendixTableText"/>
            </w:pPr>
            <w:r>
              <w:t>17/08/2004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2663</w:t>
            </w:r>
          </w:p>
        </w:tc>
        <w:tc>
          <w:tcPr>
            <w:tcW w:w="2333" w:type="dxa"/>
            <w:shd w:val="clear" w:color="auto" w:fill="auto"/>
          </w:tcPr>
          <w:p w:rsidR="006D2D1A" w:rsidRDefault="006D2D1A" w:rsidP="009901AD">
            <w:pPr>
              <w:pStyle w:val="AppendixTableText"/>
            </w:pPr>
            <w:r>
              <w:t>Reignier Catholic School</w:t>
            </w:r>
          </w:p>
        </w:tc>
        <w:tc>
          <w:tcPr>
            <w:tcW w:w="907" w:type="dxa"/>
            <w:shd w:val="clear" w:color="auto" w:fill="auto"/>
          </w:tcPr>
          <w:p w:rsidR="006D2D1A" w:rsidRDefault="006D2D1A" w:rsidP="009901AD">
            <w:pPr>
              <w:pStyle w:val="AppendixTableText"/>
            </w:pPr>
            <w:r>
              <w:t>7/07/2008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6783</w:t>
            </w:r>
          </w:p>
        </w:tc>
        <w:tc>
          <w:tcPr>
            <w:tcW w:w="2333" w:type="dxa"/>
            <w:shd w:val="clear" w:color="auto" w:fill="auto"/>
          </w:tcPr>
          <w:p w:rsidR="006D2D1A" w:rsidRDefault="006D2D1A" w:rsidP="009901AD">
            <w:pPr>
              <w:pStyle w:val="AppendixTableText"/>
            </w:pPr>
            <w:r>
              <w:t>Remarkables Primary School</w:t>
            </w:r>
          </w:p>
        </w:tc>
        <w:tc>
          <w:tcPr>
            <w:tcW w:w="907" w:type="dxa"/>
            <w:shd w:val="clear" w:color="auto" w:fill="auto"/>
          </w:tcPr>
          <w:p w:rsidR="006D2D1A" w:rsidRDefault="006D2D1A" w:rsidP="009901AD">
            <w:pPr>
              <w:pStyle w:val="AppendixTableText"/>
            </w:pPr>
            <w:r>
              <w:t>28/08/2009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1461</w:t>
            </w:r>
          </w:p>
        </w:tc>
        <w:tc>
          <w:tcPr>
            <w:tcW w:w="2333" w:type="dxa"/>
            <w:shd w:val="clear" w:color="auto" w:fill="auto"/>
          </w:tcPr>
          <w:p w:rsidR="006D2D1A" w:rsidRDefault="006D2D1A" w:rsidP="009901AD">
            <w:pPr>
              <w:pStyle w:val="AppendixTableText"/>
            </w:pPr>
            <w:r>
              <w:t>Remuera Intermediate</w:t>
            </w:r>
          </w:p>
        </w:tc>
        <w:tc>
          <w:tcPr>
            <w:tcW w:w="907" w:type="dxa"/>
            <w:shd w:val="clear" w:color="auto" w:fill="auto"/>
          </w:tcPr>
          <w:p w:rsidR="006D2D1A" w:rsidRDefault="006D2D1A" w:rsidP="009901AD">
            <w:pPr>
              <w:pStyle w:val="AppendixTableText"/>
            </w:pPr>
            <w:r>
              <w:t>19/10/1999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1462</w:t>
            </w:r>
          </w:p>
        </w:tc>
        <w:tc>
          <w:tcPr>
            <w:tcW w:w="2333" w:type="dxa"/>
            <w:shd w:val="clear" w:color="auto" w:fill="auto"/>
          </w:tcPr>
          <w:p w:rsidR="006D2D1A" w:rsidRDefault="006D2D1A" w:rsidP="009901AD">
            <w:pPr>
              <w:pStyle w:val="AppendixTableText"/>
            </w:pPr>
            <w:r>
              <w:t>Remuera School</w:t>
            </w:r>
          </w:p>
        </w:tc>
        <w:tc>
          <w:tcPr>
            <w:tcW w:w="907" w:type="dxa"/>
            <w:shd w:val="clear" w:color="auto" w:fill="auto"/>
          </w:tcPr>
          <w:p w:rsidR="006D2D1A" w:rsidRDefault="006D2D1A" w:rsidP="009901AD">
            <w:pPr>
              <w:pStyle w:val="AppendixTableText"/>
            </w:pPr>
            <w:r>
              <w:t>22/12/1999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2978</w:t>
            </w:r>
          </w:p>
        </w:tc>
        <w:tc>
          <w:tcPr>
            <w:tcW w:w="2333" w:type="dxa"/>
            <w:shd w:val="clear" w:color="auto" w:fill="auto"/>
          </w:tcPr>
          <w:p w:rsidR="006D2D1A" w:rsidRDefault="006D2D1A" w:rsidP="009901AD">
            <w:pPr>
              <w:pStyle w:val="AppendixTableText"/>
            </w:pPr>
            <w:r>
              <w:t>Renwick School</w:t>
            </w:r>
          </w:p>
        </w:tc>
        <w:tc>
          <w:tcPr>
            <w:tcW w:w="907" w:type="dxa"/>
            <w:shd w:val="clear" w:color="auto" w:fill="auto"/>
          </w:tcPr>
          <w:p w:rsidR="006D2D1A" w:rsidRDefault="006D2D1A" w:rsidP="009901AD">
            <w:pPr>
              <w:pStyle w:val="AppendixTableText"/>
            </w:pPr>
            <w:r>
              <w:t>18/05/2011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6978</w:t>
            </w:r>
          </w:p>
        </w:tc>
        <w:tc>
          <w:tcPr>
            <w:tcW w:w="2333" w:type="dxa"/>
            <w:shd w:val="clear" w:color="auto" w:fill="auto"/>
          </w:tcPr>
          <w:p w:rsidR="006D2D1A" w:rsidRDefault="006D2D1A" w:rsidP="009901AD">
            <w:pPr>
              <w:pStyle w:val="AppendixTableText"/>
            </w:pPr>
            <w:r>
              <w:t>Reremoana Primary School</w:t>
            </w:r>
          </w:p>
        </w:tc>
        <w:tc>
          <w:tcPr>
            <w:tcW w:w="907" w:type="dxa"/>
            <w:shd w:val="clear" w:color="auto" w:fill="auto"/>
          </w:tcPr>
          <w:p w:rsidR="006D2D1A" w:rsidRDefault="006D2D1A" w:rsidP="009901AD">
            <w:pPr>
              <w:pStyle w:val="AppendixTableText"/>
            </w:pPr>
            <w:r>
              <w:t>12/07/2005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334</w:t>
            </w:r>
          </w:p>
        </w:tc>
        <w:tc>
          <w:tcPr>
            <w:tcW w:w="2333" w:type="dxa"/>
            <w:shd w:val="clear" w:color="auto" w:fill="auto"/>
          </w:tcPr>
          <w:p w:rsidR="006D2D1A" w:rsidRDefault="006D2D1A" w:rsidP="009901AD">
            <w:pPr>
              <w:pStyle w:val="AppendixTableText"/>
            </w:pPr>
            <w:r>
              <w:t>Riccarton High School</w:t>
            </w:r>
          </w:p>
        </w:tc>
        <w:tc>
          <w:tcPr>
            <w:tcW w:w="907" w:type="dxa"/>
            <w:shd w:val="clear" w:color="auto" w:fill="auto"/>
          </w:tcPr>
          <w:p w:rsidR="006D2D1A" w:rsidRDefault="006D2D1A" w:rsidP="009901AD">
            <w:pPr>
              <w:pStyle w:val="AppendixTableText"/>
            </w:pPr>
            <w:r>
              <w:t>16/06/1999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1463</w:t>
            </w:r>
          </w:p>
        </w:tc>
        <w:tc>
          <w:tcPr>
            <w:tcW w:w="2333" w:type="dxa"/>
            <w:shd w:val="clear" w:color="auto" w:fill="auto"/>
          </w:tcPr>
          <w:p w:rsidR="006D2D1A" w:rsidRDefault="006D2D1A" w:rsidP="009901AD">
            <w:pPr>
              <w:pStyle w:val="AppendixTableText"/>
            </w:pPr>
            <w:r>
              <w:t>Richmond Road School</w:t>
            </w:r>
          </w:p>
        </w:tc>
        <w:tc>
          <w:tcPr>
            <w:tcW w:w="907" w:type="dxa"/>
            <w:shd w:val="clear" w:color="auto" w:fill="auto"/>
          </w:tcPr>
          <w:p w:rsidR="006D2D1A" w:rsidRDefault="006D2D1A" w:rsidP="009901AD">
            <w:pPr>
              <w:pStyle w:val="AppendixTableText"/>
            </w:pPr>
            <w:r>
              <w:t>21/12/2004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3216</w:t>
            </w:r>
          </w:p>
        </w:tc>
        <w:tc>
          <w:tcPr>
            <w:tcW w:w="2333" w:type="dxa"/>
            <w:shd w:val="clear" w:color="auto" w:fill="auto"/>
          </w:tcPr>
          <w:p w:rsidR="006D2D1A" w:rsidRDefault="006D2D1A" w:rsidP="009901AD">
            <w:pPr>
              <w:pStyle w:val="AppendixTableText"/>
            </w:pPr>
            <w:r>
              <w:t>Richmond School (Nelson)</w:t>
            </w:r>
          </w:p>
        </w:tc>
        <w:tc>
          <w:tcPr>
            <w:tcW w:w="907" w:type="dxa"/>
            <w:shd w:val="clear" w:color="auto" w:fill="auto"/>
          </w:tcPr>
          <w:p w:rsidR="006D2D1A" w:rsidRDefault="006D2D1A" w:rsidP="009901AD">
            <w:pPr>
              <w:pStyle w:val="AppendixTableText"/>
            </w:pPr>
            <w:r>
              <w:t>14/06/2012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4006</w:t>
            </w:r>
          </w:p>
        </w:tc>
        <w:tc>
          <w:tcPr>
            <w:tcW w:w="2333" w:type="dxa"/>
            <w:shd w:val="clear" w:color="auto" w:fill="auto"/>
          </w:tcPr>
          <w:p w:rsidR="006D2D1A" w:rsidRDefault="006D2D1A" w:rsidP="009901AD">
            <w:pPr>
              <w:pStyle w:val="AppendixTableText"/>
            </w:pPr>
            <w:r>
              <w:t>Rimu School</w:t>
            </w:r>
          </w:p>
        </w:tc>
        <w:tc>
          <w:tcPr>
            <w:tcW w:w="907" w:type="dxa"/>
            <w:shd w:val="clear" w:color="auto" w:fill="auto"/>
          </w:tcPr>
          <w:p w:rsidR="006D2D1A" w:rsidRDefault="006D2D1A" w:rsidP="009901AD">
            <w:pPr>
              <w:pStyle w:val="AppendixTableText"/>
            </w:pPr>
            <w:r>
              <w:t>30/08/1999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2437</w:t>
            </w:r>
          </w:p>
        </w:tc>
        <w:tc>
          <w:tcPr>
            <w:tcW w:w="2333" w:type="dxa"/>
            <w:shd w:val="clear" w:color="auto" w:fill="auto"/>
          </w:tcPr>
          <w:p w:rsidR="006D2D1A" w:rsidRDefault="006D2D1A" w:rsidP="009901AD">
            <w:pPr>
              <w:pStyle w:val="AppendixTableText"/>
            </w:pPr>
            <w:r>
              <w:t>Riverdale School (P North)</w:t>
            </w:r>
          </w:p>
        </w:tc>
        <w:tc>
          <w:tcPr>
            <w:tcW w:w="907" w:type="dxa"/>
            <w:shd w:val="clear" w:color="auto" w:fill="auto"/>
          </w:tcPr>
          <w:p w:rsidR="006D2D1A" w:rsidRDefault="006D2D1A" w:rsidP="009901AD">
            <w:pPr>
              <w:pStyle w:val="AppendixTableText"/>
            </w:pPr>
            <w:r>
              <w:t>21/10/1999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1464</w:t>
            </w:r>
          </w:p>
        </w:tc>
        <w:tc>
          <w:tcPr>
            <w:tcW w:w="2333" w:type="dxa"/>
            <w:shd w:val="clear" w:color="auto" w:fill="auto"/>
          </w:tcPr>
          <w:p w:rsidR="006D2D1A" w:rsidRDefault="006D2D1A" w:rsidP="009901AD">
            <w:pPr>
              <w:pStyle w:val="AppendixTableText"/>
            </w:pPr>
            <w:r>
              <w:t>Riverhead School</w:t>
            </w:r>
          </w:p>
        </w:tc>
        <w:tc>
          <w:tcPr>
            <w:tcW w:w="907" w:type="dxa"/>
            <w:shd w:val="clear" w:color="auto" w:fill="auto"/>
          </w:tcPr>
          <w:p w:rsidR="006D2D1A" w:rsidRDefault="006D2D1A" w:rsidP="009901AD">
            <w:pPr>
              <w:pStyle w:val="AppendixTableText"/>
            </w:pPr>
            <w:r>
              <w:t>5/02/2009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2981</w:t>
            </w:r>
          </w:p>
        </w:tc>
        <w:tc>
          <w:tcPr>
            <w:tcW w:w="2333" w:type="dxa"/>
            <w:shd w:val="clear" w:color="auto" w:fill="auto"/>
          </w:tcPr>
          <w:p w:rsidR="006D2D1A" w:rsidRDefault="006D2D1A" w:rsidP="009901AD">
            <w:pPr>
              <w:pStyle w:val="AppendixTableText"/>
            </w:pPr>
            <w:r>
              <w:t>Riverlands School</w:t>
            </w:r>
          </w:p>
        </w:tc>
        <w:tc>
          <w:tcPr>
            <w:tcW w:w="907" w:type="dxa"/>
            <w:shd w:val="clear" w:color="auto" w:fill="auto"/>
          </w:tcPr>
          <w:p w:rsidR="006D2D1A" w:rsidRDefault="006D2D1A" w:rsidP="009901AD">
            <w:pPr>
              <w:pStyle w:val="AppendixTableText"/>
            </w:pPr>
            <w:r>
              <w:t>22/11/1999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1594</w:t>
            </w:r>
          </w:p>
        </w:tc>
        <w:tc>
          <w:tcPr>
            <w:tcW w:w="2333" w:type="dxa"/>
            <w:shd w:val="clear" w:color="auto" w:fill="auto"/>
          </w:tcPr>
          <w:p w:rsidR="006D2D1A" w:rsidRDefault="006D2D1A" w:rsidP="009901AD">
            <w:pPr>
              <w:pStyle w:val="AppendixTableText"/>
            </w:pPr>
            <w:r>
              <w:t>Riverview School</w:t>
            </w:r>
          </w:p>
        </w:tc>
        <w:tc>
          <w:tcPr>
            <w:tcW w:w="907" w:type="dxa"/>
            <w:shd w:val="clear" w:color="auto" w:fill="auto"/>
          </w:tcPr>
          <w:p w:rsidR="006D2D1A" w:rsidRDefault="006D2D1A" w:rsidP="009901AD">
            <w:pPr>
              <w:pStyle w:val="AppendixTableText"/>
            </w:pPr>
            <w:r>
              <w:t>30/08/2011</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3217</w:t>
            </w:r>
          </w:p>
        </w:tc>
        <w:tc>
          <w:tcPr>
            <w:tcW w:w="2333" w:type="dxa"/>
            <w:shd w:val="clear" w:color="auto" w:fill="auto"/>
          </w:tcPr>
          <w:p w:rsidR="006D2D1A" w:rsidRDefault="006D2D1A" w:rsidP="009901AD">
            <w:pPr>
              <w:pStyle w:val="AppendixTableText"/>
            </w:pPr>
            <w:r>
              <w:t>Riwaka School</w:t>
            </w:r>
          </w:p>
        </w:tc>
        <w:tc>
          <w:tcPr>
            <w:tcW w:w="907" w:type="dxa"/>
            <w:shd w:val="clear" w:color="auto" w:fill="auto"/>
          </w:tcPr>
          <w:p w:rsidR="006D2D1A" w:rsidRDefault="006D2D1A" w:rsidP="009901AD">
            <w:pPr>
              <w:pStyle w:val="AppendixTableText"/>
            </w:pPr>
            <w:r>
              <w:t>25/08/2003</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1467</w:t>
            </w:r>
          </w:p>
        </w:tc>
        <w:tc>
          <w:tcPr>
            <w:tcW w:w="2333" w:type="dxa"/>
            <w:shd w:val="clear" w:color="auto" w:fill="auto"/>
          </w:tcPr>
          <w:p w:rsidR="006D2D1A" w:rsidRDefault="006D2D1A" w:rsidP="009901AD">
            <w:pPr>
              <w:pStyle w:val="AppendixTableText"/>
            </w:pPr>
            <w:r>
              <w:t>Robertson Road School</w:t>
            </w:r>
          </w:p>
        </w:tc>
        <w:tc>
          <w:tcPr>
            <w:tcW w:w="907" w:type="dxa"/>
            <w:shd w:val="clear" w:color="auto" w:fill="auto"/>
          </w:tcPr>
          <w:p w:rsidR="006D2D1A" w:rsidRDefault="006D2D1A" w:rsidP="009901AD">
            <w:pPr>
              <w:pStyle w:val="AppendixTableText"/>
            </w:pPr>
            <w:r>
              <w:t>23/12/2008</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23</w:t>
            </w:r>
          </w:p>
        </w:tc>
        <w:tc>
          <w:tcPr>
            <w:tcW w:w="2333" w:type="dxa"/>
            <w:shd w:val="clear" w:color="auto" w:fill="auto"/>
          </w:tcPr>
          <w:p w:rsidR="006D2D1A" w:rsidRDefault="006D2D1A" w:rsidP="009901AD">
            <w:pPr>
              <w:pStyle w:val="AppendixTableText"/>
            </w:pPr>
            <w:r>
              <w:t>Rodney College</w:t>
            </w:r>
          </w:p>
        </w:tc>
        <w:tc>
          <w:tcPr>
            <w:tcW w:w="907" w:type="dxa"/>
            <w:shd w:val="clear" w:color="auto" w:fill="auto"/>
          </w:tcPr>
          <w:p w:rsidR="006D2D1A" w:rsidRDefault="006D2D1A" w:rsidP="009901AD">
            <w:pPr>
              <w:pStyle w:val="AppendixTableText"/>
            </w:pPr>
            <w:r>
              <w:t>26/07/2008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3488</w:t>
            </w:r>
          </w:p>
        </w:tc>
        <w:tc>
          <w:tcPr>
            <w:tcW w:w="2333" w:type="dxa"/>
            <w:shd w:val="clear" w:color="auto" w:fill="auto"/>
          </w:tcPr>
          <w:p w:rsidR="006D2D1A" w:rsidRDefault="006D2D1A" w:rsidP="009901AD">
            <w:pPr>
              <w:pStyle w:val="AppendixTableText"/>
            </w:pPr>
            <w:r>
              <w:t>Rolleston School</w:t>
            </w:r>
          </w:p>
        </w:tc>
        <w:tc>
          <w:tcPr>
            <w:tcW w:w="907" w:type="dxa"/>
            <w:shd w:val="clear" w:color="auto" w:fill="auto"/>
          </w:tcPr>
          <w:p w:rsidR="006D2D1A" w:rsidRDefault="006D2D1A" w:rsidP="009901AD">
            <w:pPr>
              <w:pStyle w:val="AppendixTableText"/>
            </w:pPr>
            <w:r>
              <w:t>21/05/2003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1470</w:t>
            </w:r>
          </w:p>
        </w:tc>
        <w:tc>
          <w:tcPr>
            <w:tcW w:w="2333" w:type="dxa"/>
            <w:shd w:val="clear" w:color="auto" w:fill="auto"/>
          </w:tcPr>
          <w:p w:rsidR="006D2D1A" w:rsidRDefault="006D2D1A" w:rsidP="009901AD">
            <w:pPr>
              <w:pStyle w:val="AppendixTableText"/>
            </w:pPr>
            <w:r>
              <w:t>Roscommon School</w:t>
            </w:r>
          </w:p>
        </w:tc>
        <w:tc>
          <w:tcPr>
            <w:tcW w:w="907" w:type="dxa"/>
            <w:shd w:val="clear" w:color="auto" w:fill="auto"/>
          </w:tcPr>
          <w:p w:rsidR="006D2D1A" w:rsidRDefault="006D2D1A" w:rsidP="009901AD">
            <w:pPr>
              <w:pStyle w:val="AppendixTableText"/>
            </w:pPr>
            <w:r>
              <w:t>17/12/2003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3812</w:t>
            </w:r>
          </w:p>
        </w:tc>
        <w:tc>
          <w:tcPr>
            <w:tcW w:w="2333" w:type="dxa"/>
            <w:shd w:val="clear" w:color="auto" w:fill="auto"/>
          </w:tcPr>
          <w:p w:rsidR="006D2D1A" w:rsidRDefault="006D2D1A" w:rsidP="009901AD">
            <w:pPr>
              <w:pStyle w:val="AppendixTableText"/>
            </w:pPr>
            <w:r>
              <w:t>Rosebank School (Balclutha)</w:t>
            </w:r>
          </w:p>
        </w:tc>
        <w:tc>
          <w:tcPr>
            <w:tcW w:w="907" w:type="dxa"/>
            <w:shd w:val="clear" w:color="auto" w:fill="auto"/>
          </w:tcPr>
          <w:p w:rsidR="006D2D1A" w:rsidRDefault="006D2D1A" w:rsidP="009901AD">
            <w:pPr>
              <w:pStyle w:val="AppendixTableText"/>
            </w:pPr>
            <w:r>
              <w:t>1/10/2001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102</w:t>
            </w:r>
          </w:p>
        </w:tc>
        <w:tc>
          <w:tcPr>
            <w:tcW w:w="2333" w:type="dxa"/>
            <w:shd w:val="clear" w:color="auto" w:fill="auto"/>
          </w:tcPr>
          <w:p w:rsidR="006D2D1A" w:rsidRDefault="006D2D1A" w:rsidP="009901AD">
            <w:pPr>
              <w:pStyle w:val="AppendixTableText"/>
            </w:pPr>
            <w:r>
              <w:t>Rosehill College</w:t>
            </w:r>
          </w:p>
        </w:tc>
        <w:tc>
          <w:tcPr>
            <w:tcW w:w="907" w:type="dxa"/>
            <w:shd w:val="clear" w:color="auto" w:fill="auto"/>
          </w:tcPr>
          <w:p w:rsidR="006D2D1A" w:rsidRDefault="006D2D1A" w:rsidP="009901AD">
            <w:pPr>
              <w:pStyle w:val="AppendixTableText"/>
            </w:pPr>
            <w:r>
              <w:t>6/09/1999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2440</w:t>
            </w:r>
          </w:p>
        </w:tc>
        <w:tc>
          <w:tcPr>
            <w:tcW w:w="2333" w:type="dxa"/>
            <w:shd w:val="clear" w:color="auto" w:fill="auto"/>
          </w:tcPr>
          <w:p w:rsidR="006D2D1A" w:rsidRDefault="006D2D1A" w:rsidP="009901AD">
            <w:pPr>
              <w:pStyle w:val="AppendixTableText"/>
            </w:pPr>
            <w:r>
              <w:t>Ross Intermediate</w:t>
            </w:r>
          </w:p>
        </w:tc>
        <w:tc>
          <w:tcPr>
            <w:tcW w:w="907" w:type="dxa"/>
            <w:shd w:val="clear" w:color="auto" w:fill="auto"/>
          </w:tcPr>
          <w:p w:rsidR="006D2D1A" w:rsidRDefault="006D2D1A" w:rsidP="009901AD">
            <w:pPr>
              <w:pStyle w:val="AppendixTableText"/>
            </w:pPr>
            <w:r>
              <w:t>3/06/2009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1927</w:t>
            </w:r>
          </w:p>
        </w:tc>
        <w:tc>
          <w:tcPr>
            <w:tcW w:w="2333" w:type="dxa"/>
            <w:shd w:val="clear" w:color="auto" w:fill="auto"/>
          </w:tcPr>
          <w:p w:rsidR="006D2D1A" w:rsidRDefault="006D2D1A" w:rsidP="009901AD">
            <w:pPr>
              <w:pStyle w:val="AppendixTableText"/>
            </w:pPr>
            <w:r>
              <w:t>Roto-O-Rangi School</w:t>
            </w:r>
          </w:p>
        </w:tc>
        <w:tc>
          <w:tcPr>
            <w:tcW w:w="907" w:type="dxa"/>
            <w:shd w:val="clear" w:color="auto" w:fill="auto"/>
          </w:tcPr>
          <w:p w:rsidR="006D2D1A" w:rsidRDefault="006D2D1A" w:rsidP="009901AD">
            <w:pPr>
              <w:pStyle w:val="AppendixTableText"/>
            </w:pPr>
            <w:r>
              <w:t>10/08/2007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1930</w:t>
            </w:r>
          </w:p>
        </w:tc>
        <w:tc>
          <w:tcPr>
            <w:tcW w:w="2333" w:type="dxa"/>
            <w:shd w:val="clear" w:color="auto" w:fill="auto"/>
          </w:tcPr>
          <w:p w:rsidR="006D2D1A" w:rsidRDefault="006D2D1A" w:rsidP="009901AD">
            <w:pPr>
              <w:pStyle w:val="AppendixTableText"/>
            </w:pPr>
            <w:r>
              <w:t>Rotokauri School</w:t>
            </w:r>
          </w:p>
        </w:tc>
        <w:tc>
          <w:tcPr>
            <w:tcW w:w="907" w:type="dxa"/>
            <w:shd w:val="clear" w:color="auto" w:fill="auto"/>
          </w:tcPr>
          <w:p w:rsidR="006D2D1A" w:rsidRDefault="006D2D1A" w:rsidP="009901AD">
            <w:pPr>
              <w:pStyle w:val="AppendixTableText"/>
            </w:pPr>
            <w:r>
              <w:t>20/12/1999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1933</w:t>
            </w:r>
          </w:p>
        </w:tc>
        <w:tc>
          <w:tcPr>
            <w:tcW w:w="2333" w:type="dxa"/>
            <w:shd w:val="clear" w:color="auto" w:fill="auto"/>
          </w:tcPr>
          <w:p w:rsidR="006D2D1A" w:rsidRDefault="006D2D1A" w:rsidP="009901AD">
            <w:pPr>
              <w:pStyle w:val="AppendixTableText"/>
            </w:pPr>
            <w:r>
              <w:t>Rotorua Intermediate</w:t>
            </w:r>
          </w:p>
        </w:tc>
        <w:tc>
          <w:tcPr>
            <w:tcW w:w="907" w:type="dxa"/>
            <w:shd w:val="clear" w:color="auto" w:fill="auto"/>
          </w:tcPr>
          <w:p w:rsidR="006D2D1A" w:rsidRDefault="006D2D1A" w:rsidP="009901AD">
            <w:pPr>
              <w:pStyle w:val="AppendixTableText"/>
            </w:pPr>
            <w:r>
              <w:t>23/10/2002</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6976</w:t>
            </w:r>
          </w:p>
        </w:tc>
        <w:tc>
          <w:tcPr>
            <w:tcW w:w="2333" w:type="dxa"/>
            <w:shd w:val="clear" w:color="auto" w:fill="auto"/>
          </w:tcPr>
          <w:p w:rsidR="006D2D1A" w:rsidRDefault="006D2D1A" w:rsidP="009901AD">
            <w:pPr>
              <w:pStyle w:val="AppendixTableText"/>
            </w:pPr>
            <w:r>
              <w:t>Rototuna Primary School</w:t>
            </w:r>
          </w:p>
        </w:tc>
        <w:tc>
          <w:tcPr>
            <w:tcW w:w="907" w:type="dxa"/>
            <w:shd w:val="clear" w:color="auto" w:fill="auto"/>
          </w:tcPr>
          <w:p w:rsidR="006D2D1A" w:rsidRDefault="006D2D1A" w:rsidP="009901AD">
            <w:pPr>
              <w:pStyle w:val="AppendixTableText"/>
            </w:pPr>
            <w:r>
              <w:t>10/09/2002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1351</w:t>
            </w:r>
          </w:p>
        </w:tc>
        <w:tc>
          <w:tcPr>
            <w:tcW w:w="2333" w:type="dxa"/>
            <w:shd w:val="clear" w:color="auto" w:fill="auto"/>
          </w:tcPr>
          <w:p w:rsidR="006D2D1A" w:rsidRDefault="006D2D1A" w:rsidP="009901AD">
            <w:pPr>
              <w:pStyle w:val="AppendixTableText"/>
            </w:pPr>
            <w:r>
              <w:t>Royal Oak Intermediate School</w:t>
            </w:r>
          </w:p>
        </w:tc>
        <w:tc>
          <w:tcPr>
            <w:tcW w:w="907" w:type="dxa"/>
            <w:shd w:val="clear" w:color="auto" w:fill="auto"/>
          </w:tcPr>
          <w:p w:rsidR="006D2D1A" w:rsidRDefault="006D2D1A" w:rsidP="009901AD">
            <w:pPr>
              <w:pStyle w:val="AppendixTableText"/>
            </w:pPr>
            <w:r>
              <w:t>28/11/2002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1475</w:t>
            </w:r>
          </w:p>
        </w:tc>
        <w:tc>
          <w:tcPr>
            <w:tcW w:w="2333" w:type="dxa"/>
            <w:shd w:val="clear" w:color="auto" w:fill="auto"/>
          </w:tcPr>
          <w:p w:rsidR="006D2D1A" w:rsidRDefault="006D2D1A" w:rsidP="009901AD">
            <w:pPr>
              <w:pStyle w:val="AppendixTableText"/>
            </w:pPr>
            <w:r>
              <w:t>Royal Oak School</w:t>
            </w:r>
          </w:p>
        </w:tc>
        <w:tc>
          <w:tcPr>
            <w:tcW w:w="907" w:type="dxa"/>
            <w:shd w:val="clear" w:color="auto" w:fill="auto"/>
          </w:tcPr>
          <w:p w:rsidR="006D2D1A" w:rsidRDefault="006D2D1A" w:rsidP="009901AD">
            <w:pPr>
              <w:pStyle w:val="AppendixTableText"/>
            </w:pPr>
            <w:r>
              <w:t>19/10/1999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3493</w:t>
            </w:r>
          </w:p>
        </w:tc>
        <w:tc>
          <w:tcPr>
            <w:tcW w:w="2333" w:type="dxa"/>
            <w:shd w:val="clear" w:color="auto" w:fill="auto"/>
          </w:tcPr>
          <w:p w:rsidR="006D2D1A" w:rsidRDefault="006D2D1A" w:rsidP="009901AD">
            <w:pPr>
              <w:pStyle w:val="AppendixTableText"/>
            </w:pPr>
            <w:r>
              <w:t>Roydvale School</w:t>
            </w:r>
          </w:p>
        </w:tc>
        <w:tc>
          <w:tcPr>
            <w:tcW w:w="907" w:type="dxa"/>
            <w:shd w:val="clear" w:color="auto" w:fill="auto"/>
          </w:tcPr>
          <w:p w:rsidR="006D2D1A" w:rsidRDefault="006D2D1A" w:rsidP="009901AD">
            <w:pPr>
              <w:pStyle w:val="AppendixTableText"/>
            </w:pPr>
            <w:r>
              <w:t>11/05/2006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2669</w:t>
            </w:r>
          </w:p>
        </w:tc>
        <w:tc>
          <w:tcPr>
            <w:tcW w:w="2333" w:type="dxa"/>
            <w:shd w:val="clear" w:color="auto" w:fill="auto"/>
          </w:tcPr>
          <w:p w:rsidR="006D2D1A" w:rsidRDefault="006D2D1A" w:rsidP="009901AD">
            <w:pPr>
              <w:pStyle w:val="AppendixTableText"/>
            </w:pPr>
            <w:r>
              <w:t>Ruahine School</w:t>
            </w:r>
          </w:p>
        </w:tc>
        <w:tc>
          <w:tcPr>
            <w:tcW w:w="907" w:type="dxa"/>
            <w:shd w:val="clear" w:color="auto" w:fill="auto"/>
          </w:tcPr>
          <w:p w:rsidR="006D2D1A" w:rsidRDefault="006D2D1A" w:rsidP="009901AD">
            <w:pPr>
              <w:pStyle w:val="AppendixTableText"/>
            </w:pPr>
            <w:r>
              <w:t>5/05/2006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1938</w:t>
            </w:r>
          </w:p>
        </w:tc>
        <w:tc>
          <w:tcPr>
            <w:tcW w:w="2333" w:type="dxa"/>
            <w:shd w:val="clear" w:color="auto" w:fill="auto"/>
          </w:tcPr>
          <w:p w:rsidR="006D2D1A" w:rsidRDefault="006D2D1A" w:rsidP="009901AD">
            <w:pPr>
              <w:pStyle w:val="AppendixTableText"/>
            </w:pPr>
            <w:r>
              <w:t>Rukuhia School</w:t>
            </w:r>
          </w:p>
        </w:tc>
        <w:tc>
          <w:tcPr>
            <w:tcW w:w="907" w:type="dxa"/>
            <w:shd w:val="clear" w:color="auto" w:fill="auto"/>
          </w:tcPr>
          <w:p w:rsidR="006D2D1A" w:rsidRDefault="006D2D1A" w:rsidP="009901AD">
            <w:pPr>
              <w:pStyle w:val="AppendixTableText"/>
            </w:pPr>
            <w:r>
              <w:t>19/07/2012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2441</w:t>
            </w:r>
          </w:p>
        </w:tc>
        <w:tc>
          <w:tcPr>
            <w:tcW w:w="2333" w:type="dxa"/>
            <w:shd w:val="clear" w:color="auto" w:fill="auto"/>
          </w:tcPr>
          <w:p w:rsidR="006D2D1A" w:rsidRDefault="006D2D1A" w:rsidP="009901AD">
            <w:pPr>
              <w:pStyle w:val="AppendixTableText"/>
            </w:pPr>
            <w:r>
              <w:t>Russell Street School</w:t>
            </w:r>
          </w:p>
        </w:tc>
        <w:tc>
          <w:tcPr>
            <w:tcW w:w="907" w:type="dxa"/>
            <w:shd w:val="clear" w:color="auto" w:fill="auto"/>
          </w:tcPr>
          <w:p w:rsidR="006D2D1A" w:rsidRDefault="006D2D1A" w:rsidP="009901AD">
            <w:pPr>
              <w:pStyle w:val="AppendixTableText"/>
            </w:pPr>
            <w:r>
              <w:t>3/09/2001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3496</w:t>
            </w:r>
          </w:p>
        </w:tc>
        <w:tc>
          <w:tcPr>
            <w:tcW w:w="2333" w:type="dxa"/>
            <w:shd w:val="clear" w:color="auto" w:fill="auto"/>
          </w:tcPr>
          <w:p w:rsidR="006D2D1A" w:rsidRDefault="006D2D1A" w:rsidP="009901AD">
            <w:pPr>
              <w:pStyle w:val="AppendixTableText"/>
            </w:pPr>
            <w:r>
              <w:t>Russley School</w:t>
            </w:r>
          </w:p>
        </w:tc>
        <w:tc>
          <w:tcPr>
            <w:tcW w:w="907" w:type="dxa"/>
            <w:shd w:val="clear" w:color="auto" w:fill="auto"/>
          </w:tcPr>
          <w:p w:rsidR="006D2D1A" w:rsidRDefault="006D2D1A" w:rsidP="009901AD">
            <w:pPr>
              <w:pStyle w:val="AppendixTableText"/>
            </w:pPr>
            <w:r>
              <w:t>5/06/2007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w:t>
            </w:r>
          </w:p>
        </w:tc>
        <w:tc>
          <w:tcPr>
            <w:tcW w:w="2333" w:type="dxa"/>
            <w:shd w:val="clear" w:color="auto" w:fill="auto"/>
          </w:tcPr>
          <w:p w:rsidR="006D2D1A" w:rsidRDefault="006D2D1A" w:rsidP="009901AD">
            <w:pPr>
              <w:pStyle w:val="AppendixTableText"/>
            </w:pPr>
            <w:r>
              <w:t>Rutherford College</w:t>
            </w:r>
          </w:p>
        </w:tc>
        <w:tc>
          <w:tcPr>
            <w:tcW w:w="907" w:type="dxa"/>
            <w:shd w:val="clear" w:color="auto" w:fill="auto"/>
          </w:tcPr>
          <w:p w:rsidR="006D2D1A" w:rsidRDefault="006D2D1A" w:rsidP="009901AD">
            <w:pPr>
              <w:pStyle w:val="AppendixTableText"/>
            </w:pPr>
            <w:r>
              <w:t>17/06/2003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59</w:t>
            </w:r>
          </w:p>
        </w:tc>
        <w:tc>
          <w:tcPr>
            <w:tcW w:w="2333" w:type="dxa"/>
            <w:shd w:val="clear" w:color="auto" w:fill="auto"/>
          </w:tcPr>
          <w:p w:rsidR="006D2D1A" w:rsidRDefault="006D2D1A" w:rsidP="009901AD">
            <w:pPr>
              <w:pStyle w:val="AppendixTableText"/>
            </w:pPr>
            <w:r>
              <w:t>Sacred Heart College (Auckland)</w:t>
            </w:r>
          </w:p>
        </w:tc>
        <w:tc>
          <w:tcPr>
            <w:tcW w:w="907" w:type="dxa"/>
            <w:shd w:val="clear" w:color="auto" w:fill="auto"/>
          </w:tcPr>
          <w:p w:rsidR="006D2D1A" w:rsidRDefault="006D2D1A" w:rsidP="009901AD">
            <w:pPr>
              <w:pStyle w:val="AppendixTableText"/>
            </w:pPr>
            <w:r>
              <w:t>3/03/2006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174</w:t>
            </w:r>
          </w:p>
        </w:tc>
        <w:tc>
          <w:tcPr>
            <w:tcW w:w="2333" w:type="dxa"/>
            <w:shd w:val="clear" w:color="auto" w:fill="auto"/>
          </w:tcPr>
          <w:p w:rsidR="006D2D1A" w:rsidRDefault="006D2D1A" w:rsidP="009901AD">
            <w:pPr>
              <w:pStyle w:val="AppendixTableText"/>
            </w:pPr>
            <w:r>
              <w:t>Sacred Heart Girls' College (N Plymouth)</w:t>
            </w:r>
          </w:p>
        </w:tc>
        <w:tc>
          <w:tcPr>
            <w:tcW w:w="907" w:type="dxa"/>
            <w:shd w:val="clear" w:color="auto" w:fill="auto"/>
          </w:tcPr>
          <w:p w:rsidR="006D2D1A" w:rsidRDefault="006D2D1A" w:rsidP="009901AD">
            <w:pPr>
              <w:pStyle w:val="AppendixTableText"/>
            </w:pPr>
            <w:r>
              <w:t>16/02/2006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4014</w:t>
            </w:r>
          </w:p>
        </w:tc>
        <w:tc>
          <w:tcPr>
            <w:tcW w:w="2333" w:type="dxa"/>
            <w:shd w:val="clear" w:color="auto" w:fill="auto"/>
          </w:tcPr>
          <w:p w:rsidR="006D2D1A" w:rsidRDefault="006D2D1A" w:rsidP="009901AD">
            <w:pPr>
              <w:pStyle w:val="AppendixTableText"/>
            </w:pPr>
            <w:r>
              <w:t>Salford School</w:t>
            </w:r>
          </w:p>
        </w:tc>
        <w:tc>
          <w:tcPr>
            <w:tcW w:w="907" w:type="dxa"/>
            <w:shd w:val="clear" w:color="auto" w:fill="auto"/>
          </w:tcPr>
          <w:p w:rsidR="006D2D1A" w:rsidRDefault="006D2D1A" w:rsidP="009901AD">
            <w:pPr>
              <w:pStyle w:val="AppendixTableText"/>
            </w:pPr>
            <w:r>
              <w:t>12/11/2002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491</w:t>
            </w:r>
          </w:p>
        </w:tc>
        <w:tc>
          <w:tcPr>
            <w:tcW w:w="2333" w:type="dxa"/>
            <w:shd w:val="clear" w:color="auto" w:fill="auto"/>
          </w:tcPr>
          <w:p w:rsidR="006D2D1A" w:rsidRDefault="006D2D1A" w:rsidP="009901AD">
            <w:pPr>
              <w:pStyle w:val="AppendixTableText"/>
            </w:pPr>
            <w:r>
              <w:t>Sancta Maria College</w:t>
            </w:r>
          </w:p>
        </w:tc>
        <w:tc>
          <w:tcPr>
            <w:tcW w:w="907" w:type="dxa"/>
            <w:shd w:val="clear" w:color="auto" w:fill="auto"/>
          </w:tcPr>
          <w:p w:rsidR="006D2D1A" w:rsidRDefault="006D2D1A" w:rsidP="009901AD">
            <w:pPr>
              <w:pStyle w:val="AppendixTableText"/>
            </w:pPr>
            <w:r>
              <w:t>20/11/2003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1479</w:t>
            </w:r>
          </w:p>
        </w:tc>
        <w:tc>
          <w:tcPr>
            <w:tcW w:w="2333" w:type="dxa"/>
            <w:shd w:val="clear" w:color="auto" w:fill="auto"/>
          </w:tcPr>
          <w:p w:rsidR="006D2D1A" w:rsidRDefault="006D2D1A" w:rsidP="009901AD">
            <w:pPr>
              <w:pStyle w:val="AppendixTableText"/>
            </w:pPr>
            <w:r>
              <w:t>Sandspit Road School</w:t>
            </w:r>
          </w:p>
        </w:tc>
        <w:tc>
          <w:tcPr>
            <w:tcW w:w="907" w:type="dxa"/>
            <w:shd w:val="clear" w:color="auto" w:fill="auto"/>
          </w:tcPr>
          <w:p w:rsidR="006D2D1A" w:rsidRDefault="006D2D1A" w:rsidP="009901AD">
            <w:pPr>
              <w:pStyle w:val="AppendixTableText"/>
            </w:pPr>
            <w:r>
              <w:t>26/09/2009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2987</w:t>
            </w:r>
          </w:p>
        </w:tc>
        <w:tc>
          <w:tcPr>
            <w:tcW w:w="2333" w:type="dxa"/>
            <w:shd w:val="clear" w:color="auto" w:fill="auto"/>
          </w:tcPr>
          <w:p w:rsidR="006D2D1A" w:rsidRDefault="006D2D1A" w:rsidP="009901AD">
            <w:pPr>
              <w:pStyle w:val="AppendixTableText"/>
            </w:pPr>
            <w:r>
              <w:t>Seatoun School</w:t>
            </w:r>
          </w:p>
        </w:tc>
        <w:tc>
          <w:tcPr>
            <w:tcW w:w="907" w:type="dxa"/>
            <w:shd w:val="clear" w:color="auto" w:fill="auto"/>
          </w:tcPr>
          <w:p w:rsidR="006D2D1A" w:rsidRDefault="006D2D1A" w:rsidP="009901AD">
            <w:pPr>
              <w:pStyle w:val="AppendixTableText"/>
            </w:pPr>
            <w:r>
              <w:t>1/01/2001</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3501</w:t>
            </w:r>
          </w:p>
        </w:tc>
        <w:tc>
          <w:tcPr>
            <w:tcW w:w="2333" w:type="dxa"/>
            <w:shd w:val="clear" w:color="auto" w:fill="auto"/>
          </w:tcPr>
          <w:p w:rsidR="006D2D1A" w:rsidRDefault="006D2D1A" w:rsidP="009901AD">
            <w:pPr>
              <w:pStyle w:val="AppendixTableText"/>
            </w:pPr>
            <w:r>
              <w:t>Sefton School</w:t>
            </w:r>
          </w:p>
        </w:tc>
        <w:tc>
          <w:tcPr>
            <w:tcW w:w="907" w:type="dxa"/>
            <w:shd w:val="clear" w:color="auto" w:fill="auto"/>
          </w:tcPr>
          <w:p w:rsidR="006D2D1A" w:rsidRDefault="006D2D1A" w:rsidP="009901AD">
            <w:pPr>
              <w:pStyle w:val="AppendixTableText"/>
            </w:pPr>
            <w:r>
              <w:t>1/11/2006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6945</w:t>
            </w:r>
          </w:p>
        </w:tc>
        <w:tc>
          <w:tcPr>
            <w:tcW w:w="2333" w:type="dxa"/>
            <w:shd w:val="clear" w:color="auto" w:fill="auto"/>
          </w:tcPr>
          <w:p w:rsidR="006D2D1A" w:rsidRDefault="006D2D1A" w:rsidP="009901AD">
            <w:pPr>
              <w:pStyle w:val="AppendixTableText"/>
            </w:pPr>
            <w:r>
              <w:t>Selwyn Ridge School</w:t>
            </w:r>
          </w:p>
        </w:tc>
        <w:tc>
          <w:tcPr>
            <w:tcW w:w="907" w:type="dxa"/>
            <w:shd w:val="clear" w:color="auto" w:fill="auto"/>
          </w:tcPr>
          <w:p w:rsidR="006D2D1A" w:rsidRDefault="006D2D1A" w:rsidP="009901AD">
            <w:pPr>
              <w:pStyle w:val="AppendixTableText"/>
            </w:pPr>
            <w:r>
              <w:t>6/12/2001</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1480</w:t>
            </w:r>
          </w:p>
        </w:tc>
        <w:tc>
          <w:tcPr>
            <w:tcW w:w="2333" w:type="dxa"/>
            <w:shd w:val="clear" w:color="auto" w:fill="auto"/>
          </w:tcPr>
          <w:p w:rsidR="006D2D1A" w:rsidRDefault="006D2D1A" w:rsidP="009901AD">
            <w:pPr>
              <w:pStyle w:val="AppendixTableText"/>
            </w:pPr>
            <w:r>
              <w:t>Shelly Park School</w:t>
            </w:r>
          </w:p>
        </w:tc>
        <w:tc>
          <w:tcPr>
            <w:tcW w:w="907" w:type="dxa"/>
            <w:shd w:val="clear" w:color="auto" w:fill="auto"/>
          </w:tcPr>
          <w:p w:rsidR="006D2D1A" w:rsidRDefault="006D2D1A" w:rsidP="009901AD">
            <w:pPr>
              <w:pStyle w:val="AppendixTableText"/>
            </w:pPr>
            <w:r>
              <w:t>16/12/2003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1481</w:t>
            </w:r>
          </w:p>
        </w:tc>
        <w:tc>
          <w:tcPr>
            <w:tcW w:w="2333" w:type="dxa"/>
            <w:shd w:val="clear" w:color="auto" w:fill="auto"/>
          </w:tcPr>
          <w:p w:rsidR="006D2D1A" w:rsidRDefault="006D2D1A" w:rsidP="009901AD">
            <w:pPr>
              <w:pStyle w:val="AppendixTableText"/>
            </w:pPr>
            <w:r>
              <w:t>Sherwood School (Auckland)</w:t>
            </w:r>
          </w:p>
        </w:tc>
        <w:tc>
          <w:tcPr>
            <w:tcW w:w="907" w:type="dxa"/>
            <w:shd w:val="clear" w:color="auto" w:fill="auto"/>
          </w:tcPr>
          <w:p w:rsidR="006D2D1A" w:rsidRDefault="006D2D1A" w:rsidP="009901AD">
            <w:pPr>
              <w:pStyle w:val="AppendixTableText"/>
            </w:pPr>
            <w:r>
              <w:t>3/04/2008</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321</w:t>
            </w:r>
          </w:p>
        </w:tc>
        <w:tc>
          <w:tcPr>
            <w:tcW w:w="2333" w:type="dxa"/>
            <w:shd w:val="clear" w:color="auto" w:fill="auto"/>
          </w:tcPr>
          <w:p w:rsidR="006D2D1A" w:rsidRDefault="006D2D1A" w:rsidP="009901AD">
            <w:pPr>
              <w:pStyle w:val="AppendixTableText"/>
            </w:pPr>
            <w:r>
              <w:t>Shirley Boys' High School</w:t>
            </w:r>
          </w:p>
        </w:tc>
        <w:tc>
          <w:tcPr>
            <w:tcW w:w="907" w:type="dxa"/>
            <w:shd w:val="clear" w:color="auto" w:fill="auto"/>
          </w:tcPr>
          <w:p w:rsidR="006D2D1A" w:rsidRDefault="006D2D1A" w:rsidP="009901AD">
            <w:pPr>
              <w:pStyle w:val="AppendixTableText"/>
            </w:pPr>
            <w:r>
              <w:t>29/05/1999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3504</w:t>
            </w:r>
          </w:p>
        </w:tc>
        <w:tc>
          <w:tcPr>
            <w:tcW w:w="2333" w:type="dxa"/>
            <w:shd w:val="clear" w:color="auto" w:fill="auto"/>
          </w:tcPr>
          <w:p w:rsidR="006D2D1A" w:rsidRDefault="006D2D1A" w:rsidP="009901AD">
            <w:pPr>
              <w:pStyle w:val="AppendixTableText"/>
            </w:pPr>
            <w:r>
              <w:t>Shirley School</w:t>
            </w:r>
          </w:p>
        </w:tc>
        <w:tc>
          <w:tcPr>
            <w:tcW w:w="907" w:type="dxa"/>
            <w:shd w:val="clear" w:color="auto" w:fill="auto"/>
          </w:tcPr>
          <w:p w:rsidR="006D2D1A" w:rsidRDefault="006D2D1A" w:rsidP="009901AD">
            <w:pPr>
              <w:pStyle w:val="AppendixTableText"/>
            </w:pPr>
            <w:r>
              <w:t>21/09/2004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1482</w:t>
            </w:r>
          </w:p>
        </w:tc>
        <w:tc>
          <w:tcPr>
            <w:tcW w:w="2333" w:type="dxa"/>
            <w:shd w:val="clear" w:color="auto" w:fill="auto"/>
          </w:tcPr>
          <w:p w:rsidR="006D2D1A" w:rsidRDefault="006D2D1A" w:rsidP="009901AD">
            <w:pPr>
              <w:pStyle w:val="AppendixTableText"/>
            </w:pPr>
            <w:r>
              <w:t>Silverdale School</w:t>
            </w:r>
          </w:p>
        </w:tc>
        <w:tc>
          <w:tcPr>
            <w:tcW w:w="907" w:type="dxa"/>
            <w:shd w:val="clear" w:color="auto" w:fill="auto"/>
          </w:tcPr>
          <w:p w:rsidR="006D2D1A" w:rsidRDefault="006D2D1A" w:rsidP="009901AD">
            <w:pPr>
              <w:pStyle w:val="AppendixTableText"/>
            </w:pPr>
            <w:r>
              <w:t>7/09/2007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2990</w:t>
            </w:r>
          </w:p>
        </w:tc>
        <w:tc>
          <w:tcPr>
            <w:tcW w:w="2333" w:type="dxa"/>
            <w:shd w:val="clear" w:color="auto" w:fill="auto"/>
          </w:tcPr>
          <w:p w:rsidR="006D2D1A" w:rsidRDefault="006D2D1A" w:rsidP="009901AD">
            <w:pPr>
              <w:pStyle w:val="AppendixTableText"/>
            </w:pPr>
            <w:r>
              <w:t>Silverstream School</w:t>
            </w:r>
          </w:p>
        </w:tc>
        <w:tc>
          <w:tcPr>
            <w:tcW w:w="907" w:type="dxa"/>
            <w:shd w:val="clear" w:color="auto" w:fill="auto"/>
          </w:tcPr>
          <w:p w:rsidR="006D2D1A" w:rsidRDefault="006D2D1A" w:rsidP="009901AD">
            <w:pPr>
              <w:pStyle w:val="AppendixTableText"/>
            </w:pPr>
            <w:r>
              <w:t>24/08/2004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1251</w:t>
            </w:r>
          </w:p>
        </w:tc>
        <w:tc>
          <w:tcPr>
            <w:tcW w:w="2333" w:type="dxa"/>
            <w:shd w:val="clear" w:color="auto" w:fill="auto"/>
          </w:tcPr>
          <w:p w:rsidR="006D2D1A" w:rsidRDefault="006D2D1A" w:rsidP="009901AD">
            <w:pPr>
              <w:pStyle w:val="AppendixTableText"/>
            </w:pPr>
            <w:r>
              <w:t>Sir Edmund Hillary Collegiate Junior Sch</w:t>
            </w:r>
          </w:p>
        </w:tc>
        <w:tc>
          <w:tcPr>
            <w:tcW w:w="907" w:type="dxa"/>
            <w:shd w:val="clear" w:color="auto" w:fill="auto"/>
          </w:tcPr>
          <w:p w:rsidR="006D2D1A" w:rsidRDefault="006D2D1A" w:rsidP="009901AD">
            <w:pPr>
              <w:pStyle w:val="AppendixTableText"/>
            </w:pPr>
            <w:r>
              <w:t>10/10/2006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1217</w:t>
            </w:r>
          </w:p>
        </w:tc>
        <w:tc>
          <w:tcPr>
            <w:tcW w:w="2333" w:type="dxa"/>
            <w:shd w:val="clear" w:color="auto" w:fill="auto"/>
          </w:tcPr>
          <w:p w:rsidR="006D2D1A" w:rsidRDefault="006D2D1A" w:rsidP="009901AD">
            <w:pPr>
              <w:pStyle w:val="AppendixTableText"/>
            </w:pPr>
            <w:r>
              <w:t>Sir Edmund Hillary Collegiate Middle Sch</w:t>
            </w:r>
          </w:p>
        </w:tc>
        <w:tc>
          <w:tcPr>
            <w:tcW w:w="907" w:type="dxa"/>
            <w:shd w:val="clear" w:color="auto" w:fill="auto"/>
          </w:tcPr>
          <w:p w:rsidR="006D2D1A" w:rsidRDefault="006D2D1A" w:rsidP="009901AD">
            <w:pPr>
              <w:pStyle w:val="AppendixTableText"/>
            </w:pPr>
            <w:r>
              <w:t>10/10/2006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97</w:t>
            </w:r>
          </w:p>
        </w:tc>
        <w:tc>
          <w:tcPr>
            <w:tcW w:w="2333" w:type="dxa"/>
            <w:shd w:val="clear" w:color="auto" w:fill="auto"/>
          </w:tcPr>
          <w:p w:rsidR="006D2D1A" w:rsidRDefault="006D2D1A" w:rsidP="009901AD">
            <w:pPr>
              <w:pStyle w:val="AppendixTableText"/>
            </w:pPr>
            <w:r>
              <w:t>Sir Edmund Hillary Collegiate Senior Sch</w:t>
            </w:r>
          </w:p>
        </w:tc>
        <w:tc>
          <w:tcPr>
            <w:tcW w:w="907" w:type="dxa"/>
            <w:shd w:val="clear" w:color="auto" w:fill="auto"/>
          </w:tcPr>
          <w:p w:rsidR="006D2D1A" w:rsidRDefault="006D2D1A" w:rsidP="009901AD">
            <w:pPr>
              <w:pStyle w:val="AppendixTableText"/>
            </w:pPr>
            <w:r>
              <w:t>10/10/2006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6759</w:t>
            </w:r>
          </w:p>
        </w:tc>
        <w:tc>
          <w:tcPr>
            <w:tcW w:w="2333" w:type="dxa"/>
            <w:shd w:val="clear" w:color="auto" w:fill="auto"/>
          </w:tcPr>
          <w:p w:rsidR="006D2D1A" w:rsidRDefault="006D2D1A" w:rsidP="009901AD">
            <w:pPr>
              <w:pStyle w:val="AppendixTableText"/>
            </w:pPr>
            <w:r>
              <w:t>Snells Beach Primary School</w:t>
            </w:r>
          </w:p>
        </w:tc>
        <w:tc>
          <w:tcPr>
            <w:tcW w:w="907" w:type="dxa"/>
            <w:shd w:val="clear" w:color="auto" w:fill="auto"/>
          </w:tcPr>
          <w:p w:rsidR="006D2D1A" w:rsidRDefault="006D2D1A" w:rsidP="009901AD">
            <w:pPr>
              <w:pStyle w:val="AppendixTableText"/>
            </w:pPr>
            <w:r>
              <w:t>12/06/2008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2991</w:t>
            </w:r>
          </w:p>
        </w:tc>
        <w:tc>
          <w:tcPr>
            <w:tcW w:w="2333" w:type="dxa"/>
            <w:shd w:val="clear" w:color="auto" w:fill="auto"/>
          </w:tcPr>
          <w:p w:rsidR="006D2D1A" w:rsidRDefault="006D2D1A" w:rsidP="009901AD">
            <w:pPr>
              <w:pStyle w:val="AppendixTableText"/>
            </w:pPr>
            <w:r>
              <w:t>Solway School</w:t>
            </w:r>
          </w:p>
        </w:tc>
        <w:tc>
          <w:tcPr>
            <w:tcW w:w="907" w:type="dxa"/>
            <w:shd w:val="clear" w:color="auto" w:fill="auto"/>
          </w:tcPr>
          <w:p w:rsidR="006D2D1A" w:rsidRDefault="006D2D1A" w:rsidP="009901AD">
            <w:pPr>
              <w:pStyle w:val="AppendixTableText"/>
            </w:pPr>
            <w:r>
              <w:t>20/11/2003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3506</w:t>
            </w:r>
          </w:p>
        </w:tc>
        <w:tc>
          <w:tcPr>
            <w:tcW w:w="2333" w:type="dxa"/>
            <w:shd w:val="clear" w:color="auto" w:fill="auto"/>
          </w:tcPr>
          <w:p w:rsidR="006D2D1A" w:rsidRDefault="006D2D1A" w:rsidP="009901AD">
            <w:pPr>
              <w:pStyle w:val="AppendixTableText"/>
            </w:pPr>
            <w:r>
              <w:t>Somerfield School</w:t>
            </w:r>
          </w:p>
        </w:tc>
        <w:tc>
          <w:tcPr>
            <w:tcW w:w="907" w:type="dxa"/>
            <w:shd w:val="clear" w:color="auto" w:fill="auto"/>
          </w:tcPr>
          <w:p w:rsidR="006D2D1A" w:rsidRDefault="006D2D1A" w:rsidP="009901AD">
            <w:pPr>
              <w:pStyle w:val="AppendixTableText"/>
            </w:pPr>
            <w:r>
              <w:t>18/12/2006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6760</w:t>
            </w:r>
          </w:p>
        </w:tc>
        <w:tc>
          <w:tcPr>
            <w:tcW w:w="2333" w:type="dxa"/>
            <w:shd w:val="clear" w:color="auto" w:fill="auto"/>
          </w:tcPr>
          <w:p w:rsidR="006D2D1A" w:rsidRDefault="006D2D1A" w:rsidP="009901AD">
            <w:pPr>
              <w:pStyle w:val="AppendixTableText"/>
            </w:pPr>
            <w:r>
              <w:t>Somerville Intermediate School</w:t>
            </w:r>
          </w:p>
        </w:tc>
        <w:tc>
          <w:tcPr>
            <w:tcW w:w="907" w:type="dxa"/>
            <w:shd w:val="clear" w:color="auto" w:fill="auto"/>
          </w:tcPr>
          <w:p w:rsidR="006D2D1A" w:rsidRDefault="006D2D1A" w:rsidP="009901AD">
            <w:pPr>
              <w:pStyle w:val="AppendixTableText"/>
            </w:pPr>
            <w:r>
              <w:t>10/12/1999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1149</w:t>
            </w:r>
          </w:p>
        </w:tc>
        <w:tc>
          <w:tcPr>
            <w:tcW w:w="2333" w:type="dxa"/>
            <w:shd w:val="clear" w:color="auto" w:fill="auto"/>
          </w:tcPr>
          <w:p w:rsidR="006D2D1A" w:rsidRDefault="006D2D1A" w:rsidP="009901AD">
            <w:pPr>
              <w:pStyle w:val="AppendixTableText"/>
            </w:pPr>
            <w:r>
              <w:t>Sonrise Christian School</w:t>
            </w:r>
          </w:p>
        </w:tc>
        <w:tc>
          <w:tcPr>
            <w:tcW w:w="907" w:type="dxa"/>
            <w:shd w:val="clear" w:color="auto" w:fill="auto"/>
          </w:tcPr>
          <w:p w:rsidR="006D2D1A" w:rsidRDefault="006D2D1A" w:rsidP="009901AD">
            <w:pPr>
              <w:pStyle w:val="AppendixTableText"/>
            </w:pPr>
            <w:r>
              <w:t>20/11/2006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2993</w:t>
            </w:r>
          </w:p>
        </w:tc>
        <w:tc>
          <w:tcPr>
            <w:tcW w:w="2333" w:type="dxa"/>
            <w:shd w:val="clear" w:color="auto" w:fill="auto"/>
          </w:tcPr>
          <w:p w:rsidR="006D2D1A" w:rsidRDefault="006D2D1A" w:rsidP="009901AD">
            <w:pPr>
              <w:pStyle w:val="AppendixTableText"/>
            </w:pPr>
            <w:r>
              <w:t>South Featherston School</w:t>
            </w:r>
          </w:p>
        </w:tc>
        <w:tc>
          <w:tcPr>
            <w:tcW w:w="907" w:type="dxa"/>
            <w:shd w:val="clear" w:color="auto" w:fill="auto"/>
          </w:tcPr>
          <w:p w:rsidR="006D2D1A" w:rsidRDefault="006D2D1A" w:rsidP="009901AD">
            <w:pPr>
              <w:pStyle w:val="AppendixTableText"/>
            </w:pPr>
            <w:r>
              <w:t>30/09/2004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2446</w:t>
            </w:r>
          </w:p>
        </w:tc>
        <w:tc>
          <w:tcPr>
            <w:tcW w:w="2333" w:type="dxa"/>
            <w:shd w:val="clear" w:color="auto" w:fill="auto"/>
          </w:tcPr>
          <w:p w:rsidR="006D2D1A" w:rsidRDefault="006D2D1A" w:rsidP="009901AD">
            <w:pPr>
              <w:pStyle w:val="AppendixTableText"/>
            </w:pPr>
            <w:r>
              <w:t>South Makirikiri School</w:t>
            </w:r>
          </w:p>
        </w:tc>
        <w:tc>
          <w:tcPr>
            <w:tcW w:w="907" w:type="dxa"/>
            <w:shd w:val="clear" w:color="auto" w:fill="auto"/>
          </w:tcPr>
          <w:p w:rsidR="006D2D1A" w:rsidRDefault="006D2D1A" w:rsidP="009901AD">
            <w:pPr>
              <w:pStyle w:val="AppendixTableText"/>
            </w:pPr>
            <w:r>
              <w:t>6/09/1999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3508</w:t>
            </w:r>
          </w:p>
        </w:tc>
        <w:tc>
          <w:tcPr>
            <w:tcW w:w="2333" w:type="dxa"/>
            <w:shd w:val="clear" w:color="auto" w:fill="auto"/>
          </w:tcPr>
          <w:p w:rsidR="006D2D1A" w:rsidRDefault="006D2D1A" w:rsidP="009901AD">
            <w:pPr>
              <w:pStyle w:val="AppendixTableText"/>
            </w:pPr>
            <w:r>
              <w:t>South New Brighton School</w:t>
            </w:r>
          </w:p>
        </w:tc>
        <w:tc>
          <w:tcPr>
            <w:tcW w:w="907" w:type="dxa"/>
            <w:shd w:val="clear" w:color="auto" w:fill="auto"/>
          </w:tcPr>
          <w:p w:rsidR="006D2D1A" w:rsidRDefault="006D2D1A" w:rsidP="009901AD">
            <w:pPr>
              <w:pStyle w:val="AppendixTableText"/>
            </w:pPr>
            <w:r>
              <w:t>23/10/2008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3509</w:t>
            </w:r>
          </w:p>
        </w:tc>
        <w:tc>
          <w:tcPr>
            <w:tcW w:w="2333" w:type="dxa"/>
            <w:shd w:val="clear" w:color="auto" w:fill="auto"/>
          </w:tcPr>
          <w:p w:rsidR="006D2D1A" w:rsidRDefault="006D2D1A" w:rsidP="009901AD">
            <w:pPr>
              <w:pStyle w:val="AppendixTableText"/>
            </w:pPr>
            <w:r>
              <w:t>Southbridge School</w:t>
            </w:r>
          </w:p>
        </w:tc>
        <w:tc>
          <w:tcPr>
            <w:tcW w:w="907" w:type="dxa"/>
            <w:shd w:val="clear" w:color="auto" w:fill="auto"/>
          </w:tcPr>
          <w:p w:rsidR="006D2D1A" w:rsidRDefault="006D2D1A" w:rsidP="009901AD">
            <w:pPr>
              <w:pStyle w:val="AppendixTableText"/>
            </w:pPr>
            <w:r>
              <w:t>10/02/2010</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3510</w:t>
            </w:r>
          </w:p>
        </w:tc>
        <w:tc>
          <w:tcPr>
            <w:tcW w:w="2333" w:type="dxa"/>
            <w:shd w:val="clear" w:color="auto" w:fill="auto"/>
          </w:tcPr>
          <w:p w:rsidR="006D2D1A" w:rsidRDefault="006D2D1A" w:rsidP="009901AD">
            <w:pPr>
              <w:pStyle w:val="AppendixTableText"/>
            </w:pPr>
            <w:r>
              <w:t>Southbrook School</w:t>
            </w:r>
          </w:p>
        </w:tc>
        <w:tc>
          <w:tcPr>
            <w:tcW w:w="907" w:type="dxa"/>
            <w:shd w:val="clear" w:color="auto" w:fill="auto"/>
          </w:tcPr>
          <w:p w:rsidR="006D2D1A" w:rsidRDefault="006D2D1A" w:rsidP="009901AD">
            <w:pPr>
              <w:pStyle w:val="AppendixTableText"/>
            </w:pPr>
            <w:r>
              <w:t>30/05/2001</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452</w:t>
            </w:r>
          </w:p>
        </w:tc>
        <w:tc>
          <w:tcPr>
            <w:tcW w:w="2333" w:type="dxa"/>
            <w:shd w:val="clear" w:color="auto" w:fill="auto"/>
          </w:tcPr>
          <w:p w:rsidR="006D2D1A" w:rsidRDefault="006D2D1A" w:rsidP="009901AD">
            <w:pPr>
              <w:pStyle w:val="AppendixTableText"/>
            </w:pPr>
            <w:r>
              <w:t>Southern Cross Campus</w:t>
            </w:r>
          </w:p>
        </w:tc>
        <w:tc>
          <w:tcPr>
            <w:tcW w:w="907" w:type="dxa"/>
            <w:shd w:val="clear" w:color="auto" w:fill="auto"/>
          </w:tcPr>
          <w:p w:rsidR="006D2D1A" w:rsidRDefault="006D2D1A" w:rsidP="009901AD">
            <w:pPr>
              <w:pStyle w:val="AppendixTableText"/>
            </w:pPr>
            <w:r>
              <w:t>20/11/2002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404</w:t>
            </w:r>
          </w:p>
        </w:tc>
        <w:tc>
          <w:tcPr>
            <w:tcW w:w="2333" w:type="dxa"/>
            <w:shd w:val="clear" w:color="auto" w:fill="auto"/>
          </w:tcPr>
          <w:p w:rsidR="006D2D1A" w:rsidRDefault="006D2D1A" w:rsidP="009901AD">
            <w:pPr>
              <w:pStyle w:val="AppendixTableText"/>
            </w:pPr>
            <w:r>
              <w:t>Southland Boys' High School</w:t>
            </w:r>
          </w:p>
        </w:tc>
        <w:tc>
          <w:tcPr>
            <w:tcW w:w="907" w:type="dxa"/>
            <w:shd w:val="clear" w:color="auto" w:fill="auto"/>
          </w:tcPr>
          <w:p w:rsidR="006D2D1A" w:rsidRDefault="006D2D1A" w:rsidP="009901AD">
            <w:pPr>
              <w:pStyle w:val="AppendixTableText"/>
            </w:pPr>
            <w:r>
              <w:t>10/07/2006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405</w:t>
            </w:r>
          </w:p>
        </w:tc>
        <w:tc>
          <w:tcPr>
            <w:tcW w:w="2333" w:type="dxa"/>
            <w:shd w:val="clear" w:color="auto" w:fill="auto"/>
          </w:tcPr>
          <w:p w:rsidR="006D2D1A" w:rsidRDefault="006D2D1A" w:rsidP="009901AD">
            <w:pPr>
              <w:pStyle w:val="AppendixTableText"/>
            </w:pPr>
            <w:r>
              <w:t>Southland Girls' High School</w:t>
            </w:r>
          </w:p>
        </w:tc>
        <w:tc>
          <w:tcPr>
            <w:tcW w:w="907" w:type="dxa"/>
            <w:shd w:val="clear" w:color="auto" w:fill="auto"/>
          </w:tcPr>
          <w:p w:rsidR="006D2D1A" w:rsidRDefault="006D2D1A" w:rsidP="009901AD">
            <w:pPr>
              <w:pStyle w:val="AppendixTableText"/>
            </w:pPr>
            <w:r>
              <w:t>10/07/2006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3512</w:t>
            </w:r>
          </w:p>
        </w:tc>
        <w:tc>
          <w:tcPr>
            <w:tcW w:w="2333" w:type="dxa"/>
            <w:shd w:val="clear" w:color="auto" w:fill="auto"/>
          </w:tcPr>
          <w:p w:rsidR="006D2D1A" w:rsidRDefault="006D2D1A" w:rsidP="009901AD">
            <w:pPr>
              <w:pStyle w:val="AppendixTableText"/>
            </w:pPr>
            <w:r>
              <w:t>Spreydon School</w:t>
            </w:r>
          </w:p>
        </w:tc>
        <w:tc>
          <w:tcPr>
            <w:tcW w:w="907" w:type="dxa"/>
            <w:shd w:val="clear" w:color="auto" w:fill="auto"/>
          </w:tcPr>
          <w:p w:rsidR="006D2D1A" w:rsidRDefault="006D2D1A" w:rsidP="009901AD">
            <w:pPr>
              <w:pStyle w:val="AppendixTableText"/>
            </w:pPr>
            <w:r>
              <w:t>19/02/2007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2996</w:t>
            </w:r>
          </w:p>
        </w:tc>
        <w:tc>
          <w:tcPr>
            <w:tcW w:w="2333" w:type="dxa"/>
            <w:shd w:val="clear" w:color="auto" w:fill="auto"/>
          </w:tcPr>
          <w:p w:rsidR="006D2D1A" w:rsidRDefault="006D2D1A" w:rsidP="009901AD">
            <w:pPr>
              <w:pStyle w:val="AppendixTableText"/>
            </w:pPr>
            <w:r>
              <w:t>Springlands School</w:t>
            </w:r>
          </w:p>
        </w:tc>
        <w:tc>
          <w:tcPr>
            <w:tcW w:w="907" w:type="dxa"/>
            <w:shd w:val="clear" w:color="auto" w:fill="auto"/>
          </w:tcPr>
          <w:p w:rsidR="006D2D1A" w:rsidRDefault="006D2D1A" w:rsidP="009901AD">
            <w:pPr>
              <w:pStyle w:val="AppendixTableText"/>
            </w:pPr>
            <w:r>
              <w:t>12/06/2007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3516</w:t>
            </w:r>
          </w:p>
        </w:tc>
        <w:tc>
          <w:tcPr>
            <w:tcW w:w="2333" w:type="dxa"/>
            <w:shd w:val="clear" w:color="auto" w:fill="auto"/>
          </w:tcPr>
          <w:p w:rsidR="006D2D1A" w:rsidRDefault="006D2D1A" w:rsidP="009901AD">
            <w:pPr>
              <w:pStyle w:val="AppendixTableText"/>
            </w:pPr>
            <w:r>
              <w:t>Springston School</w:t>
            </w:r>
          </w:p>
        </w:tc>
        <w:tc>
          <w:tcPr>
            <w:tcW w:w="907" w:type="dxa"/>
            <w:shd w:val="clear" w:color="auto" w:fill="auto"/>
          </w:tcPr>
          <w:p w:rsidR="006D2D1A" w:rsidRDefault="006D2D1A" w:rsidP="009901AD">
            <w:pPr>
              <w:pStyle w:val="AppendixTableText"/>
            </w:pPr>
            <w:r>
              <w:t>31/03/2006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3517</w:t>
            </w:r>
          </w:p>
        </w:tc>
        <w:tc>
          <w:tcPr>
            <w:tcW w:w="2333" w:type="dxa"/>
            <w:shd w:val="clear" w:color="auto" w:fill="auto"/>
          </w:tcPr>
          <w:p w:rsidR="006D2D1A" w:rsidRDefault="006D2D1A" w:rsidP="009901AD">
            <w:pPr>
              <w:pStyle w:val="AppendixTableText"/>
            </w:pPr>
            <w:r>
              <w:t>St Albans Catholic School (Christchurch)</w:t>
            </w:r>
          </w:p>
        </w:tc>
        <w:tc>
          <w:tcPr>
            <w:tcW w:w="907" w:type="dxa"/>
            <w:shd w:val="clear" w:color="auto" w:fill="auto"/>
          </w:tcPr>
          <w:p w:rsidR="006D2D1A" w:rsidRDefault="006D2D1A" w:rsidP="009901AD">
            <w:pPr>
              <w:pStyle w:val="AppendixTableText"/>
            </w:pPr>
            <w:r>
              <w:t>6/07/2006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3518</w:t>
            </w:r>
          </w:p>
        </w:tc>
        <w:tc>
          <w:tcPr>
            <w:tcW w:w="2333" w:type="dxa"/>
            <w:shd w:val="clear" w:color="auto" w:fill="auto"/>
          </w:tcPr>
          <w:p w:rsidR="006D2D1A" w:rsidRDefault="006D2D1A" w:rsidP="009901AD">
            <w:pPr>
              <w:pStyle w:val="AppendixTableText"/>
            </w:pPr>
            <w:r>
              <w:t>St Albans School</w:t>
            </w:r>
          </w:p>
        </w:tc>
        <w:tc>
          <w:tcPr>
            <w:tcW w:w="907" w:type="dxa"/>
            <w:shd w:val="clear" w:color="auto" w:fill="auto"/>
          </w:tcPr>
          <w:p w:rsidR="006D2D1A" w:rsidRDefault="006D2D1A" w:rsidP="009901AD">
            <w:pPr>
              <w:pStyle w:val="AppendixTableText"/>
            </w:pPr>
            <w:r>
              <w:t>12/12/2003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315</w:t>
            </w:r>
          </w:p>
        </w:tc>
        <w:tc>
          <w:tcPr>
            <w:tcW w:w="2333" w:type="dxa"/>
            <w:shd w:val="clear" w:color="auto" w:fill="auto"/>
          </w:tcPr>
          <w:p w:rsidR="006D2D1A" w:rsidRDefault="006D2D1A" w:rsidP="009901AD">
            <w:pPr>
              <w:pStyle w:val="AppendixTableText"/>
            </w:pPr>
            <w:r>
              <w:t>St Bedes College</w:t>
            </w:r>
          </w:p>
        </w:tc>
        <w:tc>
          <w:tcPr>
            <w:tcW w:w="907" w:type="dxa"/>
            <w:shd w:val="clear" w:color="auto" w:fill="auto"/>
          </w:tcPr>
          <w:p w:rsidR="006D2D1A" w:rsidRDefault="006D2D1A" w:rsidP="009901AD">
            <w:pPr>
              <w:pStyle w:val="AppendixTableText"/>
            </w:pPr>
            <w:r>
              <w:t>12/04/2011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3521</w:t>
            </w:r>
          </w:p>
        </w:tc>
        <w:tc>
          <w:tcPr>
            <w:tcW w:w="2333" w:type="dxa"/>
            <w:shd w:val="clear" w:color="auto" w:fill="auto"/>
          </w:tcPr>
          <w:p w:rsidR="006D2D1A" w:rsidRDefault="006D2D1A" w:rsidP="009901AD">
            <w:pPr>
              <w:pStyle w:val="AppendixTableText"/>
            </w:pPr>
            <w:r>
              <w:t>St Bernadette's School (Hornby)</w:t>
            </w:r>
          </w:p>
        </w:tc>
        <w:tc>
          <w:tcPr>
            <w:tcW w:w="907" w:type="dxa"/>
            <w:shd w:val="clear" w:color="auto" w:fill="auto"/>
          </w:tcPr>
          <w:p w:rsidR="006D2D1A" w:rsidRDefault="006D2D1A" w:rsidP="009901AD">
            <w:pPr>
              <w:pStyle w:val="AppendixTableText"/>
            </w:pPr>
            <w:r>
              <w:t>8/08/2006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3835</w:t>
            </w:r>
          </w:p>
        </w:tc>
        <w:tc>
          <w:tcPr>
            <w:tcW w:w="2333" w:type="dxa"/>
            <w:shd w:val="clear" w:color="auto" w:fill="auto"/>
          </w:tcPr>
          <w:p w:rsidR="006D2D1A" w:rsidRDefault="006D2D1A" w:rsidP="009901AD">
            <w:pPr>
              <w:pStyle w:val="AppendixTableText"/>
            </w:pPr>
            <w:r>
              <w:t>St Clair School</w:t>
            </w:r>
          </w:p>
        </w:tc>
        <w:tc>
          <w:tcPr>
            <w:tcW w:w="907" w:type="dxa"/>
            <w:shd w:val="clear" w:color="auto" w:fill="auto"/>
          </w:tcPr>
          <w:p w:rsidR="006D2D1A" w:rsidRDefault="006D2D1A" w:rsidP="009901AD">
            <w:pPr>
              <w:pStyle w:val="AppendixTableText"/>
            </w:pPr>
            <w:r>
              <w:t>2/12/1999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47</w:t>
            </w:r>
          </w:p>
        </w:tc>
        <w:tc>
          <w:tcPr>
            <w:tcW w:w="2333" w:type="dxa"/>
            <w:shd w:val="clear" w:color="auto" w:fill="auto"/>
          </w:tcPr>
          <w:p w:rsidR="006D2D1A" w:rsidRDefault="006D2D1A" w:rsidP="009901AD">
            <w:pPr>
              <w:pStyle w:val="AppendixTableText"/>
            </w:pPr>
            <w:r>
              <w:t>St Dominic's College (Henderson)</w:t>
            </w:r>
          </w:p>
        </w:tc>
        <w:tc>
          <w:tcPr>
            <w:tcW w:w="907" w:type="dxa"/>
            <w:shd w:val="clear" w:color="auto" w:fill="auto"/>
          </w:tcPr>
          <w:p w:rsidR="006D2D1A" w:rsidRDefault="006D2D1A" w:rsidP="009901AD">
            <w:pPr>
              <w:pStyle w:val="AppendixTableText"/>
            </w:pPr>
            <w:r>
              <w:t>1/08/2006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1489</w:t>
            </w:r>
          </w:p>
        </w:tc>
        <w:tc>
          <w:tcPr>
            <w:tcW w:w="2333" w:type="dxa"/>
            <w:shd w:val="clear" w:color="auto" w:fill="auto"/>
          </w:tcPr>
          <w:p w:rsidR="006D2D1A" w:rsidRDefault="006D2D1A" w:rsidP="009901AD">
            <w:pPr>
              <w:pStyle w:val="AppendixTableText"/>
            </w:pPr>
            <w:r>
              <w:t>St Heliers School</w:t>
            </w:r>
          </w:p>
        </w:tc>
        <w:tc>
          <w:tcPr>
            <w:tcW w:w="907" w:type="dxa"/>
            <w:shd w:val="clear" w:color="auto" w:fill="auto"/>
          </w:tcPr>
          <w:p w:rsidR="006D2D1A" w:rsidRDefault="006D2D1A" w:rsidP="009901AD">
            <w:pPr>
              <w:pStyle w:val="AppendixTableText"/>
            </w:pPr>
            <w:r>
              <w:t>29/11/1999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380</w:t>
            </w:r>
          </w:p>
        </w:tc>
        <w:tc>
          <w:tcPr>
            <w:tcW w:w="2333" w:type="dxa"/>
            <w:shd w:val="clear" w:color="auto" w:fill="auto"/>
          </w:tcPr>
          <w:p w:rsidR="006D2D1A" w:rsidRDefault="006D2D1A" w:rsidP="009901AD">
            <w:pPr>
              <w:pStyle w:val="AppendixTableText"/>
            </w:pPr>
            <w:r>
              <w:t>St Hildas Collegiate</w:t>
            </w:r>
          </w:p>
        </w:tc>
        <w:tc>
          <w:tcPr>
            <w:tcW w:w="907" w:type="dxa"/>
            <w:shd w:val="clear" w:color="auto" w:fill="auto"/>
          </w:tcPr>
          <w:p w:rsidR="006D2D1A" w:rsidRDefault="006D2D1A" w:rsidP="009901AD">
            <w:pPr>
              <w:pStyle w:val="AppendixTableText"/>
            </w:pPr>
            <w:r>
              <w:t>4/08/2004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1490</w:t>
            </w:r>
          </w:p>
        </w:tc>
        <w:tc>
          <w:tcPr>
            <w:tcW w:w="2333" w:type="dxa"/>
            <w:shd w:val="clear" w:color="auto" w:fill="auto"/>
          </w:tcPr>
          <w:p w:rsidR="006D2D1A" w:rsidRDefault="006D2D1A" w:rsidP="009901AD">
            <w:pPr>
              <w:pStyle w:val="AppendixTableText"/>
            </w:pPr>
            <w:r>
              <w:t>St Ignatius Catholic School (St Heliers)</w:t>
            </w:r>
          </w:p>
        </w:tc>
        <w:tc>
          <w:tcPr>
            <w:tcW w:w="907" w:type="dxa"/>
            <w:shd w:val="clear" w:color="auto" w:fill="auto"/>
          </w:tcPr>
          <w:p w:rsidR="006D2D1A" w:rsidRDefault="006D2D1A" w:rsidP="009901AD">
            <w:pPr>
              <w:pStyle w:val="AppendixTableText"/>
            </w:pPr>
            <w:r>
              <w:t>13/09/2006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226</w:t>
            </w:r>
          </w:p>
        </w:tc>
        <w:tc>
          <w:tcPr>
            <w:tcW w:w="2333" w:type="dxa"/>
            <w:shd w:val="clear" w:color="auto" w:fill="auto"/>
          </w:tcPr>
          <w:p w:rsidR="006D2D1A" w:rsidRDefault="006D2D1A" w:rsidP="009901AD">
            <w:pPr>
              <w:pStyle w:val="AppendixTableText"/>
            </w:pPr>
            <w:r>
              <w:t>St John's College (Hastings)</w:t>
            </w:r>
          </w:p>
        </w:tc>
        <w:tc>
          <w:tcPr>
            <w:tcW w:w="907" w:type="dxa"/>
            <w:shd w:val="clear" w:color="auto" w:fill="auto"/>
          </w:tcPr>
          <w:p w:rsidR="006D2D1A" w:rsidRDefault="006D2D1A" w:rsidP="009901AD">
            <w:pPr>
              <w:pStyle w:val="AppendixTableText"/>
            </w:pPr>
            <w:r>
              <w:t>24/08/2006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4131</w:t>
            </w:r>
          </w:p>
        </w:tc>
        <w:tc>
          <w:tcPr>
            <w:tcW w:w="2333" w:type="dxa"/>
            <w:shd w:val="clear" w:color="auto" w:fill="auto"/>
          </w:tcPr>
          <w:p w:rsidR="006D2D1A" w:rsidRDefault="006D2D1A" w:rsidP="009901AD">
            <w:pPr>
              <w:pStyle w:val="AppendixTableText"/>
            </w:pPr>
            <w:r>
              <w:t>St John's Girls' School (Invercargill)</w:t>
            </w:r>
          </w:p>
        </w:tc>
        <w:tc>
          <w:tcPr>
            <w:tcW w:w="907" w:type="dxa"/>
            <w:shd w:val="clear" w:color="auto" w:fill="auto"/>
          </w:tcPr>
          <w:p w:rsidR="006D2D1A" w:rsidRDefault="006D2D1A" w:rsidP="009901AD">
            <w:pPr>
              <w:pStyle w:val="AppendixTableText"/>
            </w:pPr>
            <w:r>
              <w:t>21/03/2003</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2450</w:t>
            </w:r>
          </w:p>
        </w:tc>
        <w:tc>
          <w:tcPr>
            <w:tcW w:w="2333" w:type="dxa"/>
            <w:shd w:val="clear" w:color="auto" w:fill="auto"/>
          </w:tcPr>
          <w:p w:rsidR="006D2D1A" w:rsidRDefault="006D2D1A" w:rsidP="009901AD">
            <w:pPr>
              <w:pStyle w:val="AppendixTableText"/>
            </w:pPr>
            <w:r>
              <w:t>St John's Hill School</w:t>
            </w:r>
          </w:p>
        </w:tc>
        <w:tc>
          <w:tcPr>
            <w:tcW w:w="907" w:type="dxa"/>
            <w:shd w:val="clear" w:color="auto" w:fill="auto"/>
          </w:tcPr>
          <w:p w:rsidR="006D2D1A" w:rsidRDefault="006D2D1A" w:rsidP="009901AD">
            <w:pPr>
              <w:pStyle w:val="AppendixTableText"/>
            </w:pPr>
            <w:r>
              <w:t>3/09/2001</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222</w:t>
            </w:r>
          </w:p>
        </w:tc>
        <w:tc>
          <w:tcPr>
            <w:tcW w:w="2333" w:type="dxa"/>
            <w:shd w:val="clear" w:color="auto" w:fill="auto"/>
          </w:tcPr>
          <w:p w:rsidR="006D2D1A" w:rsidRDefault="006D2D1A" w:rsidP="009901AD">
            <w:pPr>
              <w:pStyle w:val="AppendixTableText"/>
            </w:pPr>
            <w:r>
              <w:t>St Joseph's Maori Girls' College</w:t>
            </w:r>
          </w:p>
        </w:tc>
        <w:tc>
          <w:tcPr>
            <w:tcW w:w="907" w:type="dxa"/>
            <w:shd w:val="clear" w:color="auto" w:fill="auto"/>
          </w:tcPr>
          <w:p w:rsidR="006D2D1A" w:rsidRDefault="006D2D1A" w:rsidP="009901AD">
            <w:pPr>
              <w:pStyle w:val="AppendixTableText"/>
            </w:pPr>
            <w:r>
              <w:t>5/12/2004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3530</w:t>
            </w:r>
          </w:p>
        </w:tc>
        <w:tc>
          <w:tcPr>
            <w:tcW w:w="2333" w:type="dxa"/>
            <w:shd w:val="clear" w:color="auto" w:fill="auto"/>
          </w:tcPr>
          <w:p w:rsidR="006D2D1A" w:rsidRDefault="006D2D1A" w:rsidP="009901AD">
            <w:pPr>
              <w:pStyle w:val="AppendixTableText"/>
            </w:pPr>
            <w:r>
              <w:t>St Joseph's School (Kaikoura)</w:t>
            </w:r>
          </w:p>
        </w:tc>
        <w:tc>
          <w:tcPr>
            <w:tcW w:w="907" w:type="dxa"/>
            <w:shd w:val="clear" w:color="auto" w:fill="auto"/>
          </w:tcPr>
          <w:p w:rsidR="006D2D1A" w:rsidRDefault="006D2D1A" w:rsidP="009901AD">
            <w:pPr>
              <w:pStyle w:val="AppendixTableText"/>
            </w:pPr>
            <w:r>
              <w:t>15/12/2006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3531</w:t>
            </w:r>
          </w:p>
        </w:tc>
        <w:tc>
          <w:tcPr>
            <w:tcW w:w="2333" w:type="dxa"/>
            <w:shd w:val="clear" w:color="auto" w:fill="auto"/>
          </w:tcPr>
          <w:p w:rsidR="006D2D1A" w:rsidRDefault="006D2D1A" w:rsidP="009901AD">
            <w:pPr>
              <w:pStyle w:val="AppendixTableText"/>
            </w:pPr>
            <w:r>
              <w:t>St Joseph's School (Papanui)</w:t>
            </w:r>
          </w:p>
        </w:tc>
        <w:tc>
          <w:tcPr>
            <w:tcW w:w="907" w:type="dxa"/>
            <w:shd w:val="clear" w:color="auto" w:fill="auto"/>
          </w:tcPr>
          <w:p w:rsidR="006D2D1A" w:rsidRDefault="006D2D1A" w:rsidP="009901AD">
            <w:pPr>
              <w:pStyle w:val="AppendixTableText"/>
            </w:pPr>
            <w:r>
              <w:t>14/12/2004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4016</w:t>
            </w:r>
          </w:p>
        </w:tc>
        <w:tc>
          <w:tcPr>
            <w:tcW w:w="2333" w:type="dxa"/>
            <w:shd w:val="clear" w:color="auto" w:fill="auto"/>
          </w:tcPr>
          <w:p w:rsidR="006D2D1A" w:rsidRDefault="006D2D1A" w:rsidP="009901AD">
            <w:pPr>
              <w:pStyle w:val="AppendixTableText"/>
            </w:pPr>
            <w:r>
              <w:t>St Joseph's School (Queenstown)</w:t>
            </w:r>
          </w:p>
        </w:tc>
        <w:tc>
          <w:tcPr>
            <w:tcW w:w="907" w:type="dxa"/>
            <w:shd w:val="clear" w:color="auto" w:fill="auto"/>
          </w:tcPr>
          <w:p w:rsidR="006D2D1A" w:rsidRDefault="006D2D1A" w:rsidP="009901AD">
            <w:pPr>
              <w:pStyle w:val="AppendixTableText"/>
            </w:pPr>
            <w:r>
              <w:t>21/10/2002</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2678</w:t>
            </w:r>
          </w:p>
        </w:tc>
        <w:tc>
          <w:tcPr>
            <w:tcW w:w="2333" w:type="dxa"/>
            <w:shd w:val="clear" w:color="auto" w:fill="auto"/>
          </w:tcPr>
          <w:p w:rsidR="006D2D1A" w:rsidRDefault="006D2D1A" w:rsidP="009901AD">
            <w:pPr>
              <w:pStyle w:val="AppendixTableText"/>
            </w:pPr>
            <w:r>
              <w:t>St Joseph's School (Waipukurau)</w:t>
            </w:r>
          </w:p>
        </w:tc>
        <w:tc>
          <w:tcPr>
            <w:tcW w:w="907" w:type="dxa"/>
            <w:shd w:val="clear" w:color="auto" w:fill="auto"/>
          </w:tcPr>
          <w:p w:rsidR="006D2D1A" w:rsidRDefault="006D2D1A" w:rsidP="009901AD">
            <w:pPr>
              <w:pStyle w:val="AppendixTableText"/>
            </w:pPr>
            <w:r>
              <w:t>7/07/2008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1499</w:t>
            </w:r>
          </w:p>
        </w:tc>
        <w:tc>
          <w:tcPr>
            <w:tcW w:w="2333" w:type="dxa"/>
            <w:shd w:val="clear" w:color="auto" w:fill="auto"/>
          </w:tcPr>
          <w:p w:rsidR="006D2D1A" w:rsidRDefault="006D2D1A" w:rsidP="009901AD">
            <w:pPr>
              <w:pStyle w:val="AppendixTableText"/>
            </w:pPr>
            <w:r>
              <w:t>St Leonards Road School</w:t>
            </w:r>
          </w:p>
        </w:tc>
        <w:tc>
          <w:tcPr>
            <w:tcW w:w="907" w:type="dxa"/>
            <w:shd w:val="clear" w:color="auto" w:fill="auto"/>
          </w:tcPr>
          <w:p w:rsidR="006D2D1A" w:rsidRDefault="006D2D1A" w:rsidP="009901AD">
            <w:pPr>
              <w:pStyle w:val="AppendixTableText"/>
            </w:pPr>
            <w:r>
              <w:t>9/12/1999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3534</w:t>
            </w:r>
          </w:p>
        </w:tc>
        <w:tc>
          <w:tcPr>
            <w:tcW w:w="2333" w:type="dxa"/>
            <w:shd w:val="clear" w:color="auto" w:fill="auto"/>
          </w:tcPr>
          <w:p w:rsidR="006D2D1A" w:rsidRDefault="006D2D1A" w:rsidP="009901AD">
            <w:pPr>
              <w:pStyle w:val="AppendixTableText"/>
            </w:pPr>
            <w:r>
              <w:t>St Martin's School</w:t>
            </w:r>
          </w:p>
        </w:tc>
        <w:tc>
          <w:tcPr>
            <w:tcW w:w="907" w:type="dxa"/>
            <w:shd w:val="clear" w:color="auto" w:fill="auto"/>
          </w:tcPr>
          <w:p w:rsidR="006D2D1A" w:rsidRDefault="006D2D1A" w:rsidP="009901AD">
            <w:pPr>
              <w:pStyle w:val="AppendixTableText"/>
            </w:pPr>
            <w:r>
              <w:t>18/11/1999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1958</w:t>
            </w:r>
          </w:p>
        </w:tc>
        <w:tc>
          <w:tcPr>
            <w:tcW w:w="2333" w:type="dxa"/>
            <w:shd w:val="clear" w:color="auto" w:fill="auto"/>
          </w:tcPr>
          <w:p w:rsidR="006D2D1A" w:rsidRDefault="006D2D1A" w:rsidP="009901AD">
            <w:pPr>
              <w:pStyle w:val="AppendixTableText"/>
            </w:pPr>
            <w:r>
              <w:t>St Mary's Catholic School (Rotorua)</w:t>
            </w:r>
          </w:p>
        </w:tc>
        <w:tc>
          <w:tcPr>
            <w:tcW w:w="907" w:type="dxa"/>
            <w:shd w:val="clear" w:color="auto" w:fill="auto"/>
          </w:tcPr>
          <w:p w:rsidR="006D2D1A" w:rsidRDefault="006D2D1A" w:rsidP="009901AD">
            <w:pPr>
              <w:pStyle w:val="AppendixTableText"/>
            </w:pPr>
            <w:r>
              <w:t>12/12/2007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265</w:t>
            </w:r>
          </w:p>
        </w:tc>
        <w:tc>
          <w:tcPr>
            <w:tcW w:w="2333" w:type="dxa"/>
            <w:shd w:val="clear" w:color="auto" w:fill="auto"/>
          </w:tcPr>
          <w:p w:rsidR="006D2D1A" w:rsidRDefault="006D2D1A" w:rsidP="009901AD">
            <w:pPr>
              <w:pStyle w:val="AppendixTableText"/>
            </w:pPr>
            <w:r>
              <w:t>St Oran's College</w:t>
            </w:r>
          </w:p>
        </w:tc>
        <w:tc>
          <w:tcPr>
            <w:tcW w:w="907" w:type="dxa"/>
            <w:shd w:val="clear" w:color="auto" w:fill="auto"/>
          </w:tcPr>
          <w:p w:rsidR="006D2D1A" w:rsidRDefault="006D2D1A" w:rsidP="009901AD">
            <w:pPr>
              <w:pStyle w:val="AppendixTableText"/>
            </w:pPr>
            <w:r>
              <w:t>1/01/2007</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252</w:t>
            </w:r>
          </w:p>
        </w:tc>
        <w:tc>
          <w:tcPr>
            <w:tcW w:w="2333" w:type="dxa"/>
            <w:shd w:val="clear" w:color="auto" w:fill="auto"/>
          </w:tcPr>
          <w:p w:rsidR="006D2D1A" w:rsidRDefault="006D2D1A" w:rsidP="009901AD">
            <w:pPr>
              <w:pStyle w:val="AppendixTableText"/>
            </w:pPr>
            <w:r>
              <w:t>St Patrick's College (Silverstream)</w:t>
            </w:r>
          </w:p>
        </w:tc>
        <w:tc>
          <w:tcPr>
            <w:tcW w:w="907" w:type="dxa"/>
            <w:shd w:val="clear" w:color="auto" w:fill="auto"/>
          </w:tcPr>
          <w:p w:rsidR="006D2D1A" w:rsidRDefault="006D2D1A" w:rsidP="009901AD">
            <w:pPr>
              <w:pStyle w:val="AppendixTableText"/>
            </w:pPr>
            <w:r>
              <w:t>30/08/2006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3537</w:t>
            </w:r>
          </w:p>
        </w:tc>
        <w:tc>
          <w:tcPr>
            <w:tcW w:w="2333" w:type="dxa"/>
            <w:shd w:val="clear" w:color="auto" w:fill="auto"/>
          </w:tcPr>
          <w:p w:rsidR="006D2D1A" w:rsidRDefault="006D2D1A" w:rsidP="009901AD">
            <w:pPr>
              <w:pStyle w:val="AppendixTableText"/>
            </w:pPr>
            <w:r>
              <w:t>St Patrick's School (Bryndwr)</w:t>
            </w:r>
          </w:p>
        </w:tc>
        <w:tc>
          <w:tcPr>
            <w:tcW w:w="907" w:type="dxa"/>
            <w:shd w:val="clear" w:color="auto" w:fill="auto"/>
          </w:tcPr>
          <w:p w:rsidR="006D2D1A" w:rsidRDefault="006D2D1A" w:rsidP="009901AD">
            <w:pPr>
              <w:pStyle w:val="AppendixTableText"/>
            </w:pPr>
            <w:r>
              <w:t>15/06/2004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3541</w:t>
            </w:r>
          </w:p>
        </w:tc>
        <w:tc>
          <w:tcPr>
            <w:tcW w:w="2333" w:type="dxa"/>
            <w:shd w:val="clear" w:color="auto" w:fill="auto"/>
          </w:tcPr>
          <w:p w:rsidR="006D2D1A" w:rsidRDefault="006D2D1A" w:rsidP="009901AD">
            <w:pPr>
              <w:pStyle w:val="AppendixTableText"/>
            </w:pPr>
            <w:r>
              <w:t>St Paul's School (Dallington)</w:t>
            </w:r>
          </w:p>
        </w:tc>
        <w:tc>
          <w:tcPr>
            <w:tcW w:w="907" w:type="dxa"/>
            <w:shd w:val="clear" w:color="auto" w:fill="auto"/>
          </w:tcPr>
          <w:p w:rsidR="006D2D1A" w:rsidRDefault="006D2D1A" w:rsidP="009901AD">
            <w:pPr>
              <w:pStyle w:val="AppendixTableText"/>
            </w:pPr>
            <w:r>
              <w:t>16/05/2004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1643</w:t>
            </w:r>
          </w:p>
        </w:tc>
        <w:tc>
          <w:tcPr>
            <w:tcW w:w="2333" w:type="dxa"/>
            <w:shd w:val="clear" w:color="auto" w:fill="auto"/>
          </w:tcPr>
          <w:p w:rsidR="006D2D1A" w:rsidRDefault="006D2D1A" w:rsidP="009901AD">
            <w:pPr>
              <w:pStyle w:val="AppendixTableText"/>
            </w:pPr>
            <w:r>
              <w:t>St Paul's School (Massey)</w:t>
            </w:r>
          </w:p>
        </w:tc>
        <w:tc>
          <w:tcPr>
            <w:tcW w:w="907" w:type="dxa"/>
            <w:shd w:val="clear" w:color="auto" w:fill="auto"/>
          </w:tcPr>
          <w:p w:rsidR="006D2D1A" w:rsidRDefault="006D2D1A" w:rsidP="009901AD">
            <w:pPr>
              <w:pStyle w:val="AppendixTableText"/>
            </w:pPr>
            <w:r>
              <w:t>6/07/2006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1627</w:t>
            </w:r>
          </w:p>
        </w:tc>
        <w:tc>
          <w:tcPr>
            <w:tcW w:w="2333" w:type="dxa"/>
            <w:shd w:val="clear" w:color="auto" w:fill="auto"/>
          </w:tcPr>
          <w:p w:rsidR="006D2D1A" w:rsidRDefault="006D2D1A" w:rsidP="009901AD">
            <w:pPr>
              <w:pStyle w:val="AppendixTableText"/>
            </w:pPr>
            <w:r>
              <w:t>St Paul's School (Richmond)</w:t>
            </w:r>
          </w:p>
        </w:tc>
        <w:tc>
          <w:tcPr>
            <w:tcW w:w="907" w:type="dxa"/>
            <w:shd w:val="clear" w:color="auto" w:fill="auto"/>
          </w:tcPr>
          <w:p w:rsidR="006D2D1A" w:rsidRDefault="006D2D1A" w:rsidP="009901AD">
            <w:pPr>
              <w:pStyle w:val="AppendixTableText"/>
            </w:pPr>
            <w:r>
              <w:t>18/02/2003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1510</w:t>
            </w:r>
          </w:p>
        </w:tc>
        <w:tc>
          <w:tcPr>
            <w:tcW w:w="2333" w:type="dxa"/>
            <w:shd w:val="clear" w:color="auto" w:fill="auto"/>
          </w:tcPr>
          <w:p w:rsidR="006D2D1A" w:rsidRDefault="006D2D1A" w:rsidP="009901AD">
            <w:pPr>
              <w:pStyle w:val="AppendixTableText"/>
            </w:pPr>
            <w:r>
              <w:t>St Thomas School (Auckland)</w:t>
            </w:r>
          </w:p>
        </w:tc>
        <w:tc>
          <w:tcPr>
            <w:tcW w:w="907" w:type="dxa"/>
            <w:shd w:val="clear" w:color="auto" w:fill="auto"/>
          </w:tcPr>
          <w:p w:rsidR="006D2D1A" w:rsidRDefault="006D2D1A" w:rsidP="009901AD">
            <w:pPr>
              <w:pStyle w:val="AppendixTableText"/>
            </w:pPr>
            <w:r>
              <w:t>19/10/1999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331</w:t>
            </w:r>
          </w:p>
        </w:tc>
        <w:tc>
          <w:tcPr>
            <w:tcW w:w="2333" w:type="dxa"/>
            <w:shd w:val="clear" w:color="auto" w:fill="auto"/>
          </w:tcPr>
          <w:p w:rsidR="006D2D1A" w:rsidRDefault="006D2D1A" w:rsidP="009901AD">
            <w:pPr>
              <w:pStyle w:val="AppendixTableText"/>
            </w:pPr>
            <w:r>
              <w:t>St Thomas of Canterbury College</w:t>
            </w:r>
          </w:p>
        </w:tc>
        <w:tc>
          <w:tcPr>
            <w:tcW w:w="907" w:type="dxa"/>
            <w:shd w:val="clear" w:color="auto" w:fill="auto"/>
          </w:tcPr>
          <w:p w:rsidR="006D2D1A" w:rsidRDefault="006D2D1A" w:rsidP="009901AD">
            <w:pPr>
              <w:pStyle w:val="AppendixTableText"/>
            </w:pPr>
            <w:r>
              <w:t>2/12/2008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1511</w:t>
            </w:r>
          </w:p>
        </w:tc>
        <w:tc>
          <w:tcPr>
            <w:tcW w:w="2333" w:type="dxa"/>
            <w:shd w:val="clear" w:color="auto" w:fill="auto"/>
          </w:tcPr>
          <w:p w:rsidR="006D2D1A" w:rsidRDefault="006D2D1A" w:rsidP="009901AD">
            <w:pPr>
              <w:pStyle w:val="AppendixTableText"/>
            </w:pPr>
            <w:r>
              <w:t>Stanhope Road School</w:t>
            </w:r>
          </w:p>
        </w:tc>
        <w:tc>
          <w:tcPr>
            <w:tcW w:w="907" w:type="dxa"/>
            <w:shd w:val="clear" w:color="auto" w:fill="auto"/>
          </w:tcPr>
          <w:p w:rsidR="006D2D1A" w:rsidRDefault="006D2D1A" w:rsidP="009901AD">
            <w:pPr>
              <w:pStyle w:val="AppendixTableText"/>
            </w:pPr>
            <w:r>
              <w:t>18/08/2009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1512</w:t>
            </w:r>
          </w:p>
        </w:tc>
        <w:tc>
          <w:tcPr>
            <w:tcW w:w="2333" w:type="dxa"/>
            <w:shd w:val="clear" w:color="auto" w:fill="auto"/>
          </w:tcPr>
          <w:p w:rsidR="006D2D1A" w:rsidRDefault="006D2D1A" w:rsidP="009901AD">
            <w:pPr>
              <w:pStyle w:val="AppendixTableText"/>
            </w:pPr>
            <w:r>
              <w:t>Stanley Bay School</w:t>
            </w:r>
          </w:p>
        </w:tc>
        <w:tc>
          <w:tcPr>
            <w:tcW w:w="907" w:type="dxa"/>
            <w:shd w:val="clear" w:color="auto" w:fill="auto"/>
          </w:tcPr>
          <w:p w:rsidR="006D2D1A" w:rsidRDefault="006D2D1A" w:rsidP="009901AD">
            <w:pPr>
              <w:pStyle w:val="AppendixTableText"/>
            </w:pPr>
            <w:r>
              <w:t>15/02/2002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1514</w:t>
            </w:r>
          </w:p>
        </w:tc>
        <w:tc>
          <w:tcPr>
            <w:tcW w:w="2333" w:type="dxa"/>
            <w:shd w:val="clear" w:color="auto" w:fill="auto"/>
          </w:tcPr>
          <w:p w:rsidR="006D2D1A" w:rsidRDefault="006D2D1A" w:rsidP="009901AD">
            <w:pPr>
              <w:pStyle w:val="AppendixTableText"/>
            </w:pPr>
            <w:r>
              <w:t>Star of the Sea School (Howick)</w:t>
            </w:r>
          </w:p>
        </w:tc>
        <w:tc>
          <w:tcPr>
            <w:tcW w:w="907" w:type="dxa"/>
            <w:shd w:val="clear" w:color="auto" w:fill="auto"/>
          </w:tcPr>
          <w:p w:rsidR="006D2D1A" w:rsidRDefault="006D2D1A" w:rsidP="009901AD">
            <w:pPr>
              <w:pStyle w:val="AppendixTableText"/>
            </w:pPr>
            <w:r>
              <w:t>10/11/2006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1663</w:t>
            </w:r>
          </w:p>
        </w:tc>
        <w:tc>
          <w:tcPr>
            <w:tcW w:w="2333" w:type="dxa"/>
            <w:shd w:val="clear" w:color="auto" w:fill="auto"/>
          </w:tcPr>
          <w:p w:rsidR="006D2D1A" w:rsidRDefault="006D2D1A" w:rsidP="009901AD">
            <w:pPr>
              <w:pStyle w:val="AppendixTableText"/>
            </w:pPr>
            <w:r>
              <w:t>Stella Maris Primary School</w:t>
            </w:r>
          </w:p>
        </w:tc>
        <w:tc>
          <w:tcPr>
            <w:tcW w:w="907" w:type="dxa"/>
            <w:shd w:val="clear" w:color="auto" w:fill="auto"/>
          </w:tcPr>
          <w:p w:rsidR="006D2D1A" w:rsidRDefault="006D2D1A" w:rsidP="009901AD">
            <w:pPr>
              <w:pStyle w:val="AppendixTableText"/>
            </w:pPr>
            <w:r>
              <w:t>18/07/2008</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565</w:t>
            </w:r>
          </w:p>
        </w:tc>
        <w:tc>
          <w:tcPr>
            <w:tcW w:w="2333" w:type="dxa"/>
            <w:shd w:val="clear" w:color="auto" w:fill="auto"/>
          </w:tcPr>
          <w:p w:rsidR="006D2D1A" w:rsidRDefault="006D2D1A" w:rsidP="009901AD">
            <w:pPr>
              <w:pStyle w:val="AppendixTableText"/>
            </w:pPr>
            <w:r>
              <w:t>Stonefields School</w:t>
            </w:r>
          </w:p>
        </w:tc>
        <w:tc>
          <w:tcPr>
            <w:tcW w:w="907" w:type="dxa"/>
            <w:shd w:val="clear" w:color="auto" w:fill="auto"/>
          </w:tcPr>
          <w:p w:rsidR="006D2D1A" w:rsidRDefault="006D2D1A" w:rsidP="009901AD">
            <w:pPr>
              <w:pStyle w:val="AppendixTableText"/>
            </w:pPr>
            <w:r>
              <w:t>10/05/2010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6937</w:t>
            </w:r>
          </w:p>
        </w:tc>
        <w:tc>
          <w:tcPr>
            <w:tcW w:w="2333" w:type="dxa"/>
            <w:shd w:val="clear" w:color="auto" w:fill="auto"/>
          </w:tcPr>
          <w:p w:rsidR="006D2D1A" w:rsidRDefault="006D2D1A" w:rsidP="009901AD">
            <w:pPr>
              <w:pStyle w:val="AppendixTableText"/>
            </w:pPr>
            <w:r>
              <w:t>Summerland Primary</w:t>
            </w:r>
          </w:p>
        </w:tc>
        <w:tc>
          <w:tcPr>
            <w:tcW w:w="907" w:type="dxa"/>
            <w:shd w:val="clear" w:color="auto" w:fill="auto"/>
          </w:tcPr>
          <w:p w:rsidR="006D2D1A" w:rsidRDefault="006D2D1A" w:rsidP="009901AD">
            <w:pPr>
              <w:pStyle w:val="AppendixTableText"/>
            </w:pPr>
            <w:r>
              <w:t>8/10/2001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3546</w:t>
            </w:r>
          </w:p>
        </w:tc>
        <w:tc>
          <w:tcPr>
            <w:tcW w:w="2333" w:type="dxa"/>
            <w:shd w:val="clear" w:color="auto" w:fill="auto"/>
          </w:tcPr>
          <w:p w:rsidR="006D2D1A" w:rsidRDefault="006D2D1A" w:rsidP="009901AD">
            <w:pPr>
              <w:pStyle w:val="AppendixTableText"/>
            </w:pPr>
            <w:r>
              <w:t>Sumner School</w:t>
            </w:r>
          </w:p>
        </w:tc>
        <w:tc>
          <w:tcPr>
            <w:tcW w:w="907" w:type="dxa"/>
            <w:shd w:val="clear" w:color="auto" w:fill="auto"/>
          </w:tcPr>
          <w:p w:rsidR="006D2D1A" w:rsidRDefault="006D2D1A" w:rsidP="009901AD">
            <w:pPr>
              <w:pStyle w:val="AppendixTableText"/>
            </w:pPr>
            <w:r>
              <w:t>25/08/2006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1516</w:t>
            </w:r>
          </w:p>
        </w:tc>
        <w:tc>
          <w:tcPr>
            <w:tcW w:w="2333" w:type="dxa"/>
            <w:shd w:val="clear" w:color="auto" w:fill="auto"/>
          </w:tcPr>
          <w:p w:rsidR="006D2D1A" w:rsidRDefault="006D2D1A" w:rsidP="009901AD">
            <w:pPr>
              <w:pStyle w:val="AppendixTableText"/>
            </w:pPr>
            <w:r>
              <w:t>Sunnybrae Normal School</w:t>
            </w:r>
          </w:p>
        </w:tc>
        <w:tc>
          <w:tcPr>
            <w:tcW w:w="907" w:type="dxa"/>
            <w:shd w:val="clear" w:color="auto" w:fill="auto"/>
          </w:tcPr>
          <w:p w:rsidR="006D2D1A" w:rsidRDefault="006D2D1A" w:rsidP="009901AD">
            <w:pPr>
              <w:pStyle w:val="AppendixTableText"/>
            </w:pPr>
            <w:r>
              <w:t>19/10/1999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1515</w:t>
            </w:r>
          </w:p>
        </w:tc>
        <w:tc>
          <w:tcPr>
            <w:tcW w:w="2333" w:type="dxa"/>
            <w:shd w:val="clear" w:color="auto" w:fill="auto"/>
          </w:tcPr>
          <w:p w:rsidR="006D2D1A" w:rsidRDefault="006D2D1A" w:rsidP="009901AD">
            <w:pPr>
              <w:pStyle w:val="AppendixTableText"/>
            </w:pPr>
            <w:r>
              <w:t>Sunnyhills School</w:t>
            </w:r>
          </w:p>
        </w:tc>
        <w:tc>
          <w:tcPr>
            <w:tcW w:w="907" w:type="dxa"/>
            <w:shd w:val="clear" w:color="auto" w:fill="auto"/>
          </w:tcPr>
          <w:p w:rsidR="006D2D1A" w:rsidRDefault="006D2D1A" w:rsidP="009901AD">
            <w:pPr>
              <w:pStyle w:val="AppendixTableText"/>
            </w:pPr>
            <w:r>
              <w:t>6/10/1999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1518</w:t>
            </w:r>
          </w:p>
        </w:tc>
        <w:tc>
          <w:tcPr>
            <w:tcW w:w="2333" w:type="dxa"/>
            <w:shd w:val="clear" w:color="auto" w:fill="auto"/>
          </w:tcPr>
          <w:p w:rsidR="006D2D1A" w:rsidRDefault="006D2D1A" w:rsidP="009901AD">
            <w:pPr>
              <w:pStyle w:val="AppendixTableText"/>
            </w:pPr>
            <w:r>
              <w:t>Sunnynook School</w:t>
            </w:r>
          </w:p>
        </w:tc>
        <w:tc>
          <w:tcPr>
            <w:tcW w:w="907" w:type="dxa"/>
            <w:shd w:val="clear" w:color="auto" w:fill="auto"/>
          </w:tcPr>
          <w:p w:rsidR="006D2D1A" w:rsidRDefault="006D2D1A" w:rsidP="009901AD">
            <w:pPr>
              <w:pStyle w:val="AppendixTableText"/>
            </w:pPr>
            <w:r>
              <w:t>6/10/1999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1520</w:t>
            </w:r>
          </w:p>
        </w:tc>
        <w:tc>
          <w:tcPr>
            <w:tcW w:w="2333" w:type="dxa"/>
            <w:shd w:val="clear" w:color="auto" w:fill="auto"/>
          </w:tcPr>
          <w:p w:rsidR="006D2D1A" w:rsidRDefault="006D2D1A" w:rsidP="009901AD">
            <w:pPr>
              <w:pStyle w:val="AppendixTableText"/>
            </w:pPr>
            <w:r>
              <w:t>Sutton Park School</w:t>
            </w:r>
          </w:p>
        </w:tc>
        <w:tc>
          <w:tcPr>
            <w:tcW w:w="907" w:type="dxa"/>
            <w:shd w:val="clear" w:color="auto" w:fill="auto"/>
          </w:tcPr>
          <w:p w:rsidR="006D2D1A" w:rsidRDefault="006D2D1A" w:rsidP="009901AD">
            <w:pPr>
              <w:pStyle w:val="AppendixTableText"/>
            </w:pPr>
            <w:r>
              <w:t>3/05/2010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3547</w:t>
            </w:r>
          </w:p>
        </w:tc>
        <w:tc>
          <w:tcPr>
            <w:tcW w:w="2333" w:type="dxa"/>
            <w:shd w:val="clear" w:color="auto" w:fill="auto"/>
          </w:tcPr>
          <w:p w:rsidR="006D2D1A" w:rsidRDefault="006D2D1A" w:rsidP="009901AD">
            <w:pPr>
              <w:pStyle w:val="AppendixTableText"/>
            </w:pPr>
            <w:r>
              <w:t>Swannanoa School</w:t>
            </w:r>
          </w:p>
        </w:tc>
        <w:tc>
          <w:tcPr>
            <w:tcW w:w="907" w:type="dxa"/>
            <w:shd w:val="clear" w:color="auto" w:fill="auto"/>
          </w:tcPr>
          <w:p w:rsidR="006D2D1A" w:rsidRDefault="006D2D1A" w:rsidP="009901AD">
            <w:pPr>
              <w:pStyle w:val="AppendixTableText"/>
            </w:pPr>
            <w:r>
              <w:t>21/10/2004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6742</w:t>
            </w:r>
          </w:p>
        </w:tc>
        <w:tc>
          <w:tcPr>
            <w:tcW w:w="2333" w:type="dxa"/>
            <w:shd w:val="clear" w:color="auto" w:fill="auto"/>
          </w:tcPr>
          <w:p w:rsidR="006D2D1A" w:rsidRDefault="006D2D1A" w:rsidP="009901AD">
            <w:pPr>
              <w:pStyle w:val="AppendixTableText"/>
            </w:pPr>
            <w:r>
              <w:t>Tahatai Coast School</w:t>
            </w:r>
          </w:p>
        </w:tc>
        <w:tc>
          <w:tcPr>
            <w:tcW w:w="907" w:type="dxa"/>
            <w:shd w:val="clear" w:color="auto" w:fill="auto"/>
          </w:tcPr>
          <w:p w:rsidR="006D2D1A" w:rsidRDefault="006D2D1A" w:rsidP="009901AD">
            <w:pPr>
              <w:pStyle w:val="AppendixTableText"/>
            </w:pPr>
            <w:r>
              <w:t>26/11/1999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3839</w:t>
            </w:r>
          </w:p>
        </w:tc>
        <w:tc>
          <w:tcPr>
            <w:tcW w:w="2333" w:type="dxa"/>
            <w:shd w:val="clear" w:color="auto" w:fill="auto"/>
          </w:tcPr>
          <w:p w:rsidR="006D2D1A" w:rsidRDefault="006D2D1A" w:rsidP="009901AD">
            <w:pPr>
              <w:pStyle w:val="AppendixTableText"/>
            </w:pPr>
            <w:r>
              <w:t>Tahuna Normal Intermediate</w:t>
            </w:r>
          </w:p>
        </w:tc>
        <w:tc>
          <w:tcPr>
            <w:tcW w:w="907" w:type="dxa"/>
            <w:shd w:val="clear" w:color="auto" w:fill="auto"/>
          </w:tcPr>
          <w:p w:rsidR="006D2D1A" w:rsidRDefault="006D2D1A" w:rsidP="009901AD">
            <w:pPr>
              <w:pStyle w:val="AppendixTableText"/>
            </w:pPr>
            <w:r>
              <w:t>5/05/2004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3549</w:t>
            </w:r>
          </w:p>
        </w:tc>
        <w:tc>
          <w:tcPr>
            <w:tcW w:w="2333" w:type="dxa"/>
            <w:shd w:val="clear" w:color="auto" w:fill="auto"/>
          </w:tcPr>
          <w:p w:rsidR="006D2D1A" w:rsidRDefault="006D2D1A" w:rsidP="009901AD">
            <w:pPr>
              <w:pStyle w:val="AppendixTableText"/>
            </w:pPr>
            <w:r>
              <w:t>Tai Tapu School</w:t>
            </w:r>
          </w:p>
        </w:tc>
        <w:tc>
          <w:tcPr>
            <w:tcW w:w="907" w:type="dxa"/>
            <w:shd w:val="clear" w:color="auto" w:fill="auto"/>
          </w:tcPr>
          <w:p w:rsidR="006D2D1A" w:rsidRDefault="006D2D1A" w:rsidP="009901AD">
            <w:pPr>
              <w:pStyle w:val="AppendixTableText"/>
            </w:pPr>
            <w:r>
              <w:t>27/06/2005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495</w:t>
            </w:r>
          </w:p>
        </w:tc>
        <w:tc>
          <w:tcPr>
            <w:tcW w:w="2333" w:type="dxa"/>
            <w:shd w:val="clear" w:color="auto" w:fill="auto"/>
          </w:tcPr>
          <w:p w:rsidR="006D2D1A" w:rsidRDefault="006D2D1A" w:rsidP="009901AD">
            <w:pPr>
              <w:pStyle w:val="AppendixTableText"/>
            </w:pPr>
            <w:r>
              <w:t>Taieri College</w:t>
            </w:r>
          </w:p>
        </w:tc>
        <w:tc>
          <w:tcPr>
            <w:tcW w:w="907" w:type="dxa"/>
            <w:shd w:val="clear" w:color="auto" w:fill="auto"/>
          </w:tcPr>
          <w:p w:rsidR="006D2D1A" w:rsidRDefault="006D2D1A" w:rsidP="009901AD">
            <w:pPr>
              <w:pStyle w:val="AppendixTableText"/>
            </w:pPr>
            <w:r>
              <w:t>27/07/2006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231</w:t>
            </w:r>
          </w:p>
        </w:tc>
        <w:tc>
          <w:tcPr>
            <w:tcW w:w="2333" w:type="dxa"/>
            <w:shd w:val="clear" w:color="auto" w:fill="auto"/>
          </w:tcPr>
          <w:p w:rsidR="006D2D1A" w:rsidRDefault="006D2D1A" w:rsidP="009901AD">
            <w:pPr>
              <w:pStyle w:val="AppendixTableText"/>
            </w:pPr>
            <w:r>
              <w:t>Taikura Rudolf Steiner School</w:t>
            </w:r>
          </w:p>
        </w:tc>
        <w:tc>
          <w:tcPr>
            <w:tcW w:w="907" w:type="dxa"/>
            <w:shd w:val="clear" w:color="auto" w:fill="auto"/>
          </w:tcPr>
          <w:p w:rsidR="006D2D1A" w:rsidRDefault="006D2D1A" w:rsidP="009901AD">
            <w:pPr>
              <w:pStyle w:val="AppendixTableText"/>
            </w:pPr>
            <w:r>
              <w:t>9/03/2009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3841</w:t>
            </w:r>
          </w:p>
        </w:tc>
        <w:tc>
          <w:tcPr>
            <w:tcW w:w="2333" w:type="dxa"/>
            <w:shd w:val="clear" w:color="auto" w:fill="auto"/>
          </w:tcPr>
          <w:p w:rsidR="006D2D1A" w:rsidRDefault="006D2D1A" w:rsidP="009901AD">
            <w:pPr>
              <w:pStyle w:val="AppendixTableText"/>
            </w:pPr>
            <w:r>
              <w:t>Tainui School</w:t>
            </w:r>
          </w:p>
        </w:tc>
        <w:tc>
          <w:tcPr>
            <w:tcW w:w="907" w:type="dxa"/>
            <w:shd w:val="clear" w:color="auto" w:fill="auto"/>
          </w:tcPr>
          <w:p w:rsidR="006D2D1A" w:rsidRDefault="006D2D1A" w:rsidP="009901AD">
            <w:pPr>
              <w:pStyle w:val="AppendixTableText"/>
            </w:pPr>
            <w:r>
              <w:t>12/07/2005</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1523</w:t>
            </w:r>
          </w:p>
        </w:tc>
        <w:tc>
          <w:tcPr>
            <w:tcW w:w="2333" w:type="dxa"/>
            <w:shd w:val="clear" w:color="auto" w:fill="auto"/>
          </w:tcPr>
          <w:p w:rsidR="006D2D1A" w:rsidRDefault="006D2D1A" w:rsidP="009901AD">
            <w:pPr>
              <w:pStyle w:val="AppendixTableText"/>
            </w:pPr>
            <w:r>
              <w:t>Takanini School</w:t>
            </w:r>
          </w:p>
        </w:tc>
        <w:tc>
          <w:tcPr>
            <w:tcW w:w="907" w:type="dxa"/>
            <w:shd w:val="clear" w:color="auto" w:fill="auto"/>
          </w:tcPr>
          <w:p w:rsidR="006D2D1A" w:rsidRDefault="006D2D1A" w:rsidP="009901AD">
            <w:pPr>
              <w:pStyle w:val="AppendixTableText"/>
            </w:pPr>
            <w:r>
              <w:t>18/06/2007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36</w:t>
            </w:r>
          </w:p>
        </w:tc>
        <w:tc>
          <w:tcPr>
            <w:tcW w:w="2333" w:type="dxa"/>
            <w:shd w:val="clear" w:color="auto" w:fill="auto"/>
          </w:tcPr>
          <w:p w:rsidR="006D2D1A" w:rsidRDefault="006D2D1A" w:rsidP="009901AD">
            <w:pPr>
              <w:pStyle w:val="AppendixTableText"/>
            </w:pPr>
            <w:r>
              <w:t>Takapuna Grammar School</w:t>
            </w:r>
          </w:p>
        </w:tc>
        <w:tc>
          <w:tcPr>
            <w:tcW w:w="907" w:type="dxa"/>
            <w:shd w:val="clear" w:color="auto" w:fill="auto"/>
          </w:tcPr>
          <w:p w:rsidR="006D2D1A" w:rsidRDefault="006D2D1A" w:rsidP="009901AD">
            <w:pPr>
              <w:pStyle w:val="AppendixTableText"/>
            </w:pPr>
            <w:r>
              <w:t>13/10/1999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1524</w:t>
            </w:r>
          </w:p>
        </w:tc>
        <w:tc>
          <w:tcPr>
            <w:tcW w:w="2333" w:type="dxa"/>
            <w:shd w:val="clear" w:color="auto" w:fill="auto"/>
          </w:tcPr>
          <w:p w:rsidR="006D2D1A" w:rsidRDefault="006D2D1A" w:rsidP="009901AD">
            <w:pPr>
              <w:pStyle w:val="AppendixTableText"/>
            </w:pPr>
            <w:r>
              <w:t>Takapuna Normal Intermediate</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1976</w:t>
            </w:r>
          </w:p>
        </w:tc>
        <w:tc>
          <w:tcPr>
            <w:tcW w:w="2333" w:type="dxa"/>
            <w:shd w:val="clear" w:color="auto" w:fill="auto"/>
          </w:tcPr>
          <w:p w:rsidR="006D2D1A" w:rsidRDefault="006D2D1A" w:rsidP="009901AD">
            <w:pPr>
              <w:pStyle w:val="AppendixTableText"/>
            </w:pPr>
            <w:r>
              <w:t>Tamahere Model Country School</w:t>
            </w:r>
          </w:p>
        </w:tc>
        <w:tc>
          <w:tcPr>
            <w:tcW w:w="907" w:type="dxa"/>
            <w:shd w:val="clear" w:color="auto" w:fill="auto"/>
          </w:tcPr>
          <w:p w:rsidR="006D2D1A" w:rsidRDefault="006D2D1A" w:rsidP="009901AD">
            <w:pPr>
              <w:pStyle w:val="AppendixTableText"/>
            </w:pPr>
            <w:r>
              <w:t>21/12/2004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2685</w:t>
            </w:r>
          </w:p>
        </w:tc>
        <w:tc>
          <w:tcPr>
            <w:tcW w:w="2333" w:type="dxa"/>
            <w:shd w:val="clear" w:color="auto" w:fill="auto"/>
          </w:tcPr>
          <w:p w:rsidR="006D2D1A" w:rsidRDefault="006D2D1A" w:rsidP="009901AD">
            <w:pPr>
              <w:pStyle w:val="AppendixTableText"/>
            </w:pPr>
            <w:r>
              <w:t>Tamatea Intermediate</w:t>
            </w:r>
          </w:p>
        </w:tc>
        <w:tc>
          <w:tcPr>
            <w:tcW w:w="907" w:type="dxa"/>
            <w:shd w:val="clear" w:color="auto" w:fill="auto"/>
          </w:tcPr>
          <w:p w:rsidR="006D2D1A" w:rsidRDefault="006D2D1A" w:rsidP="009901AD">
            <w:pPr>
              <w:pStyle w:val="AppendixTableText"/>
            </w:pPr>
            <w:r>
              <w:t>14/11/2003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2686</w:t>
            </w:r>
          </w:p>
        </w:tc>
        <w:tc>
          <w:tcPr>
            <w:tcW w:w="2333" w:type="dxa"/>
            <w:shd w:val="clear" w:color="auto" w:fill="auto"/>
          </w:tcPr>
          <w:p w:rsidR="006D2D1A" w:rsidRDefault="006D2D1A" w:rsidP="009901AD">
            <w:pPr>
              <w:pStyle w:val="AppendixTableText"/>
            </w:pPr>
            <w:r>
              <w:t>Tamatea School</w:t>
            </w:r>
          </w:p>
        </w:tc>
        <w:tc>
          <w:tcPr>
            <w:tcW w:w="907" w:type="dxa"/>
            <w:shd w:val="clear" w:color="auto" w:fill="auto"/>
          </w:tcPr>
          <w:p w:rsidR="006D2D1A" w:rsidRDefault="006D2D1A" w:rsidP="009901AD">
            <w:pPr>
              <w:pStyle w:val="AppendixTableText"/>
            </w:pPr>
            <w:r>
              <w:t>10/06/2009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58</w:t>
            </w:r>
          </w:p>
        </w:tc>
        <w:tc>
          <w:tcPr>
            <w:tcW w:w="2333" w:type="dxa"/>
            <w:shd w:val="clear" w:color="auto" w:fill="auto"/>
          </w:tcPr>
          <w:p w:rsidR="006D2D1A" w:rsidRDefault="006D2D1A" w:rsidP="009901AD">
            <w:pPr>
              <w:pStyle w:val="AppendixTableText"/>
            </w:pPr>
            <w:r>
              <w:t>Tangaroa College</w:t>
            </w:r>
          </w:p>
        </w:tc>
        <w:tc>
          <w:tcPr>
            <w:tcW w:w="907" w:type="dxa"/>
            <w:shd w:val="clear" w:color="auto" w:fill="auto"/>
          </w:tcPr>
          <w:p w:rsidR="006D2D1A" w:rsidRDefault="006D2D1A" w:rsidP="009901AD">
            <w:pPr>
              <w:pStyle w:val="AppendixTableText"/>
            </w:pPr>
            <w:r>
              <w:t>13/09/2004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215</w:t>
            </w:r>
          </w:p>
        </w:tc>
        <w:tc>
          <w:tcPr>
            <w:tcW w:w="2333" w:type="dxa"/>
            <w:shd w:val="clear" w:color="auto" w:fill="auto"/>
          </w:tcPr>
          <w:p w:rsidR="006D2D1A" w:rsidRDefault="006D2D1A" w:rsidP="009901AD">
            <w:pPr>
              <w:pStyle w:val="AppendixTableText"/>
            </w:pPr>
            <w:r>
              <w:t>Taradale High School</w:t>
            </w:r>
          </w:p>
        </w:tc>
        <w:tc>
          <w:tcPr>
            <w:tcW w:w="907" w:type="dxa"/>
            <w:shd w:val="clear" w:color="auto" w:fill="auto"/>
          </w:tcPr>
          <w:p w:rsidR="006D2D1A" w:rsidRDefault="006D2D1A" w:rsidP="009901AD">
            <w:pPr>
              <w:pStyle w:val="AppendixTableText"/>
            </w:pPr>
            <w:r>
              <w:t>16/06/2004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2687</w:t>
            </w:r>
          </w:p>
        </w:tc>
        <w:tc>
          <w:tcPr>
            <w:tcW w:w="2333" w:type="dxa"/>
            <w:shd w:val="clear" w:color="auto" w:fill="auto"/>
          </w:tcPr>
          <w:p w:rsidR="006D2D1A" w:rsidRDefault="006D2D1A" w:rsidP="009901AD">
            <w:pPr>
              <w:pStyle w:val="AppendixTableText"/>
            </w:pPr>
            <w:r>
              <w:t>Taradale Intermediate</w:t>
            </w:r>
          </w:p>
        </w:tc>
        <w:tc>
          <w:tcPr>
            <w:tcW w:w="907" w:type="dxa"/>
            <w:shd w:val="clear" w:color="auto" w:fill="auto"/>
          </w:tcPr>
          <w:p w:rsidR="006D2D1A" w:rsidRDefault="006D2D1A" w:rsidP="009901AD">
            <w:pPr>
              <w:pStyle w:val="AppendixTableText"/>
            </w:pPr>
            <w:r>
              <w:t>19/04/2002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2688</w:t>
            </w:r>
          </w:p>
        </w:tc>
        <w:tc>
          <w:tcPr>
            <w:tcW w:w="2333" w:type="dxa"/>
            <w:shd w:val="clear" w:color="auto" w:fill="auto"/>
          </w:tcPr>
          <w:p w:rsidR="006D2D1A" w:rsidRDefault="006D2D1A" w:rsidP="009901AD">
            <w:pPr>
              <w:pStyle w:val="AppendixTableText"/>
            </w:pPr>
            <w:r>
              <w:t>Taradale School</w:t>
            </w:r>
          </w:p>
        </w:tc>
        <w:tc>
          <w:tcPr>
            <w:tcW w:w="907" w:type="dxa"/>
            <w:shd w:val="clear" w:color="auto" w:fill="auto"/>
          </w:tcPr>
          <w:p w:rsidR="006D2D1A" w:rsidRDefault="006D2D1A" w:rsidP="009901AD">
            <w:pPr>
              <w:pStyle w:val="AppendixTableText"/>
            </w:pPr>
            <w:r>
              <w:t>16/05/2003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3228</w:t>
            </w:r>
          </w:p>
        </w:tc>
        <w:tc>
          <w:tcPr>
            <w:tcW w:w="2333" w:type="dxa"/>
            <w:shd w:val="clear" w:color="auto" w:fill="auto"/>
          </w:tcPr>
          <w:p w:rsidR="006D2D1A" w:rsidRDefault="006D2D1A" w:rsidP="009901AD">
            <w:pPr>
              <w:pStyle w:val="AppendixTableText"/>
            </w:pPr>
            <w:r>
              <w:t>Tasman School</w:t>
            </w:r>
          </w:p>
        </w:tc>
        <w:tc>
          <w:tcPr>
            <w:tcW w:w="907" w:type="dxa"/>
            <w:shd w:val="clear" w:color="auto" w:fill="auto"/>
          </w:tcPr>
          <w:p w:rsidR="006D2D1A" w:rsidRDefault="006D2D1A" w:rsidP="009901AD">
            <w:pPr>
              <w:pStyle w:val="AppendixTableText"/>
            </w:pPr>
            <w:r>
              <w:t>25/04/2005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1107</w:t>
            </w:r>
          </w:p>
        </w:tc>
        <w:tc>
          <w:tcPr>
            <w:tcW w:w="2333" w:type="dxa"/>
            <w:shd w:val="clear" w:color="auto" w:fill="auto"/>
          </w:tcPr>
          <w:p w:rsidR="006D2D1A" w:rsidRDefault="006D2D1A" w:rsidP="009901AD">
            <w:pPr>
              <w:pStyle w:val="AppendixTableText"/>
            </w:pPr>
            <w:r>
              <w:t>Tauhoa School</w:t>
            </w:r>
          </w:p>
        </w:tc>
        <w:tc>
          <w:tcPr>
            <w:tcW w:w="907" w:type="dxa"/>
            <w:shd w:val="clear" w:color="auto" w:fill="auto"/>
          </w:tcPr>
          <w:p w:rsidR="006D2D1A" w:rsidRDefault="006D2D1A" w:rsidP="009901AD">
            <w:pPr>
              <w:pStyle w:val="AppendixTableText"/>
            </w:pPr>
            <w:r>
              <w:t>12/10/2011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1529</w:t>
            </w:r>
          </w:p>
        </w:tc>
        <w:tc>
          <w:tcPr>
            <w:tcW w:w="2333" w:type="dxa"/>
            <w:shd w:val="clear" w:color="auto" w:fill="auto"/>
          </w:tcPr>
          <w:p w:rsidR="006D2D1A" w:rsidRDefault="006D2D1A" w:rsidP="009901AD">
            <w:pPr>
              <w:pStyle w:val="AppendixTableText"/>
            </w:pPr>
            <w:r>
              <w:t>Taupaki School</w:t>
            </w:r>
          </w:p>
        </w:tc>
        <w:tc>
          <w:tcPr>
            <w:tcW w:w="907" w:type="dxa"/>
            <w:shd w:val="clear" w:color="auto" w:fill="auto"/>
          </w:tcPr>
          <w:p w:rsidR="006D2D1A" w:rsidRDefault="006D2D1A" w:rsidP="009901AD">
            <w:pPr>
              <w:pStyle w:val="AppendixTableText"/>
            </w:pPr>
            <w:r>
              <w:t>4/12/2000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121</w:t>
            </w:r>
          </w:p>
        </w:tc>
        <w:tc>
          <w:tcPr>
            <w:tcW w:w="2333" w:type="dxa"/>
            <w:shd w:val="clear" w:color="auto" w:fill="auto"/>
          </w:tcPr>
          <w:p w:rsidR="006D2D1A" w:rsidRDefault="006D2D1A" w:rsidP="009901AD">
            <w:pPr>
              <w:pStyle w:val="AppendixTableText"/>
            </w:pPr>
            <w:r>
              <w:t>Tauranga Boys' College</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122</w:t>
            </w:r>
          </w:p>
        </w:tc>
        <w:tc>
          <w:tcPr>
            <w:tcW w:w="2333" w:type="dxa"/>
            <w:shd w:val="clear" w:color="auto" w:fill="auto"/>
          </w:tcPr>
          <w:p w:rsidR="006D2D1A" w:rsidRDefault="006D2D1A" w:rsidP="009901AD">
            <w:pPr>
              <w:pStyle w:val="AppendixTableText"/>
            </w:pPr>
            <w:r>
              <w:t>Tauranga Girls' College</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1990</w:t>
            </w:r>
          </w:p>
        </w:tc>
        <w:tc>
          <w:tcPr>
            <w:tcW w:w="2333" w:type="dxa"/>
            <w:shd w:val="clear" w:color="auto" w:fill="auto"/>
          </w:tcPr>
          <w:p w:rsidR="006D2D1A" w:rsidRDefault="006D2D1A" w:rsidP="009901AD">
            <w:pPr>
              <w:pStyle w:val="AppendixTableText"/>
            </w:pPr>
            <w:r>
              <w:t>Tauranga Intermediate</w:t>
            </w:r>
          </w:p>
        </w:tc>
        <w:tc>
          <w:tcPr>
            <w:tcW w:w="907" w:type="dxa"/>
            <w:shd w:val="clear" w:color="auto" w:fill="auto"/>
          </w:tcPr>
          <w:p w:rsidR="006D2D1A" w:rsidRDefault="006D2D1A" w:rsidP="009901AD">
            <w:pPr>
              <w:pStyle w:val="AppendixTableText"/>
            </w:pPr>
            <w:r>
              <w:t>24/01/2000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1991</w:t>
            </w:r>
          </w:p>
        </w:tc>
        <w:tc>
          <w:tcPr>
            <w:tcW w:w="2333" w:type="dxa"/>
            <w:shd w:val="clear" w:color="auto" w:fill="auto"/>
          </w:tcPr>
          <w:p w:rsidR="006D2D1A" w:rsidRDefault="006D2D1A" w:rsidP="009901AD">
            <w:pPr>
              <w:pStyle w:val="AppendixTableText"/>
            </w:pPr>
            <w:r>
              <w:t>Tauranga Primary School</w:t>
            </w:r>
          </w:p>
        </w:tc>
        <w:tc>
          <w:tcPr>
            <w:tcW w:w="907" w:type="dxa"/>
            <w:shd w:val="clear" w:color="auto" w:fill="auto"/>
          </w:tcPr>
          <w:p w:rsidR="006D2D1A" w:rsidRDefault="006D2D1A" w:rsidP="009901AD">
            <w:pPr>
              <w:pStyle w:val="AppendixTableText"/>
            </w:pPr>
            <w:r>
              <w:t>21/02/2000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1994</w:t>
            </w:r>
          </w:p>
        </w:tc>
        <w:tc>
          <w:tcPr>
            <w:tcW w:w="2333" w:type="dxa"/>
            <w:shd w:val="clear" w:color="auto" w:fill="auto"/>
          </w:tcPr>
          <w:p w:rsidR="006D2D1A" w:rsidRDefault="006D2D1A" w:rsidP="009901AD">
            <w:pPr>
              <w:pStyle w:val="AppendixTableText"/>
            </w:pPr>
            <w:r>
              <w:t>Tauriko School</w:t>
            </w:r>
          </w:p>
        </w:tc>
        <w:tc>
          <w:tcPr>
            <w:tcW w:w="907" w:type="dxa"/>
            <w:shd w:val="clear" w:color="auto" w:fill="auto"/>
          </w:tcPr>
          <w:p w:rsidR="006D2D1A" w:rsidRDefault="006D2D1A" w:rsidP="009901AD">
            <w:pPr>
              <w:pStyle w:val="AppendixTableText"/>
            </w:pPr>
            <w:r>
              <w:t>20/12/1999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1995</w:t>
            </w:r>
          </w:p>
        </w:tc>
        <w:tc>
          <w:tcPr>
            <w:tcW w:w="2333" w:type="dxa"/>
            <w:shd w:val="clear" w:color="auto" w:fill="auto"/>
          </w:tcPr>
          <w:p w:rsidR="006D2D1A" w:rsidRDefault="006D2D1A" w:rsidP="009901AD">
            <w:pPr>
              <w:pStyle w:val="AppendixTableText"/>
            </w:pPr>
            <w:r>
              <w:t>Tauwhare School</w:t>
            </w:r>
          </w:p>
        </w:tc>
        <w:tc>
          <w:tcPr>
            <w:tcW w:w="907" w:type="dxa"/>
            <w:shd w:val="clear" w:color="auto" w:fill="auto"/>
          </w:tcPr>
          <w:p w:rsidR="006D2D1A" w:rsidRDefault="006D2D1A" w:rsidP="009901AD">
            <w:pPr>
              <w:pStyle w:val="AppendixTableText"/>
            </w:pPr>
            <w:r>
              <w:t>5/04/2011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257</w:t>
            </w:r>
          </w:p>
        </w:tc>
        <w:tc>
          <w:tcPr>
            <w:tcW w:w="2333" w:type="dxa"/>
            <w:shd w:val="clear" w:color="auto" w:fill="auto"/>
          </w:tcPr>
          <w:p w:rsidR="006D2D1A" w:rsidRDefault="006D2D1A" w:rsidP="009901AD">
            <w:pPr>
              <w:pStyle w:val="AppendixTableText"/>
            </w:pPr>
            <w:r>
              <w:t>Tawa College</w:t>
            </w:r>
          </w:p>
        </w:tc>
        <w:tc>
          <w:tcPr>
            <w:tcW w:w="907" w:type="dxa"/>
            <w:shd w:val="clear" w:color="auto" w:fill="auto"/>
          </w:tcPr>
          <w:p w:rsidR="006D2D1A" w:rsidRDefault="006D2D1A" w:rsidP="009901AD">
            <w:pPr>
              <w:pStyle w:val="AppendixTableText"/>
            </w:pPr>
            <w:r>
              <w:t>4/07/1999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3034</w:t>
            </w:r>
          </w:p>
        </w:tc>
        <w:tc>
          <w:tcPr>
            <w:tcW w:w="2333" w:type="dxa"/>
            <w:shd w:val="clear" w:color="auto" w:fill="auto"/>
          </w:tcPr>
          <w:p w:rsidR="006D2D1A" w:rsidRDefault="006D2D1A" w:rsidP="009901AD">
            <w:pPr>
              <w:pStyle w:val="AppendixTableText"/>
            </w:pPr>
            <w:r>
              <w:t>Tawa Intermediate</w:t>
            </w:r>
          </w:p>
        </w:tc>
        <w:tc>
          <w:tcPr>
            <w:tcW w:w="907" w:type="dxa"/>
            <w:shd w:val="clear" w:color="auto" w:fill="auto"/>
          </w:tcPr>
          <w:p w:rsidR="006D2D1A" w:rsidRDefault="006D2D1A" w:rsidP="009901AD">
            <w:pPr>
              <w:pStyle w:val="AppendixTableText"/>
            </w:pPr>
            <w:r>
              <w:t>30/07/1999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6940</w:t>
            </w:r>
          </w:p>
        </w:tc>
        <w:tc>
          <w:tcPr>
            <w:tcW w:w="2333" w:type="dxa"/>
            <w:shd w:val="clear" w:color="auto" w:fill="auto"/>
          </w:tcPr>
          <w:p w:rsidR="006D2D1A" w:rsidRDefault="006D2D1A" w:rsidP="009901AD">
            <w:pPr>
              <w:pStyle w:val="AppendixTableText"/>
            </w:pPr>
            <w:r>
              <w:t>Te Akau ki Papamoa Primary School</w:t>
            </w:r>
          </w:p>
        </w:tc>
        <w:tc>
          <w:tcPr>
            <w:tcW w:w="907" w:type="dxa"/>
            <w:shd w:val="clear" w:color="auto" w:fill="auto"/>
          </w:tcPr>
          <w:p w:rsidR="006D2D1A" w:rsidRDefault="006D2D1A" w:rsidP="009901AD">
            <w:pPr>
              <w:pStyle w:val="AppendixTableText"/>
            </w:pPr>
            <w:r>
              <w:t>26/11/1999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3037</w:t>
            </w:r>
          </w:p>
        </w:tc>
        <w:tc>
          <w:tcPr>
            <w:tcW w:w="2333" w:type="dxa"/>
            <w:shd w:val="clear" w:color="auto" w:fill="auto"/>
          </w:tcPr>
          <w:p w:rsidR="006D2D1A" w:rsidRDefault="006D2D1A" w:rsidP="009901AD">
            <w:pPr>
              <w:pStyle w:val="AppendixTableText"/>
            </w:pPr>
            <w:r>
              <w:t>Te Aro School</w:t>
            </w:r>
          </w:p>
        </w:tc>
        <w:tc>
          <w:tcPr>
            <w:tcW w:w="907" w:type="dxa"/>
            <w:shd w:val="clear" w:color="auto" w:fill="auto"/>
          </w:tcPr>
          <w:p w:rsidR="006D2D1A" w:rsidRDefault="006D2D1A" w:rsidP="009901AD">
            <w:pPr>
              <w:pStyle w:val="AppendixTableText"/>
            </w:pPr>
            <w:r>
              <w:t>5/11/2003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2002</w:t>
            </w:r>
          </w:p>
        </w:tc>
        <w:tc>
          <w:tcPr>
            <w:tcW w:w="2333" w:type="dxa"/>
            <w:shd w:val="clear" w:color="auto" w:fill="auto"/>
          </w:tcPr>
          <w:p w:rsidR="006D2D1A" w:rsidRDefault="006D2D1A" w:rsidP="009901AD">
            <w:pPr>
              <w:pStyle w:val="AppendixTableText"/>
            </w:pPr>
            <w:r>
              <w:t>Te Awamutu Primary School</w:t>
            </w:r>
          </w:p>
        </w:tc>
        <w:tc>
          <w:tcPr>
            <w:tcW w:w="907" w:type="dxa"/>
            <w:shd w:val="clear" w:color="auto" w:fill="auto"/>
          </w:tcPr>
          <w:p w:rsidR="006D2D1A" w:rsidRDefault="006D2D1A" w:rsidP="009901AD">
            <w:pPr>
              <w:pStyle w:val="AppendixTableText"/>
            </w:pPr>
            <w:r>
              <w:t>29/03/2011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1532</w:t>
            </w:r>
          </w:p>
        </w:tc>
        <w:tc>
          <w:tcPr>
            <w:tcW w:w="2333" w:type="dxa"/>
            <w:shd w:val="clear" w:color="auto" w:fill="auto"/>
          </w:tcPr>
          <w:p w:rsidR="006D2D1A" w:rsidRDefault="006D2D1A" w:rsidP="009901AD">
            <w:pPr>
              <w:pStyle w:val="AppendixTableText"/>
            </w:pPr>
            <w:r>
              <w:t>Te Hihi School</w:t>
            </w:r>
          </w:p>
        </w:tc>
        <w:tc>
          <w:tcPr>
            <w:tcW w:w="907" w:type="dxa"/>
            <w:shd w:val="clear" w:color="auto" w:fill="auto"/>
          </w:tcPr>
          <w:p w:rsidR="006D2D1A" w:rsidRDefault="006D2D1A" w:rsidP="009901AD">
            <w:pPr>
              <w:pStyle w:val="AppendixTableText"/>
            </w:pPr>
            <w:r>
              <w:t>1/09/2004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3038</w:t>
            </w:r>
          </w:p>
        </w:tc>
        <w:tc>
          <w:tcPr>
            <w:tcW w:w="2333" w:type="dxa"/>
            <w:shd w:val="clear" w:color="auto" w:fill="auto"/>
          </w:tcPr>
          <w:p w:rsidR="006D2D1A" w:rsidRDefault="006D2D1A" w:rsidP="009901AD">
            <w:pPr>
              <w:pStyle w:val="AppendixTableText"/>
            </w:pPr>
            <w:r>
              <w:t>Te Horo School (Otaki)</w:t>
            </w:r>
          </w:p>
        </w:tc>
        <w:tc>
          <w:tcPr>
            <w:tcW w:w="907" w:type="dxa"/>
            <w:shd w:val="clear" w:color="auto" w:fill="auto"/>
          </w:tcPr>
          <w:p w:rsidR="006D2D1A" w:rsidRDefault="006D2D1A" w:rsidP="009901AD">
            <w:pPr>
              <w:pStyle w:val="AppendixTableText"/>
            </w:pPr>
            <w:r>
              <w:t>16/05/2011</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2005</w:t>
            </w:r>
          </w:p>
        </w:tc>
        <w:tc>
          <w:tcPr>
            <w:tcW w:w="2333" w:type="dxa"/>
            <w:shd w:val="clear" w:color="auto" w:fill="auto"/>
          </w:tcPr>
          <w:p w:rsidR="006D2D1A" w:rsidRDefault="006D2D1A" w:rsidP="009901AD">
            <w:pPr>
              <w:pStyle w:val="AppendixTableText"/>
            </w:pPr>
            <w:r>
              <w:t>Te Kauwhata Primary School</w:t>
            </w:r>
          </w:p>
        </w:tc>
        <w:tc>
          <w:tcPr>
            <w:tcW w:w="907" w:type="dxa"/>
            <w:shd w:val="clear" w:color="auto" w:fill="auto"/>
          </w:tcPr>
          <w:p w:rsidR="006D2D1A" w:rsidRDefault="006D2D1A" w:rsidP="009901AD">
            <w:pPr>
              <w:pStyle w:val="AppendixTableText"/>
            </w:pPr>
            <w:r>
              <w:t>20/12/2010</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2007</w:t>
            </w:r>
          </w:p>
        </w:tc>
        <w:tc>
          <w:tcPr>
            <w:tcW w:w="2333" w:type="dxa"/>
            <w:shd w:val="clear" w:color="auto" w:fill="auto"/>
          </w:tcPr>
          <w:p w:rsidR="006D2D1A" w:rsidRDefault="006D2D1A" w:rsidP="009901AD">
            <w:pPr>
              <w:pStyle w:val="AppendixTableText"/>
            </w:pPr>
            <w:r>
              <w:t>Te Kowhai School</w:t>
            </w:r>
          </w:p>
        </w:tc>
        <w:tc>
          <w:tcPr>
            <w:tcW w:w="907" w:type="dxa"/>
            <w:shd w:val="clear" w:color="auto" w:fill="auto"/>
          </w:tcPr>
          <w:p w:rsidR="006D2D1A" w:rsidRDefault="006D2D1A" w:rsidP="009901AD">
            <w:pPr>
              <w:pStyle w:val="AppendixTableText"/>
            </w:pPr>
            <w:r>
              <w:t>7/10/2003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1888</w:t>
            </w:r>
          </w:p>
        </w:tc>
        <w:tc>
          <w:tcPr>
            <w:tcW w:w="2333" w:type="dxa"/>
            <w:shd w:val="clear" w:color="auto" w:fill="auto"/>
          </w:tcPr>
          <w:p w:rsidR="006D2D1A" w:rsidRDefault="006D2D1A" w:rsidP="009901AD">
            <w:pPr>
              <w:pStyle w:val="AppendixTableText"/>
            </w:pPr>
            <w:r>
              <w:t>Te Kura o Te Paroa</w:t>
            </w:r>
          </w:p>
        </w:tc>
        <w:tc>
          <w:tcPr>
            <w:tcW w:w="907" w:type="dxa"/>
            <w:shd w:val="clear" w:color="auto" w:fill="auto"/>
          </w:tcPr>
          <w:p w:rsidR="006D2D1A" w:rsidRDefault="006D2D1A" w:rsidP="009901AD">
            <w:pPr>
              <w:pStyle w:val="AppendixTableText"/>
            </w:pPr>
            <w:r>
              <w:t>20/12/1999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2697</w:t>
            </w:r>
          </w:p>
        </w:tc>
        <w:tc>
          <w:tcPr>
            <w:tcW w:w="2333" w:type="dxa"/>
            <w:shd w:val="clear" w:color="auto" w:fill="auto"/>
          </w:tcPr>
          <w:p w:rsidR="006D2D1A" w:rsidRDefault="006D2D1A" w:rsidP="009901AD">
            <w:pPr>
              <w:pStyle w:val="AppendixTableText"/>
            </w:pPr>
            <w:r>
              <w:t>Te Mata School (Havelock North)</w:t>
            </w:r>
          </w:p>
        </w:tc>
        <w:tc>
          <w:tcPr>
            <w:tcW w:w="907" w:type="dxa"/>
            <w:shd w:val="clear" w:color="auto" w:fill="auto"/>
          </w:tcPr>
          <w:p w:rsidR="006D2D1A" w:rsidRDefault="006D2D1A" w:rsidP="009901AD">
            <w:pPr>
              <w:pStyle w:val="AppendixTableText"/>
            </w:pPr>
            <w:r>
              <w:t>28/03/2003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2010</w:t>
            </w:r>
          </w:p>
        </w:tc>
        <w:tc>
          <w:tcPr>
            <w:tcW w:w="2333" w:type="dxa"/>
            <w:shd w:val="clear" w:color="auto" w:fill="auto"/>
          </w:tcPr>
          <w:p w:rsidR="006D2D1A" w:rsidRDefault="006D2D1A" w:rsidP="009901AD">
            <w:pPr>
              <w:pStyle w:val="AppendixTableText"/>
            </w:pPr>
            <w:r>
              <w:t>Te Mata School (Raglan)</w:t>
            </w:r>
          </w:p>
        </w:tc>
        <w:tc>
          <w:tcPr>
            <w:tcW w:w="907" w:type="dxa"/>
            <w:shd w:val="clear" w:color="auto" w:fill="auto"/>
          </w:tcPr>
          <w:p w:rsidR="006D2D1A" w:rsidRDefault="006D2D1A" w:rsidP="009901AD">
            <w:pPr>
              <w:pStyle w:val="AppendixTableText"/>
            </w:pPr>
            <w:r>
              <w:t>13/04/2012</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6741</w:t>
            </w:r>
          </w:p>
        </w:tc>
        <w:tc>
          <w:tcPr>
            <w:tcW w:w="2333" w:type="dxa"/>
            <w:shd w:val="clear" w:color="auto" w:fill="auto"/>
          </w:tcPr>
          <w:p w:rsidR="006D2D1A" w:rsidRDefault="006D2D1A" w:rsidP="009901AD">
            <w:pPr>
              <w:pStyle w:val="AppendixTableText"/>
            </w:pPr>
            <w:r>
              <w:t>Te Matauranga</w:t>
            </w:r>
          </w:p>
        </w:tc>
        <w:tc>
          <w:tcPr>
            <w:tcW w:w="907" w:type="dxa"/>
            <w:shd w:val="clear" w:color="auto" w:fill="auto"/>
          </w:tcPr>
          <w:p w:rsidR="006D2D1A" w:rsidRDefault="006D2D1A" w:rsidP="009901AD">
            <w:pPr>
              <w:pStyle w:val="AppendixTableText"/>
            </w:pPr>
            <w:r>
              <w:t>22/08/2003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2020</w:t>
            </w:r>
          </w:p>
        </w:tc>
        <w:tc>
          <w:tcPr>
            <w:tcW w:w="2333" w:type="dxa"/>
            <w:shd w:val="clear" w:color="auto" w:fill="auto"/>
          </w:tcPr>
          <w:p w:rsidR="006D2D1A" w:rsidRDefault="006D2D1A" w:rsidP="009901AD">
            <w:pPr>
              <w:pStyle w:val="AppendixTableText"/>
            </w:pPr>
            <w:r>
              <w:t>Te Rapa School</w:t>
            </w:r>
          </w:p>
        </w:tc>
        <w:tc>
          <w:tcPr>
            <w:tcW w:w="907" w:type="dxa"/>
            <w:shd w:val="clear" w:color="auto" w:fill="auto"/>
          </w:tcPr>
          <w:p w:rsidR="006D2D1A" w:rsidRDefault="006D2D1A" w:rsidP="009901AD">
            <w:pPr>
              <w:pStyle w:val="AppendixTableText"/>
            </w:pPr>
            <w:r>
              <w:t>6/09/2001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577</w:t>
            </w:r>
          </w:p>
        </w:tc>
        <w:tc>
          <w:tcPr>
            <w:tcW w:w="2333" w:type="dxa"/>
            <w:shd w:val="clear" w:color="auto" w:fill="auto"/>
          </w:tcPr>
          <w:p w:rsidR="006D2D1A" w:rsidRDefault="006D2D1A" w:rsidP="009901AD">
            <w:pPr>
              <w:pStyle w:val="AppendixTableText"/>
            </w:pPr>
            <w:r>
              <w:t>Te Totara Primary School</w:t>
            </w:r>
          </w:p>
        </w:tc>
        <w:tc>
          <w:tcPr>
            <w:tcW w:w="907" w:type="dxa"/>
            <w:shd w:val="clear" w:color="auto" w:fill="auto"/>
          </w:tcPr>
          <w:p w:rsidR="006D2D1A" w:rsidRDefault="006D2D1A" w:rsidP="009901AD">
            <w:pPr>
              <w:pStyle w:val="AppendixTableText"/>
            </w:pPr>
            <w:r>
              <w:t>29/08/2007</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2025</w:t>
            </w:r>
          </w:p>
        </w:tc>
        <w:tc>
          <w:tcPr>
            <w:tcW w:w="2333" w:type="dxa"/>
            <w:shd w:val="clear" w:color="auto" w:fill="auto"/>
          </w:tcPr>
          <w:p w:rsidR="006D2D1A" w:rsidRDefault="006D2D1A" w:rsidP="009901AD">
            <w:pPr>
              <w:pStyle w:val="AppendixTableText"/>
            </w:pPr>
            <w:r>
              <w:t>Te Waotu School</w:t>
            </w:r>
          </w:p>
        </w:tc>
        <w:tc>
          <w:tcPr>
            <w:tcW w:w="907" w:type="dxa"/>
            <w:shd w:val="clear" w:color="auto" w:fill="auto"/>
          </w:tcPr>
          <w:p w:rsidR="006D2D1A" w:rsidRDefault="006D2D1A" w:rsidP="009901AD">
            <w:pPr>
              <w:pStyle w:val="AppendixTableText"/>
            </w:pPr>
            <w:r>
              <w:t>19/02/2003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3555</w:t>
            </w:r>
          </w:p>
        </w:tc>
        <w:tc>
          <w:tcPr>
            <w:tcW w:w="2333" w:type="dxa"/>
            <w:shd w:val="clear" w:color="auto" w:fill="auto"/>
          </w:tcPr>
          <w:p w:rsidR="006D2D1A" w:rsidRDefault="006D2D1A" w:rsidP="009901AD">
            <w:pPr>
              <w:pStyle w:val="AppendixTableText"/>
            </w:pPr>
            <w:r>
              <w:t>Templeton School</w:t>
            </w:r>
          </w:p>
        </w:tc>
        <w:tc>
          <w:tcPr>
            <w:tcW w:w="907" w:type="dxa"/>
            <w:shd w:val="clear" w:color="auto" w:fill="auto"/>
          </w:tcPr>
          <w:p w:rsidR="006D2D1A" w:rsidRDefault="006D2D1A" w:rsidP="009901AD">
            <w:pPr>
              <w:pStyle w:val="AppendixTableText"/>
            </w:pPr>
            <w:r>
              <w:t>28/06/2004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6947</w:t>
            </w:r>
          </w:p>
        </w:tc>
        <w:tc>
          <w:tcPr>
            <w:tcW w:w="2333" w:type="dxa"/>
            <w:shd w:val="clear" w:color="auto" w:fill="auto"/>
          </w:tcPr>
          <w:p w:rsidR="006D2D1A" w:rsidRDefault="006D2D1A" w:rsidP="009901AD">
            <w:pPr>
              <w:pStyle w:val="AppendixTableText"/>
            </w:pPr>
            <w:r>
              <w:t>The Gardens School</w:t>
            </w:r>
          </w:p>
        </w:tc>
        <w:tc>
          <w:tcPr>
            <w:tcW w:w="907" w:type="dxa"/>
            <w:shd w:val="clear" w:color="auto" w:fill="auto"/>
          </w:tcPr>
          <w:p w:rsidR="006D2D1A" w:rsidRDefault="006D2D1A" w:rsidP="009901AD">
            <w:pPr>
              <w:pStyle w:val="AppendixTableText"/>
            </w:pPr>
            <w:r>
              <w:t>1/10/2001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3844</w:t>
            </w:r>
          </w:p>
        </w:tc>
        <w:tc>
          <w:tcPr>
            <w:tcW w:w="2333" w:type="dxa"/>
            <w:shd w:val="clear" w:color="auto" w:fill="auto"/>
          </w:tcPr>
          <w:p w:rsidR="006D2D1A" w:rsidRDefault="006D2D1A" w:rsidP="009901AD">
            <w:pPr>
              <w:pStyle w:val="AppendixTableText"/>
            </w:pPr>
            <w:r>
              <w:t>The Terrace School (Alexandra)</w:t>
            </w:r>
          </w:p>
        </w:tc>
        <w:tc>
          <w:tcPr>
            <w:tcW w:w="907" w:type="dxa"/>
            <w:shd w:val="clear" w:color="auto" w:fill="auto"/>
          </w:tcPr>
          <w:p w:rsidR="006D2D1A" w:rsidRDefault="006D2D1A" w:rsidP="009901AD">
            <w:pPr>
              <w:pStyle w:val="AppendixTableText"/>
            </w:pPr>
            <w:r>
              <w:t>13/08/2010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4028</w:t>
            </w:r>
          </w:p>
        </w:tc>
        <w:tc>
          <w:tcPr>
            <w:tcW w:w="2333" w:type="dxa"/>
            <w:shd w:val="clear" w:color="auto" w:fill="auto"/>
          </w:tcPr>
          <w:p w:rsidR="006D2D1A" w:rsidRDefault="006D2D1A" w:rsidP="009901AD">
            <w:pPr>
              <w:pStyle w:val="AppendixTableText"/>
            </w:pPr>
            <w:r>
              <w:t>Thornbury School</w:t>
            </w:r>
          </w:p>
        </w:tc>
        <w:tc>
          <w:tcPr>
            <w:tcW w:w="907" w:type="dxa"/>
            <w:shd w:val="clear" w:color="auto" w:fill="auto"/>
          </w:tcPr>
          <w:p w:rsidR="006D2D1A" w:rsidRDefault="006D2D1A" w:rsidP="009901AD">
            <w:pPr>
              <w:pStyle w:val="AppendixTableText"/>
            </w:pPr>
            <w:r>
              <w:t>28/07/2008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3040</w:t>
            </w:r>
          </w:p>
        </w:tc>
        <w:tc>
          <w:tcPr>
            <w:tcW w:w="2333" w:type="dxa"/>
            <w:shd w:val="clear" w:color="auto" w:fill="auto"/>
          </w:tcPr>
          <w:p w:rsidR="006D2D1A" w:rsidRDefault="006D2D1A" w:rsidP="009901AD">
            <w:pPr>
              <w:pStyle w:val="AppendixTableText"/>
            </w:pPr>
            <w:r>
              <w:t>Thorndon School</w:t>
            </w:r>
          </w:p>
        </w:tc>
        <w:tc>
          <w:tcPr>
            <w:tcW w:w="907" w:type="dxa"/>
            <w:shd w:val="clear" w:color="auto" w:fill="auto"/>
          </w:tcPr>
          <w:p w:rsidR="006D2D1A" w:rsidRDefault="006D2D1A" w:rsidP="009901AD">
            <w:pPr>
              <w:pStyle w:val="AppendixTableText"/>
            </w:pPr>
            <w:r>
              <w:t>30/09/2002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3557</w:t>
            </w:r>
          </w:p>
        </w:tc>
        <w:tc>
          <w:tcPr>
            <w:tcW w:w="2333" w:type="dxa"/>
            <w:shd w:val="clear" w:color="auto" w:fill="auto"/>
          </w:tcPr>
          <w:p w:rsidR="006D2D1A" w:rsidRDefault="006D2D1A" w:rsidP="009901AD">
            <w:pPr>
              <w:pStyle w:val="AppendixTableText"/>
            </w:pPr>
            <w:r>
              <w:t>Thorrington School</w:t>
            </w:r>
          </w:p>
        </w:tc>
        <w:tc>
          <w:tcPr>
            <w:tcW w:w="907" w:type="dxa"/>
            <w:shd w:val="clear" w:color="auto" w:fill="auto"/>
          </w:tcPr>
          <w:p w:rsidR="006D2D1A" w:rsidRDefault="006D2D1A" w:rsidP="009901AD">
            <w:pPr>
              <w:pStyle w:val="AppendixTableText"/>
            </w:pPr>
            <w:r>
              <w:t>22/10/1999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1535</w:t>
            </w:r>
          </w:p>
        </w:tc>
        <w:tc>
          <w:tcPr>
            <w:tcW w:w="2333" w:type="dxa"/>
            <w:shd w:val="clear" w:color="auto" w:fill="auto"/>
          </w:tcPr>
          <w:p w:rsidR="006D2D1A" w:rsidRDefault="006D2D1A" w:rsidP="009901AD">
            <w:pPr>
              <w:pStyle w:val="AppendixTableText"/>
            </w:pPr>
            <w:r>
              <w:t>Three Kings School</w:t>
            </w:r>
          </w:p>
        </w:tc>
        <w:tc>
          <w:tcPr>
            <w:tcW w:w="907" w:type="dxa"/>
            <w:shd w:val="clear" w:color="auto" w:fill="auto"/>
          </w:tcPr>
          <w:p w:rsidR="006D2D1A" w:rsidRDefault="006D2D1A" w:rsidP="009901AD">
            <w:pPr>
              <w:pStyle w:val="AppendixTableText"/>
            </w:pPr>
            <w:r>
              <w:t>19/10/1999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3561</w:t>
            </w:r>
          </w:p>
        </w:tc>
        <w:tc>
          <w:tcPr>
            <w:tcW w:w="2333" w:type="dxa"/>
            <w:shd w:val="clear" w:color="auto" w:fill="auto"/>
          </w:tcPr>
          <w:p w:rsidR="006D2D1A" w:rsidRDefault="006D2D1A" w:rsidP="009901AD">
            <w:pPr>
              <w:pStyle w:val="AppendixTableText"/>
            </w:pPr>
            <w:r>
              <w:t>Tinwald School</w:t>
            </w:r>
          </w:p>
        </w:tc>
        <w:tc>
          <w:tcPr>
            <w:tcW w:w="907" w:type="dxa"/>
            <w:shd w:val="clear" w:color="auto" w:fill="auto"/>
          </w:tcPr>
          <w:p w:rsidR="006D2D1A" w:rsidRDefault="006D2D1A" w:rsidP="009901AD">
            <w:pPr>
              <w:pStyle w:val="AppendixTableText"/>
            </w:pPr>
            <w:r>
              <w:t>31/10/2007</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1536</w:t>
            </w:r>
          </w:p>
        </w:tc>
        <w:tc>
          <w:tcPr>
            <w:tcW w:w="2333" w:type="dxa"/>
            <w:shd w:val="clear" w:color="auto" w:fill="auto"/>
          </w:tcPr>
          <w:p w:rsidR="006D2D1A" w:rsidRDefault="006D2D1A" w:rsidP="009901AD">
            <w:pPr>
              <w:pStyle w:val="AppendixTableText"/>
            </w:pPr>
            <w:r>
              <w:t>Tirimoana School</w:t>
            </w:r>
          </w:p>
        </w:tc>
        <w:tc>
          <w:tcPr>
            <w:tcW w:w="907" w:type="dxa"/>
            <w:shd w:val="clear" w:color="auto" w:fill="auto"/>
          </w:tcPr>
          <w:p w:rsidR="006D2D1A" w:rsidRDefault="006D2D1A" w:rsidP="009901AD">
            <w:pPr>
              <w:pStyle w:val="AppendixTableText"/>
            </w:pPr>
            <w:r>
              <w:t>8/05/2000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2467</w:t>
            </w:r>
          </w:p>
        </w:tc>
        <w:tc>
          <w:tcPr>
            <w:tcW w:w="2333" w:type="dxa"/>
            <w:shd w:val="clear" w:color="auto" w:fill="auto"/>
          </w:tcPr>
          <w:p w:rsidR="006D2D1A" w:rsidRDefault="006D2D1A" w:rsidP="009901AD">
            <w:pPr>
              <w:pStyle w:val="AppendixTableText"/>
            </w:pPr>
            <w:r>
              <w:t>Tiritea School</w:t>
            </w:r>
          </w:p>
        </w:tc>
        <w:tc>
          <w:tcPr>
            <w:tcW w:w="907" w:type="dxa"/>
            <w:shd w:val="clear" w:color="auto" w:fill="auto"/>
          </w:tcPr>
          <w:p w:rsidR="006D2D1A" w:rsidRDefault="006D2D1A" w:rsidP="009901AD">
            <w:pPr>
              <w:pStyle w:val="AppendixTableText"/>
            </w:pPr>
            <w:r>
              <w:t>14/08/2006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4029</w:t>
            </w:r>
          </w:p>
        </w:tc>
        <w:tc>
          <w:tcPr>
            <w:tcW w:w="2333" w:type="dxa"/>
            <w:shd w:val="clear" w:color="auto" w:fill="auto"/>
          </w:tcPr>
          <w:p w:rsidR="006D2D1A" w:rsidRDefault="006D2D1A" w:rsidP="009901AD">
            <w:pPr>
              <w:pStyle w:val="AppendixTableText"/>
            </w:pPr>
            <w:r>
              <w:t>Tisbury School</w:t>
            </w:r>
          </w:p>
        </w:tc>
        <w:tc>
          <w:tcPr>
            <w:tcW w:w="907" w:type="dxa"/>
            <w:shd w:val="clear" w:color="auto" w:fill="auto"/>
          </w:tcPr>
          <w:p w:rsidR="006D2D1A" w:rsidRDefault="006D2D1A" w:rsidP="009901AD">
            <w:pPr>
              <w:pStyle w:val="AppendixTableText"/>
            </w:pPr>
            <w:r>
              <w:t>26/07/2004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3045</w:t>
            </w:r>
          </w:p>
        </w:tc>
        <w:tc>
          <w:tcPr>
            <w:tcW w:w="2333" w:type="dxa"/>
            <w:shd w:val="clear" w:color="auto" w:fill="auto"/>
          </w:tcPr>
          <w:p w:rsidR="006D2D1A" w:rsidRDefault="006D2D1A" w:rsidP="009901AD">
            <w:pPr>
              <w:pStyle w:val="AppendixTableText"/>
            </w:pPr>
            <w:r>
              <w:t>Titahi Bay School</w:t>
            </w:r>
          </w:p>
        </w:tc>
        <w:tc>
          <w:tcPr>
            <w:tcW w:w="907" w:type="dxa"/>
            <w:shd w:val="clear" w:color="auto" w:fill="auto"/>
          </w:tcPr>
          <w:p w:rsidR="006D2D1A" w:rsidRDefault="006D2D1A" w:rsidP="009901AD">
            <w:pPr>
              <w:pStyle w:val="AppendixTableText"/>
            </w:pPr>
            <w:r>
              <w:t>1/07/2012</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1537</w:t>
            </w:r>
          </w:p>
        </w:tc>
        <w:tc>
          <w:tcPr>
            <w:tcW w:w="2333" w:type="dxa"/>
            <w:shd w:val="clear" w:color="auto" w:fill="auto"/>
          </w:tcPr>
          <w:p w:rsidR="006D2D1A" w:rsidRDefault="006D2D1A" w:rsidP="009901AD">
            <w:pPr>
              <w:pStyle w:val="AppendixTableText"/>
            </w:pPr>
            <w:r>
              <w:t>Titirangi School</w:t>
            </w:r>
          </w:p>
        </w:tc>
        <w:tc>
          <w:tcPr>
            <w:tcW w:w="907" w:type="dxa"/>
            <w:shd w:val="clear" w:color="auto" w:fill="auto"/>
          </w:tcPr>
          <w:p w:rsidR="006D2D1A" w:rsidRDefault="006D2D1A" w:rsidP="009901AD">
            <w:pPr>
              <w:pStyle w:val="AppendixTableText"/>
            </w:pPr>
            <w:r>
              <w:t>9/08/1999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2038</w:t>
            </w:r>
          </w:p>
        </w:tc>
        <w:tc>
          <w:tcPr>
            <w:tcW w:w="2333" w:type="dxa"/>
            <w:shd w:val="clear" w:color="auto" w:fill="auto"/>
          </w:tcPr>
          <w:p w:rsidR="006D2D1A" w:rsidRDefault="006D2D1A" w:rsidP="009901AD">
            <w:pPr>
              <w:pStyle w:val="AppendixTableText"/>
            </w:pPr>
            <w:r>
              <w:t>Tokoroa North School</w:t>
            </w:r>
          </w:p>
        </w:tc>
        <w:tc>
          <w:tcPr>
            <w:tcW w:w="907" w:type="dxa"/>
            <w:shd w:val="clear" w:color="auto" w:fill="auto"/>
          </w:tcPr>
          <w:p w:rsidR="006D2D1A" w:rsidRDefault="006D2D1A" w:rsidP="009901AD">
            <w:pPr>
              <w:pStyle w:val="AppendixTableText"/>
            </w:pPr>
            <w:r>
              <w:t>22/09/1999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212</w:t>
            </w:r>
          </w:p>
        </w:tc>
        <w:tc>
          <w:tcPr>
            <w:tcW w:w="2333" w:type="dxa"/>
            <w:shd w:val="clear" w:color="auto" w:fill="auto"/>
          </w:tcPr>
          <w:p w:rsidR="006D2D1A" w:rsidRDefault="006D2D1A" w:rsidP="009901AD">
            <w:pPr>
              <w:pStyle w:val="AppendixTableText"/>
            </w:pPr>
            <w:r>
              <w:t>Tolaga Bay Area School</w:t>
            </w:r>
          </w:p>
        </w:tc>
        <w:tc>
          <w:tcPr>
            <w:tcW w:w="907" w:type="dxa"/>
            <w:shd w:val="clear" w:color="auto" w:fill="auto"/>
          </w:tcPr>
          <w:p w:rsidR="006D2D1A" w:rsidRDefault="006D2D1A" w:rsidP="009901AD">
            <w:pPr>
              <w:pStyle w:val="AppendixTableText"/>
            </w:pPr>
            <w:r>
              <w:t>8/12/2004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1538</w:t>
            </w:r>
          </w:p>
        </w:tc>
        <w:tc>
          <w:tcPr>
            <w:tcW w:w="2333" w:type="dxa"/>
            <w:shd w:val="clear" w:color="auto" w:fill="auto"/>
          </w:tcPr>
          <w:p w:rsidR="006D2D1A" w:rsidRDefault="006D2D1A" w:rsidP="009901AD">
            <w:pPr>
              <w:pStyle w:val="AppendixTableText"/>
            </w:pPr>
            <w:r>
              <w:t>Torbay School</w:t>
            </w:r>
          </w:p>
        </w:tc>
        <w:tc>
          <w:tcPr>
            <w:tcW w:w="907" w:type="dxa"/>
            <w:shd w:val="clear" w:color="auto" w:fill="auto"/>
          </w:tcPr>
          <w:p w:rsidR="006D2D1A" w:rsidRDefault="006D2D1A" w:rsidP="009901AD">
            <w:pPr>
              <w:pStyle w:val="AppendixTableText"/>
            </w:pPr>
            <w:r>
              <w:t>6/10/1999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1028</w:t>
            </w:r>
          </w:p>
        </w:tc>
        <w:tc>
          <w:tcPr>
            <w:tcW w:w="2333" w:type="dxa"/>
            <w:shd w:val="clear" w:color="auto" w:fill="auto"/>
          </w:tcPr>
          <w:p w:rsidR="006D2D1A" w:rsidRDefault="006D2D1A" w:rsidP="009901AD">
            <w:pPr>
              <w:pStyle w:val="AppendixTableText"/>
            </w:pPr>
            <w:r>
              <w:t>Totara Grove School</w:t>
            </w:r>
          </w:p>
        </w:tc>
        <w:tc>
          <w:tcPr>
            <w:tcW w:w="907" w:type="dxa"/>
            <w:shd w:val="clear" w:color="auto" w:fill="auto"/>
          </w:tcPr>
          <w:p w:rsidR="006D2D1A" w:rsidRDefault="006D2D1A" w:rsidP="009901AD">
            <w:pPr>
              <w:pStyle w:val="AppendixTableText"/>
            </w:pPr>
            <w:r>
              <w:t>12/09/2012</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143</w:t>
            </w:r>
          </w:p>
        </w:tc>
        <w:tc>
          <w:tcPr>
            <w:tcW w:w="2333" w:type="dxa"/>
            <w:shd w:val="clear" w:color="auto" w:fill="auto"/>
          </w:tcPr>
          <w:p w:rsidR="006D2D1A" w:rsidRDefault="006D2D1A" w:rsidP="009901AD">
            <w:pPr>
              <w:pStyle w:val="AppendixTableText"/>
            </w:pPr>
            <w:r>
              <w:t>Trident High School</w:t>
            </w:r>
          </w:p>
        </w:tc>
        <w:tc>
          <w:tcPr>
            <w:tcW w:w="907" w:type="dxa"/>
            <w:shd w:val="clear" w:color="auto" w:fill="auto"/>
          </w:tcPr>
          <w:p w:rsidR="006D2D1A" w:rsidRDefault="006D2D1A" w:rsidP="009901AD">
            <w:pPr>
              <w:pStyle w:val="AppendixTableText"/>
            </w:pPr>
            <w:r>
              <w:t>31/08/2001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3050</w:t>
            </w:r>
          </w:p>
        </w:tc>
        <w:tc>
          <w:tcPr>
            <w:tcW w:w="2333" w:type="dxa"/>
            <w:shd w:val="clear" w:color="auto" w:fill="auto"/>
          </w:tcPr>
          <w:p w:rsidR="006D2D1A" w:rsidRDefault="006D2D1A" w:rsidP="009901AD">
            <w:pPr>
              <w:pStyle w:val="AppendixTableText"/>
            </w:pPr>
            <w:r>
              <w:t>Tua Marina School</w:t>
            </w:r>
          </w:p>
        </w:tc>
        <w:tc>
          <w:tcPr>
            <w:tcW w:w="907" w:type="dxa"/>
            <w:shd w:val="clear" w:color="auto" w:fill="auto"/>
          </w:tcPr>
          <w:p w:rsidR="006D2D1A" w:rsidRDefault="006D2D1A" w:rsidP="009901AD">
            <w:pPr>
              <w:pStyle w:val="AppendixTableText"/>
            </w:pPr>
            <w:r>
              <w:t>26/10/1999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2711</w:t>
            </w:r>
          </w:p>
        </w:tc>
        <w:tc>
          <w:tcPr>
            <w:tcW w:w="2333" w:type="dxa"/>
            <w:shd w:val="clear" w:color="auto" w:fill="auto"/>
          </w:tcPr>
          <w:p w:rsidR="006D2D1A" w:rsidRDefault="006D2D1A" w:rsidP="009901AD">
            <w:pPr>
              <w:pStyle w:val="AppendixTableText"/>
            </w:pPr>
            <w:r>
              <w:t>Twyford School</w:t>
            </w:r>
          </w:p>
        </w:tc>
        <w:tc>
          <w:tcPr>
            <w:tcW w:w="907" w:type="dxa"/>
            <w:shd w:val="clear" w:color="auto" w:fill="auto"/>
          </w:tcPr>
          <w:p w:rsidR="006D2D1A" w:rsidRDefault="006D2D1A" w:rsidP="009901AD">
            <w:pPr>
              <w:pStyle w:val="AppendixTableText"/>
            </w:pPr>
            <w:r>
              <w:t>25/05/2002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483</w:t>
            </w:r>
          </w:p>
        </w:tc>
        <w:tc>
          <w:tcPr>
            <w:tcW w:w="2333" w:type="dxa"/>
            <w:shd w:val="clear" w:color="auto" w:fill="auto"/>
          </w:tcPr>
          <w:p w:rsidR="006D2D1A" w:rsidRDefault="006D2D1A" w:rsidP="009901AD">
            <w:pPr>
              <w:pStyle w:val="AppendixTableText"/>
            </w:pPr>
            <w:r>
              <w:t>Unlimited Paenga Tawhiti</w:t>
            </w:r>
          </w:p>
        </w:tc>
        <w:tc>
          <w:tcPr>
            <w:tcW w:w="907" w:type="dxa"/>
            <w:shd w:val="clear" w:color="auto" w:fill="auto"/>
          </w:tcPr>
          <w:p w:rsidR="006D2D1A" w:rsidRDefault="006D2D1A" w:rsidP="009901AD">
            <w:pPr>
              <w:pStyle w:val="AppendixTableText"/>
            </w:pPr>
            <w:r>
              <w:t>24/05/2005</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6955</w:t>
            </w:r>
          </w:p>
        </w:tc>
        <w:tc>
          <w:tcPr>
            <w:tcW w:w="2333" w:type="dxa"/>
            <w:shd w:val="clear" w:color="auto" w:fill="auto"/>
          </w:tcPr>
          <w:p w:rsidR="006D2D1A" w:rsidRDefault="006D2D1A" w:rsidP="009901AD">
            <w:pPr>
              <w:pStyle w:val="AppendixTableText"/>
            </w:pPr>
            <w:r>
              <w:t>Upper Harbour Primary School</w:t>
            </w:r>
          </w:p>
        </w:tc>
        <w:tc>
          <w:tcPr>
            <w:tcW w:w="907" w:type="dxa"/>
            <w:shd w:val="clear" w:color="auto" w:fill="auto"/>
          </w:tcPr>
          <w:p w:rsidR="006D2D1A" w:rsidRDefault="006D2D1A" w:rsidP="009901AD">
            <w:pPr>
              <w:pStyle w:val="AppendixTableText"/>
            </w:pPr>
            <w:r>
              <w:t>8/08/2005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250</w:t>
            </w:r>
          </w:p>
        </w:tc>
        <w:tc>
          <w:tcPr>
            <w:tcW w:w="2333" w:type="dxa"/>
            <w:shd w:val="clear" w:color="auto" w:fill="auto"/>
          </w:tcPr>
          <w:p w:rsidR="006D2D1A" w:rsidRDefault="006D2D1A" w:rsidP="009901AD">
            <w:pPr>
              <w:pStyle w:val="AppendixTableText"/>
            </w:pPr>
            <w:r>
              <w:t>Upper Hutt College</w:t>
            </w:r>
          </w:p>
        </w:tc>
        <w:tc>
          <w:tcPr>
            <w:tcW w:w="907" w:type="dxa"/>
            <w:shd w:val="clear" w:color="auto" w:fill="auto"/>
          </w:tcPr>
          <w:p w:rsidR="006D2D1A" w:rsidRDefault="006D2D1A" w:rsidP="009901AD">
            <w:pPr>
              <w:pStyle w:val="AppendixTableText"/>
            </w:pPr>
            <w:r>
              <w:t>18/11/2003</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3053</w:t>
            </w:r>
          </w:p>
        </w:tc>
        <w:tc>
          <w:tcPr>
            <w:tcW w:w="2333" w:type="dxa"/>
            <w:shd w:val="clear" w:color="auto" w:fill="auto"/>
          </w:tcPr>
          <w:p w:rsidR="006D2D1A" w:rsidRDefault="006D2D1A" w:rsidP="009901AD">
            <w:pPr>
              <w:pStyle w:val="AppendixTableText"/>
            </w:pPr>
            <w:r>
              <w:t>Upper Hutt School</w:t>
            </w:r>
          </w:p>
        </w:tc>
        <w:tc>
          <w:tcPr>
            <w:tcW w:w="907" w:type="dxa"/>
            <w:shd w:val="clear" w:color="auto" w:fill="auto"/>
          </w:tcPr>
          <w:p w:rsidR="006D2D1A" w:rsidRDefault="006D2D1A" w:rsidP="009901AD">
            <w:pPr>
              <w:pStyle w:val="AppendixTableText"/>
            </w:pPr>
            <w:r>
              <w:t>22/10/2004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1540</w:t>
            </w:r>
          </w:p>
        </w:tc>
        <w:tc>
          <w:tcPr>
            <w:tcW w:w="2333" w:type="dxa"/>
            <w:shd w:val="clear" w:color="auto" w:fill="auto"/>
          </w:tcPr>
          <w:p w:rsidR="006D2D1A" w:rsidRDefault="006D2D1A" w:rsidP="009901AD">
            <w:pPr>
              <w:pStyle w:val="AppendixTableText"/>
            </w:pPr>
            <w:r>
              <w:t>Valley School</w:t>
            </w:r>
          </w:p>
        </w:tc>
        <w:tc>
          <w:tcPr>
            <w:tcW w:w="907" w:type="dxa"/>
            <w:shd w:val="clear" w:color="auto" w:fill="auto"/>
          </w:tcPr>
          <w:p w:rsidR="006D2D1A" w:rsidRDefault="006D2D1A" w:rsidP="009901AD">
            <w:pPr>
              <w:pStyle w:val="AppendixTableText"/>
            </w:pPr>
            <w:r>
              <w:t>29/10/1999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1541</w:t>
            </w:r>
          </w:p>
        </w:tc>
        <w:tc>
          <w:tcPr>
            <w:tcW w:w="2333" w:type="dxa"/>
            <w:shd w:val="clear" w:color="auto" w:fill="auto"/>
          </w:tcPr>
          <w:p w:rsidR="006D2D1A" w:rsidRDefault="006D2D1A" w:rsidP="009901AD">
            <w:pPr>
              <w:pStyle w:val="AppendixTableText"/>
            </w:pPr>
            <w:r>
              <w:t>Vauxhall School</w:t>
            </w:r>
          </w:p>
        </w:tc>
        <w:tc>
          <w:tcPr>
            <w:tcW w:w="907" w:type="dxa"/>
            <w:shd w:val="clear" w:color="auto" w:fill="auto"/>
          </w:tcPr>
          <w:p w:rsidR="006D2D1A" w:rsidRDefault="006D2D1A" w:rsidP="009901AD">
            <w:pPr>
              <w:pStyle w:val="AppendixTableText"/>
            </w:pPr>
            <w:r>
              <w:t>14/04/2003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1544</w:t>
            </w:r>
          </w:p>
        </w:tc>
        <w:tc>
          <w:tcPr>
            <w:tcW w:w="2333" w:type="dxa"/>
            <w:shd w:val="clear" w:color="auto" w:fill="auto"/>
          </w:tcPr>
          <w:p w:rsidR="006D2D1A" w:rsidRDefault="006D2D1A" w:rsidP="009901AD">
            <w:pPr>
              <w:pStyle w:val="AppendixTableText"/>
            </w:pPr>
            <w:r>
              <w:t>Victoria Avenue School</w:t>
            </w:r>
          </w:p>
        </w:tc>
        <w:tc>
          <w:tcPr>
            <w:tcW w:w="907" w:type="dxa"/>
            <w:shd w:val="clear" w:color="auto" w:fill="auto"/>
          </w:tcPr>
          <w:p w:rsidR="006D2D1A" w:rsidRDefault="006D2D1A" w:rsidP="009901AD">
            <w:pPr>
              <w:pStyle w:val="AppendixTableText"/>
            </w:pPr>
            <w:r>
              <w:t>27/09/1999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3565</w:t>
            </w:r>
          </w:p>
        </w:tc>
        <w:tc>
          <w:tcPr>
            <w:tcW w:w="2333" w:type="dxa"/>
            <w:shd w:val="clear" w:color="auto" w:fill="auto"/>
          </w:tcPr>
          <w:p w:rsidR="006D2D1A" w:rsidRDefault="006D2D1A" w:rsidP="009901AD">
            <w:pPr>
              <w:pStyle w:val="AppendixTableText"/>
            </w:pPr>
            <w:r>
              <w:t>View Hill School</w:t>
            </w:r>
          </w:p>
        </w:tc>
        <w:tc>
          <w:tcPr>
            <w:tcW w:w="907" w:type="dxa"/>
            <w:shd w:val="clear" w:color="auto" w:fill="auto"/>
          </w:tcPr>
          <w:p w:rsidR="006D2D1A" w:rsidRDefault="006D2D1A" w:rsidP="009901AD">
            <w:pPr>
              <w:pStyle w:val="AppendixTableText"/>
            </w:pPr>
            <w:r>
              <w:t>24/11/1999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1546</w:t>
            </w:r>
          </w:p>
        </w:tc>
        <w:tc>
          <w:tcPr>
            <w:tcW w:w="2333" w:type="dxa"/>
            <w:shd w:val="clear" w:color="auto" w:fill="auto"/>
          </w:tcPr>
          <w:p w:rsidR="006D2D1A" w:rsidRDefault="006D2D1A" w:rsidP="009901AD">
            <w:pPr>
              <w:pStyle w:val="AppendixTableText"/>
            </w:pPr>
            <w:r>
              <w:t>Viscount School</w:t>
            </w:r>
          </w:p>
        </w:tc>
        <w:tc>
          <w:tcPr>
            <w:tcW w:w="907" w:type="dxa"/>
            <w:shd w:val="clear" w:color="auto" w:fill="auto"/>
          </w:tcPr>
          <w:p w:rsidR="006D2D1A" w:rsidRDefault="006D2D1A" w:rsidP="009901AD">
            <w:pPr>
              <w:pStyle w:val="AppendixTableText"/>
            </w:pPr>
            <w:r>
              <w:t>14/10/2009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3055</w:t>
            </w:r>
          </w:p>
        </w:tc>
        <w:tc>
          <w:tcPr>
            <w:tcW w:w="2333" w:type="dxa"/>
            <w:shd w:val="clear" w:color="auto" w:fill="auto"/>
          </w:tcPr>
          <w:p w:rsidR="006D2D1A" w:rsidRDefault="006D2D1A" w:rsidP="009901AD">
            <w:pPr>
              <w:pStyle w:val="AppendixTableText"/>
            </w:pPr>
            <w:r>
              <w:t>Wadestown School</w:t>
            </w:r>
          </w:p>
        </w:tc>
        <w:tc>
          <w:tcPr>
            <w:tcW w:w="907" w:type="dxa"/>
            <w:shd w:val="clear" w:color="auto" w:fill="auto"/>
          </w:tcPr>
          <w:p w:rsidR="006D2D1A" w:rsidRDefault="006D2D1A" w:rsidP="009901AD">
            <w:pPr>
              <w:pStyle w:val="AppendixTableText"/>
            </w:pPr>
            <w:r>
              <w:t>26/01/2011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6922</w:t>
            </w:r>
          </w:p>
        </w:tc>
        <w:tc>
          <w:tcPr>
            <w:tcW w:w="2333" w:type="dxa"/>
            <w:shd w:val="clear" w:color="auto" w:fill="auto"/>
          </w:tcPr>
          <w:p w:rsidR="006D2D1A" w:rsidRDefault="006D2D1A" w:rsidP="009901AD">
            <w:pPr>
              <w:pStyle w:val="AppendixTableText"/>
            </w:pPr>
            <w:r>
              <w:t>Waiheke Primary School</w:t>
            </w:r>
          </w:p>
        </w:tc>
        <w:tc>
          <w:tcPr>
            <w:tcW w:w="907" w:type="dxa"/>
            <w:shd w:val="clear" w:color="auto" w:fill="auto"/>
          </w:tcPr>
          <w:p w:rsidR="006D2D1A" w:rsidRDefault="006D2D1A" w:rsidP="009901AD">
            <w:pPr>
              <w:pStyle w:val="AppendixTableText"/>
            </w:pPr>
            <w:r>
              <w:t>10/08/2004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2048</w:t>
            </w:r>
          </w:p>
        </w:tc>
        <w:tc>
          <w:tcPr>
            <w:tcW w:w="2333" w:type="dxa"/>
            <w:shd w:val="clear" w:color="auto" w:fill="auto"/>
          </w:tcPr>
          <w:p w:rsidR="006D2D1A" w:rsidRDefault="006D2D1A" w:rsidP="009901AD">
            <w:pPr>
              <w:pStyle w:val="AppendixTableText"/>
            </w:pPr>
            <w:r>
              <w:t>Waihi Beach School</w:t>
            </w:r>
          </w:p>
        </w:tc>
        <w:tc>
          <w:tcPr>
            <w:tcW w:w="907" w:type="dxa"/>
            <w:shd w:val="clear" w:color="auto" w:fill="auto"/>
          </w:tcPr>
          <w:p w:rsidR="006D2D1A" w:rsidRDefault="006D2D1A" w:rsidP="009901AD">
            <w:pPr>
              <w:pStyle w:val="AppendixTableText"/>
            </w:pPr>
            <w:r>
              <w:t>20/08/2011</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4035</w:t>
            </w:r>
          </w:p>
        </w:tc>
        <w:tc>
          <w:tcPr>
            <w:tcW w:w="2333" w:type="dxa"/>
            <w:shd w:val="clear" w:color="auto" w:fill="auto"/>
          </w:tcPr>
          <w:p w:rsidR="006D2D1A" w:rsidRDefault="006D2D1A" w:rsidP="009901AD">
            <w:pPr>
              <w:pStyle w:val="AppendixTableText"/>
            </w:pPr>
            <w:r>
              <w:t>Waihopai School</w:t>
            </w:r>
          </w:p>
        </w:tc>
        <w:tc>
          <w:tcPr>
            <w:tcW w:w="907" w:type="dxa"/>
            <w:shd w:val="clear" w:color="auto" w:fill="auto"/>
          </w:tcPr>
          <w:p w:rsidR="006D2D1A" w:rsidRDefault="006D2D1A" w:rsidP="009901AD">
            <w:pPr>
              <w:pStyle w:val="AppendixTableText"/>
            </w:pPr>
            <w:r>
              <w:t>13/12/2004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3056</w:t>
            </w:r>
          </w:p>
        </w:tc>
        <w:tc>
          <w:tcPr>
            <w:tcW w:w="2333" w:type="dxa"/>
            <w:shd w:val="clear" w:color="auto" w:fill="auto"/>
          </w:tcPr>
          <w:p w:rsidR="006D2D1A" w:rsidRDefault="006D2D1A" w:rsidP="009901AD">
            <w:pPr>
              <w:pStyle w:val="AppendixTableText"/>
            </w:pPr>
            <w:r>
              <w:t>Waikanae School</w:t>
            </w:r>
          </w:p>
        </w:tc>
        <w:tc>
          <w:tcPr>
            <w:tcW w:w="907" w:type="dxa"/>
            <w:shd w:val="clear" w:color="auto" w:fill="auto"/>
          </w:tcPr>
          <w:p w:rsidR="006D2D1A" w:rsidRDefault="006D2D1A" w:rsidP="009901AD">
            <w:pPr>
              <w:pStyle w:val="AppendixTableText"/>
            </w:pPr>
            <w:r>
              <w:t>26/01/2004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1548</w:t>
            </w:r>
          </w:p>
        </w:tc>
        <w:tc>
          <w:tcPr>
            <w:tcW w:w="2333" w:type="dxa"/>
            <w:shd w:val="clear" w:color="auto" w:fill="auto"/>
          </w:tcPr>
          <w:p w:rsidR="006D2D1A" w:rsidRDefault="006D2D1A" w:rsidP="009901AD">
            <w:pPr>
              <w:pStyle w:val="AppendixTableText"/>
            </w:pPr>
            <w:r>
              <w:t>Waikowhai Intermediate</w:t>
            </w:r>
          </w:p>
        </w:tc>
        <w:tc>
          <w:tcPr>
            <w:tcW w:w="907" w:type="dxa"/>
            <w:shd w:val="clear" w:color="auto" w:fill="auto"/>
          </w:tcPr>
          <w:p w:rsidR="006D2D1A" w:rsidRDefault="006D2D1A" w:rsidP="009901AD">
            <w:pPr>
              <w:pStyle w:val="AppendixTableText"/>
            </w:pPr>
            <w:r>
              <w:t>1/07/2003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3570</w:t>
            </w:r>
          </w:p>
        </w:tc>
        <w:tc>
          <w:tcPr>
            <w:tcW w:w="2333" w:type="dxa"/>
            <w:shd w:val="clear" w:color="auto" w:fill="auto"/>
          </w:tcPr>
          <w:p w:rsidR="006D2D1A" w:rsidRDefault="006D2D1A" w:rsidP="009901AD">
            <w:pPr>
              <w:pStyle w:val="AppendixTableText"/>
            </w:pPr>
            <w:r>
              <w:t>Waikuku School</w:t>
            </w:r>
          </w:p>
        </w:tc>
        <w:tc>
          <w:tcPr>
            <w:tcW w:w="907" w:type="dxa"/>
            <w:shd w:val="clear" w:color="auto" w:fill="auto"/>
          </w:tcPr>
          <w:p w:rsidR="006D2D1A" w:rsidRDefault="006D2D1A" w:rsidP="009901AD">
            <w:pPr>
              <w:pStyle w:val="AppendixTableText"/>
            </w:pPr>
            <w:r>
              <w:t>24/11/2009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3571</w:t>
            </w:r>
          </w:p>
        </w:tc>
        <w:tc>
          <w:tcPr>
            <w:tcW w:w="2333" w:type="dxa"/>
            <w:shd w:val="clear" w:color="auto" w:fill="auto"/>
          </w:tcPr>
          <w:p w:rsidR="006D2D1A" w:rsidRDefault="006D2D1A" w:rsidP="009901AD">
            <w:pPr>
              <w:pStyle w:val="AppendixTableText"/>
            </w:pPr>
            <w:r>
              <w:t>Waimairi School</w:t>
            </w:r>
          </w:p>
        </w:tc>
        <w:tc>
          <w:tcPr>
            <w:tcW w:w="907" w:type="dxa"/>
            <w:shd w:val="clear" w:color="auto" w:fill="auto"/>
          </w:tcPr>
          <w:p w:rsidR="006D2D1A" w:rsidRDefault="006D2D1A" w:rsidP="009901AD">
            <w:pPr>
              <w:pStyle w:val="AppendixTableText"/>
            </w:pPr>
            <w:r>
              <w:t>13/08/2001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1550</w:t>
            </w:r>
          </w:p>
        </w:tc>
        <w:tc>
          <w:tcPr>
            <w:tcW w:w="2333" w:type="dxa"/>
            <w:shd w:val="clear" w:color="auto" w:fill="auto"/>
          </w:tcPr>
          <w:p w:rsidR="006D2D1A" w:rsidRDefault="006D2D1A" w:rsidP="009901AD">
            <w:pPr>
              <w:pStyle w:val="AppendixTableText"/>
            </w:pPr>
            <w:r>
              <w:t>Waimauku School</w:t>
            </w:r>
          </w:p>
        </w:tc>
        <w:tc>
          <w:tcPr>
            <w:tcW w:w="907" w:type="dxa"/>
            <w:shd w:val="clear" w:color="auto" w:fill="auto"/>
          </w:tcPr>
          <w:p w:rsidR="006D2D1A" w:rsidRDefault="006D2D1A" w:rsidP="009901AD">
            <w:pPr>
              <w:pStyle w:val="AppendixTableText"/>
            </w:pPr>
            <w:r>
              <w:t>8/12/1999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296</w:t>
            </w:r>
          </w:p>
        </w:tc>
        <w:tc>
          <w:tcPr>
            <w:tcW w:w="2333" w:type="dxa"/>
            <w:shd w:val="clear" w:color="auto" w:fill="auto"/>
          </w:tcPr>
          <w:p w:rsidR="006D2D1A" w:rsidRDefault="006D2D1A" w:rsidP="009901AD">
            <w:pPr>
              <w:pStyle w:val="AppendixTableText"/>
            </w:pPr>
            <w:r>
              <w:t>Waimea College</w:t>
            </w:r>
          </w:p>
        </w:tc>
        <w:tc>
          <w:tcPr>
            <w:tcW w:w="907" w:type="dxa"/>
            <w:shd w:val="clear" w:color="auto" w:fill="auto"/>
          </w:tcPr>
          <w:p w:rsidR="006D2D1A" w:rsidRDefault="006D2D1A" w:rsidP="009901AD">
            <w:pPr>
              <w:pStyle w:val="AppendixTableText"/>
            </w:pPr>
            <w:r>
              <w:t>27/07/2005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3233</w:t>
            </w:r>
          </w:p>
        </w:tc>
        <w:tc>
          <w:tcPr>
            <w:tcW w:w="2333" w:type="dxa"/>
            <w:shd w:val="clear" w:color="auto" w:fill="auto"/>
          </w:tcPr>
          <w:p w:rsidR="006D2D1A" w:rsidRDefault="006D2D1A" w:rsidP="009901AD">
            <w:pPr>
              <w:pStyle w:val="AppendixTableText"/>
            </w:pPr>
            <w:r>
              <w:t>Waimea Intermediate</w:t>
            </w:r>
          </w:p>
        </w:tc>
        <w:tc>
          <w:tcPr>
            <w:tcW w:w="907" w:type="dxa"/>
            <w:shd w:val="clear" w:color="auto" w:fill="auto"/>
          </w:tcPr>
          <w:p w:rsidR="006D2D1A" w:rsidRDefault="006D2D1A" w:rsidP="009901AD">
            <w:pPr>
              <w:pStyle w:val="AppendixTableText"/>
            </w:pPr>
            <w:r>
              <w:t>25/07/2007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2721</w:t>
            </w:r>
          </w:p>
        </w:tc>
        <w:tc>
          <w:tcPr>
            <w:tcW w:w="2333" w:type="dxa"/>
            <w:shd w:val="clear" w:color="auto" w:fill="auto"/>
          </w:tcPr>
          <w:p w:rsidR="006D2D1A" w:rsidRDefault="006D2D1A" w:rsidP="009901AD">
            <w:pPr>
              <w:pStyle w:val="AppendixTableText"/>
            </w:pPr>
            <w:r>
              <w:t>Wainui Beach School</w:t>
            </w:r>
          </w:p>
        </w:tc>
        <w:tc>
          <w:tcPr>
            <w:tcW w:w="907" w:type="dxa"/>
            <w:shd w:val="clear" w:color="auto" w:fill="auto"/>
          </w:tcPr>
          <w:p w:rsidR="006D2D1A" w:rsidRDefault="006D2D1A" w:rsidP="009901AD">
            <w:pPr>
              <w:pStyle w:val="AppendixTableText"/>
            </w:pPr>
            <w:r>
              <w:t>3/12/2008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1552</w:t>
            </w:r>
          </w:p>
        </w:tc>
        <w:tc>
          <w:tcPr>
            <w:tcW w:w="2333" w:type="dxa"/>
            <w:shd w:val="clear" w:color="auto" w:fill="auto"/>
          </w:tcPr>
          <w:p w:rsidR="006D2D1A" w:rsidRDefault="006D2D1A" w:rsidP="009901AD">
            <w:pPr>
              <w:pStyle w:val="AppendixTableText"/>
            </w:pPr>
            <w:r>
              <w:t>Wainui School</w:t>
            </w:r>
          </w:p>
        </w:tc>
        <w:tc>
          <w:tcPr>
            <w:tcW w:w="907" w:type="dxa"/>
            <w:shd w:val="clear" w:color="auto" w:fill="auto"/>
          </w:tcPr>
          <w:p w:rsidR="006D2D1A" w:rsidRDefault="006D2D1A" w:rsidP="009901AD">
            <w:pPr>
              <w:pStyle w:val="AppendixTableText"/>
            </w:pPr>
            <w:r>
              <w:t>30/11/2007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3059</w:t>
            </w:r>
          </w:p>
        </w:tc>
        <w:tc>
          <w:tcPr>
            <w:tcW w:w="2333" w:type="dxa"/>
            <w:shd w:val="clear" w:color="auto" w:fill="auto"/>
          </w:tcPr>
          <w:p w:rsidR="006D2D1A" w:rsidRDefault="006D2D1A" w:rsidP="009901AD">
            <w:pPr>
              <w:pStyle w:val="AppendixTableText"/>
            </w:pPr>
            <w:r>
              <w:t>Wainuiomata Primary School</w:t>
            </w:r>
          </w:p>
        </w:tc>
        <w:tc>
          <w:tcPr>
            <w:tcW w:w="907" w:type="dxa"/>
            <w:shd w:val="clear" w:color="auto" w:fill="auto"/>
          </w:tcPr>
          <w:p w:rsidR="006D2D1A" w:rsidRDefault="006D2D1A" w:rsidP="009901AD">
            <w:pPr>
              <w:pStyle w:val="AppendixTableText"/>
            </w:pPr>
            <w:r>
              <w:t>20/12/2005</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3060</w:t>
            </w:r>
          </w:p>
        </w:tc>
        <w:tc>
          <w:tcPr>
            <w:tcW w:w="2333" w:type="dxa"/>
            <w:shd w:val="clear" w:color="auto" w:fill="auto"/>
          </w:tcPr>
          <w:p w:rsidR="006D2D1A" w:rsidRDefault="006D2D1A" w:rsidP="009901AD">
            <w:pPr>
              <w:pStyle w:val="AppendixTableText"/>
            </w:pPr>
            <w:r>
              <w:t>Wainuioru School</w:t>
            </w:r>
          </w:p>
        </w:tc>
        <w:tc>
          <w:tcPr>
            <w:tcW w:w="907" w:type="dxa"/>
            <w:shd w:val="clear" w:color="auto" w:fill="auto"/>
          </w:tcPr>
          <w:p w:rsidR="006D2D1A" w:rsidRDefault="006D2D1A" w:rsidP="009901AD">
            <w:pPr>
              <w:pStyle w:val="AppendixTableText"/>
            </w:pPr>
            <w:r>
              <w:t>29/07/2005</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2065</w:t>
            </w:r>
          </w:p>
        </w:tc>
        <w:tc>
          <w:tcPr>
            <w:tcW w:w="2333" w:type="dxa"/>
            <w:shd w:val="clear" w:color="auto" w:fill="auto"/>
          </w:tcPr>
          <w:p w:rsidR="006D2D1A" w:rsidRDefault="006D2D1A" w:rsidP="009901AD">
            <w:pPr>
              <w:pStyle w:val="AppendixTableText"/>
            </w:pPr>
            <w:r>
              <w:t>Waipahihi School</w:t>
            </w:r>
          </w:p>
        </w:tc>
        <w:tc>
          <w:tcPr>
            <w:tcW w:w="907" w:type="dxa"/>
            <w:shd w:val="clear" w:color="auto" w:fill="auto"/>
          </w:tcPr>
          <w:p w:rsidR="006D2D1A" w:rsidRDefault="006D2D1A" w:rsidP="009901AD">
            <w:pPr>
              <w:pStyle w:val="AppendixTableText"/>
            </w:pPr>
            <w:r>
              <w:t>11/06/2010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241</w:t>
            </w:r>
          </w:p>
        </w:tc>
        <w:tc>
          <w:tcPr>
            <w:tcW w:w="2333" w:type="dxa"/>
            <w:shd w:val="clear" w:color="auto" w:fill="auto"/>
          </w:tcPr>
          <w:p w:rsidR="006D2D1A" w:rsidRDefault="006D2D1A" w:rsidP="009901AD">
            <w:pPr>
              <w:pStyle w:val="AppendixTableText"/>
            </w:pPr>
            <w:r>
              <w:t>Wairarapa College</w:t>
            </w:r>
          </w:p>
        </w:tc>
        <w:tc>
          <w:tcPr>
            <w:tcW w:w="907" w:type="dxa"/>
            <w:shd w:val="clear" w:color="auto" w:fill="auto"/>
          </w:tcPr>
          <w:p w:rsidR="006D2D1A" w:rsidRDefault="006D2D1A" w:rsidP="009901AD">
            <w:pPr>
              <w:pStyle w:val="AppendixTableText"/>
            </w:pPr>
            <w:r>
              <w:t>3/07/1999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44</w:t>
            </w:r>
          </w:p>
        </w:tc>
        <w:tc>
          <w:tcPr>
            <w:tcW w:w="2333" w:type="dxa"/>
            <w:shd w:val="clear" w:color="auto" w:fill="auto"/>
          </w:tcPr>
          <w:p w:rsidR="006D2D1A" w:rsidRDefault="006D2D1A" w:rsidP="009901AD">
            <w:pPr>
              <w:pStyle w:val="AppendixTableText"/>
            </w:pPr>
            <w:r>
              <w:t>Waitakere College</w:t>
            </w:r>
          </w:p>
        </w:tc>
        <w:tc>
          <w:tcPr>
            <w:tcW w:w="907" w:type="dxa"/>
            <w:shd w:val="clear" w:color="auto" w:fill="auto"/>
          </w:tcPr>
          <w:p w:rsidR="006D2D1A" w:rsidRDefault="006D2D1A" w:rsidP="009901AD">
            <w:pPr>
              <w:pStyle w:val="AppendixTableText"/>
            </w:pPr>
            <w:r>
              <w:t>22/08/2003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1557</w:t>
            </w:r>
          </w:p>
        </w:tc>
        <w:tc>
          <w:tcPr>
            <w:tcW w:w="2333" w:type="dxa"/>
            <w:shd w:val="clear" w:color="auto" w:fill="auto"/>
          </w:tcPr>
          <w:p w:rsidR="006D2D1A" w:rsidRDefault="006D2D1A" w:rsidP="009901AD">
            <w:pPr>
              <w:pStyle w:val="AppendixTableText"/>
            </w:pPr>
            <w:r>
              <w:t>Waitakere School</w:t>
            </w:r>
          </w:p>
        </w:tc>
        <w:tc>
          <w:tcPr>
            <w:tcW w:w="907" w:type="dxa"/>
            <w:shd w:val="clear" w:color="auto" w:fill="auto"/>
          </w:tcPr>
          <w:p w:rsidR="006D2D1A" w:rsidRDefault="006D2D1A" w:rsidP="009901AD">
            <w:pPr>
              <w:pStyle w:val="AppendixTableText"/>
            </w:pPr>
            <w:r>
              <w:t>28/11/2007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1558</w:t>
            </w:r>
          </w:p>
        </w:tc>
        <w:tc>
          <w:tcPr>
            <w:tcW w:w="2333" w:type="dxa"/>
            <w:shd w:val="clear" w:color="auto" w:fill="auto"/>
          </w:tcPr>
          <w:p w:rsidR="006D2D1A" w:rsidRDefault="006D2D1A" w:rsidP="009901AD">
            <w:pPr>
              <w:pStyle w:val="AppendixTableText"/>
            </w:pPr>
            <w:r>
              <w:t>Waitoki School</w:t>
            </w:r>
          </w:p>
        </w:tc>
        <w:tc>
          <w:tcPr>
            <w:tcW w:w="907" w:type="dxa"/>
            <w:shd w:val="clear" w:color="auto" w:fill="auto"/>
          </w:tcPr>
          <w:p w:rsidR="006D2D1A" w:rsidRDefault="006D2D1A" w:rsidP="009901AD">
            <w:pPr>
              <w:pStyle w:val="AppendixTableText"/>
            </w:pPr>
            <w:r>
              <w:t>3/12/1999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1559</w:t>
            </w:r>
          </w:p>
        </w:tc>
        <w:tc>
          <w:tcPr>
            <w:tcW w:w="2333" w:type="dxa"/>
            <w:shd w:val="clear" w:color="auto" w:fill="auto"/>
          </w:tcPr>
          <w:p w:rsidR="006D2D1A" w:rsidRDefault="006D2D1A" w:rsidP="009901AD">
            <w:pPr>
              <w:pStyle w:val="AppendixTableText"/>
            </w:pPr>
            <w:r>
              <w:t>Waiuku Primary School</w:t>
            </w:r>
          </w:p>
        </w:tc>
        <w:tc>
          <w:tcPr>
            <w:tcW w:w="907" w:type="dxa"/>
            <w:shd w:val="clear" w:color="auto" w:fill="auto"/>
          </w:tcPr>
          <w:p w:rsidR="006D2D1A" w:rsidRDefault="006D2D1A" w:rsidP="009901AD">
            <w:pPr>
              <w:pStyle w:val="AppendixTableText"/>
            </w:pPr>
            <w:r>
              <w:t>24/08/2004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1560</w:t>
            </w:r>
          </w:p>
        </w:tc>
        <w:tc>
          <w:tcPr>
            <w:tcW w:w="2333" w:type="dxa"/>
            <w:shd w:val="clear" w:color="auto" w:fill="auto"/>
          </w:tcPr>
          <w:p w:rsidR="006D2D1A" w:rsidRDefault="006D2D1A" w:rsidP="009901AD">
            <w:pPr>
              <w:pStyle w:val="AppendixTableText"/>
            </w:pPr>
            <w:r>
              <w:t>Wakaaranga School</w:t>
            </w:r>
          </w:p>
        </w:tc>
        <w:tc>
          <w:tcPr>
            <w:tcW w:w="907" w:type="dxa"/>
            <w:shd w:val="clear" w:color="auto" w:fill="auto"/>
          </w:tcPr>
          <w:p w:rsidR="006D2D1A" w:rsidRDefault="006D2D1A" w:rsidP="009901AD">
            <w:pPr>
              <w:pStyle w:val="AppendixTableText"/>
            </w:pPr>
            <w:r>
              <w:t>11/01/2002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3234</w:t>
            </w:r>
          </w:p>
        </w:tc>
        <w:tc>
          <w:tcPr>
            <w:tcW w:w="2333" w:type="dxa"/>
            <w:shd w:val="clear" w:color="auto" w:fill="auto"/>
          </w:tcPr>
          <w:p w:rsidR="006D2D1A" w:rsidRDefault="006D2D1A" w:rsidP="009901AD">
            <w:pPr>
              <w:pStyle w:val="AppendixTableText"/>
            </w:pPr>
            <w:r>
              <w:t>Wakefield School</w:t>
            </w:r>
          </w:p>
        </w:tc>
        <w:tc>
          <w:tcPr>
            <w:tcW w:w="907" w:type="dxa"/>
            <w:shd w:val="clear" w:color="auto" w:fill="auto"/>
          </w:tcPr>
          <w:p w:rsidR="006D2D1A" w:rsidRDefault="006D2D1A" w:rsidP="009901AD">
            <w:pPr>
              <w:pStyle w:val="AppendixTableText"/>
            </w:pPr>
            <w:r>
              <w:t>23/08/2010</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189</w:t>
            </w:r>
          </w:p>
        </w:tc>
        <w:tc>
          <w:tcPr>
            <w:tcW w:w="2333" w:type="dxa"/>
            <w:shd w:val="clear" w:color="auto" w:fill="auto"/>
          </w:tcPr>
          <w:p w:rsidR="006D2D1A" w:rsidRDefault="006D2D1A" w:rsidP="009901AD">
            <w:pPr>
              <w:pStyle w:val="AppendixTableText"/>
            </w:pPr>
            <w:r>
              <w:t>Wanganui High School</w:t>
            </w:r>
          </w:p>
        </w:tc>
        <w:tc>
          <w:tcPr>
            <w:tcW w:w="907" w:type="dxa"/>
            <w:shd w:val="clear" w:color="auto" w:fill="auto"/>
          </w:tcPr>
          <w:p w:rsidR="006D2D1A" w:rsidRDefault="006D2D1A" w:rsidP="009901AD">
            <w:pPr>
              <w:pStyle w:val="AppendixTableText"/>
            </w:pPr>
            <w:r>
              <w:t>6/08/1999</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2477</w:t>
            </w:r>
          </w:p>
        </w:tc>
        <w:tc>
          <w:tcPr>
            <w:tcW w:w="2333" w:type="dxa"/>
            <w:shd w:val="clear" w:color="auto" w:fill="auto"/>
          </w:tcPr>
          <w:p w:rsidR="006D2D1A" w:rsidRDefault="006D2D1A" w:rsidP="009901AD">
            <w:pPr>
              <w:pStyle w:val="AppendixTableText"/>
            </w:pPr>
            <w:r>
              <w:t>Wanganui Intermediate</w:t>
            </w:r>
          </w:p>
        </w:tc>
        <w:tc>
          <w:tcPr>
            <w:tcW w:w="907" w:type="dxa"/>
            <w:shd w:val="clear" w:color="auto" w:fill="auto"/>
          </w:tcPr>
          <w:p w:rsidR="006D2D1A" w:rsidRDefault="006D2D1A" w:rsidP="009901AD">
            <w:pPr>
              <w:pStyle w:val="AppendixTableText"/>
            </w:pPr>
            <w:r>
              <w:t>19/08/2003</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3861</w:t>
            </w:r>
          </w:p>
        </w:tc>
        <w:tc>
          <w:tcPr>
            <w:tcW w:w="2333" w:type="dxa"/>
            <w:shd w:val="clear" w:color="auto" w:fill="auto"/>
          </w:tcPr>
          <w:p w:rsidR="006D2D1A" w:rsidRDefault="006D2D1A" w:rsidP="009901AD">
            <w:pPr>
              <w:pStyle w:val="AppendixTableText"/>
            </w:pPr>
            <w:r>
              <w:t>Warepa School</w:t>
            </w:r>
          </w:p>
        </w:tc>
        <w:tc>
          <w:tcPr>
            <w:tcW w:w="907" w:type="dxa"/>
            <w:shd w:val="clear" w:color="auto" w:fill="auto"/>
          </w:tcPr>
          <w:p w:rsidR="006D2D1A" w:rsidRDefault="006D2D1A" w:rsidP="009901AD">
            <w:pPr>
              <w:pStyle w:val="AppendixTableText"/>
            </w:pPr>
            <w:r>
              <w:t>24/10/2008</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1562</w:t>
            </w:r>
          </w:p>
        </w:tc>
        <w:tc>
          <w:tcPr>
            <w:tcW w:w="2333" w:type="dxa"/>
            <w:shd w:val="clear" w:color="auto" w:fill="auto"/>
          </w:tcPr>
          <w:p w:rsidR="006D2D1A" w:rsidRDefault="006D2D1A" w:rsidP="009901AD">
            <w:pPr>
              <w:pStyle w:val="AppendixTableText"/>
            </w:pPr>
            <w:r>
              <w:t>Waterlea Public School</w:t>
            </w:r>
          </w:p>
        </w:tc>
        <w:tc>
          <w:tcPr>
            <w:tcW w:w="907" w:type="dxa"/>
            <w:shd w:val="clear" w:color="auto" w:fill="auto"/>
          </w:tcPr>
          <w:p w:rsidR="006D2D1A" w:rsidRDefault="006D2D1A" w:rsidP="009901AD">
            <w:pPr>
              <w:pStyle w:val="AppendixTableText"/>
            </w:pPr>
            <w:r>
              <w:t>25/11/1999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3068</w:t>
            </w:r>
          </w:p>
        </w:tc>
        <w:tc>
          <w:tcPr>
            <w:tcW w:w="2333" w:type="dxa"/>
            <w:shd w:val="clear" w:color="auto" w:fill="auto"/>
          </w:tcPr>
          <w:p w:rsidR="006D2D1A" w:rsidRDefault="006D2D1A" w:rsidP="009901AD">
            <w:pPr>
              <w:pStyle w:val="AppendixTableText"/>
            </w:pPr>
            <w:r>
              <w:t>Waterloo School</w:t>
            </w:r>
          </w:p>
        </w:tc>
        <w:tc>
          <w:tcPr>
            <w:tcW w:w="907" w:type="dxa"/>
            <w:shd w:val="clear" w:color="auto" w:fill="auto"/>
          </w:tcPr>
          <w:p w:rsidR="006D2D1A" w:rsidRDefault="006D2D1A" w:rsidP="009901AD">
            <w:pPr>
              <w:pStyle w:val="AppendixTableText"/>
            </w:pPr>
            <w:r>
              <w:t>30/10/1999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4047</w:t>
            </w:r>
          </w:p>
        </w:tc>
        <w:tc>
          <w:tcPr>
            <w:tcW w:w="2333" w:type="dxa"/>
            <w:shd w:val="clear" w:color="auto" w:fill="auto"/>
          </w:tcPr>
          <w:p w:rsidR="006D2D1A" w:rsidRDefault="006D2D1A" w:rsidP="009901AD">
            <w:pPr>
              <w:pStyle w:val="AppendixTableText"/>
            </w:pPr>
            <w:r>
              <w:t>Waverley Park School</w:t>
            </w:r>
          </w:p>
        </w:tc>
        <w:tc>
          <w:tcPr>
            <w:tcW w:w="907" w:type="dxa"/>
            <w:shd w:val="clear" w:color="auto" w:fill="auto"/>
          </w:tcPr>
          <w:p w:rsidR="006D2D1A" w:rsidRDefault="006D2D1A" w:rsidP="009901AD">
            <w:pPr>
              <w:pStyle w:val="AppendixTableText"/>
            </w:pPr>
            <w:r>
              <w:t>6/12/2002</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3585</w:t>
            </w:r>
          </w:p>
        </w:tc>
        <w:tc>
          <w:tcPr>
            <w:tcW w:w="2333" w:type="dxa"/>
            <w:shd w:val="clear" w:color="auto" w:fill="auto"/>
          </w:tcPr>
          <w:p w:rsidR="006D2D1A" w:rsidRDefault="006D2D1A" w:rsidP="009901AD">
            <w:pPr>
              <w:pStyle w:val="AppendixTableText"/>
            </w:pPr>
            <w:r>
              <w:t>Weedons School</w:t>
            </w:r>
          </w:p>
        </w:tc>
        <w:tc>
          <w:tcPr>
            <w:tcW w:w="907" w:type="dxa"/>
            <w:shd w:val="clear" w:color="auto" w:fill="auto"/>
          </w:tcPr>
          <w:p w:rsidR="006D2D1A" w:rsidRDefault="006D2D1A" w:rsidP="009901AD">
            <w:pPr>
              <w:pStyle w:val="AppendixTableText"/>
            </w:pPr>
            <w:r>
              <w:t>10/12/1999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275</w:t>
            </w:r>
          </w:p>
        </w:tc>
        <w:tc>
          <w:tcPr>
            <w:tcW w:w="2333" w:type="dxa"/>
            <w:shd w:val="clear" w:color="auto" w:fill="auto"/>
          </w:tcPr>
          <w:p w:rsidR="006D2D1A" w:rsidRDefault="006D2D1A" w:rsidP="009901AD">
            <w:pPr>
              <w:pStyle w:val="AppendixTableText"/>
            </w:pPr>
            <w:r>
              <w:t>Wellington College</w:t>
            </w:r>
          </w:p>
        </w:tc>
        <w:tc>
          <w:tcPr>
            <w:tcW w:w="907" w:type="dxa"/>
            <w:shd w:val="clear" w:color="auto" w:fill="auto"/>
          </w:tcPr>
          <w:p w:rsidR="006D2D1A" w:rsidRDefault="006D2D1A" w:rsidP="009901AD">
            <w:pPr>
              <w:pStyle w:val="AppendixTableText"/>
            </w:pPr>
            <w:r>
              <w:t>1/07/1999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274</w:t>
            </w:r>
          </w:p>
        </w:tc>
        <w:tc>
          <w:tcPr>
            <w:tcW w:w="2333" w:type="dxa"/>
            <w:shd w:val="clear" w:color="auto" w:fill="auto"/>
          </w:tcPr>
          <w:p w:rsidR="006D2D1A" w:rsidRDefault="006D2D1A" w:rsidP="009901AD">
            <w:pPr>
              <w:pStyle w:val="AppendixTableText"/>
            </w:pPr>
            <w:r>
              <w:t>Wellington East Girls' College</w:t>
            </w:r>
          </w:p>
        </w:tc>
        <w:tc>
          <w:tcPr>
            <w:tcW w:w="907" w:type="dxa"/>
            <w:shd w:val="clear" w:color="auto" w:fill="auto"/>
          </w:tcPr>
          <w:p w:rsidR="006D2D1A" w:rsidRDefault="006D2D1A" w:rsidP="009901AD">
            <w:pPr>
              <w:pStyle w:val="AppendixTableText"/>
            </w:pPr>
            <w:r>
              <w:t>4/06/2004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272</w:t>
            </w:r>
          </w:p>
        </w:tc>
        <w:tc>
          <w:tcPr>
            <w:tcW w:w="2333" w:type="dxa"/>
            <w:shd w:val="clear" w:color="auto" w:fill="auto"/>
          </w:tcPr>
          <w:p w:rsidR="006D2D1A" w:rsidRDefault="006D2D1A" w:rsidP="009901AD">
            <w:pPr>
              <w:pStyle w:val="AppendixTableText"/>
            </w:pPr>
            <w:r>
              <w:t>Wellington Girls' College</w:t>
            </w:r>
          </w:p>
        </w:tc>
        <w:tc>
          <w:tcPr>
            <w:tcW w:w="907" w:type="dxa"/>
            <w:shd w:val="clear" w:color="auto" w:fill="auto"/>
          </w:tcPr>
          <w:p w:rsidR="006D2D1A" w:rsidRDefault="006D2D1A" w:rsidP="009901AD">
            <w:pPr>
              <w:pStyle w:val="AppendixTableText"/>
            </w:pPr>
            <w:r>
              <w:t>5/08/1999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273</w:t>
            </w:r>
          </w:p>
        </w:tc>
        <w:tc>
          <w:tcPr>
            <w:tcW w:w="2333" w:type="dxa"/>
            <w:shd w:val="clear" w:color="auto" w:fill="auto"/>
          </w:tcPr>
          <w:p w:rsidR="006D2D1A" w:rsidRDefault="006D2D1A" w:rsidP="009901AD">
            <w:pPr>
              <w:pStyle w:val="AppendixTableText"/>
            </w:pPr>
            <w:r>
              <w:t>Wellington High School &amp; Com Ed Centre</w:t>
            </w:r>
          </w:p>
        </w:tc>
        <w:tc>
          <w:tcPr>
            <w:tcW w:w="907" w:type="dxa"/>
            <w:shd w:val="clear" w:color="auto" w:fill="auto"/>
          </w:tcPr>
          <w:p w:rsidR="006D2D1A" w:rsidRDefault="006D2D1A" w:rsidP="009901AD">
            <w:pPr>
              <w:pStyle w:val="AppendixTableText"/>
            </w:pPr>
            <w:r>
              <w:t>5/11/2003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2479</w:t>
            </w:r>
          </w:p>
        </w:tc>
        <w:tc>
          <w:tcPr>
            <w:tcW w:w="2333" w:type="dxa"/>
            <w:shd w:val="clear" w:color="auto" w:fill="auto"/>
          </w:tcPr>
          <w:p w:rsidR="006D2D1A" w:rsidRDefault="006D2D1A" w:rsidP="009901AD">
            <w:pPr>
              <w:pStyle w:val="AppendixTableText"/>
            </w:pPr>
            <w:r>
              <w:t>West End School (P North)</w:t>
            </w:r>
          </w:p>
        </w:tc>
        <w:tc>
          <w:tcPr>
            <w:tcW w:w="907" w:type="dxa"/>
            <w:shd w:val="clear" w:color="auto" w:fill="auto"/>
          </w:tcPr>
          <w:p w:rsidR="006D2D1A" w:rsidRDefault="006D2D1A" w:rsidP="009901AD">
            <w:pPr>
              <w:pStyle w:val="AppendixTableText"/>
            </w:pPr>
            <w:r>
              <w:t>30/05/2003</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3586</w:t>
            </w:r>
          </w:p>
        </w:tc>
        <w:tc>
          <w:tcPr>
            <w:tcW w:w="2333" w:type="dxa"/>
            <w:shd w:val="clear" w:color="auto" w:fill="auto"/>
          </w:tcPr>
          <w:p w:rsidR="006D2D1A" w:rsidRDefault="006D2D1A" w:rsidP="009901AD">
            <w:pPr>
              <w:pStyle w:val="AppendixTableText"/>
            </w:pPr>
            <w:r>
              <w:t>West Eyreton School</w:t>
            </w:r>
          </w:p>
        </w:tc>
        <w:tc>
          <w:tcPr>
            <w:tcW w:w="907" w:type="dxa"/>
            <w:shd w:val="clear" w:color="auto" w:fill="auto"/>
          </w:tcPr>
          <w:p w:rsidR="006D2D1A" w:rsidRDefault="006D2D1A" w:rsidP="009901AD">
            <w:pPr>
              <w:pStyle w:val="AppendixTableText"/>
            </w:pPr>
            <w:r>
              <w:t>4/04/2005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3587</w:t>
            </w:r>
          </w:p>
        </w:tc>
        <w:tc>
          <w:tcPr>
            <w:tcW w:w="2333" w:type="dxa"/>
            <w:shd w:val="clear" w:color="auto" w:fill="auto"/>
          </w:tcPr>
          <w:p w:rsidR="006D2D1A" w:rsidRDefault="006D2D1A" w:rsidP="009901AD">
            <w:pPr>
              <w:pStyle w:val="AppendixTableText"/>
            </w:pPr>
            <w:r>
              <w:t>West Melton School</w:t>
            </w:r>
          </w:p>
        </w:tc>
        <w:tc>
          <w:tcPr>
            <w:tcW w:w="907" w:type="dxa"/>
            <w:shd w:val="clear" w:color="auto" w:fill="auto"/>
          </w:tcPr>
          <w:p w:rsidR="006D2D1A" w:rsidRDefault="006D2D1A" w:rsidP="009901AD">
            <w:pPr>
              <w:pStyle w:val="AppendixTableText"/>
            </w:pPr>
            <w:r>
              <w:t>15/11/2005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2077</w:t>
            </w:r>
          </w:p>
        </w:tc>
        <w:tc>
          <w:tcPr>
            <w:tcW w:w="2333" w:type="dxa"/>
            <w:shd w:val="clear" w:color="auto" w:fill="auto"/>
          </w:tcPr>
          <w:p w:rsidR="006D2D1A" w:rsidRDefault="006D2D1A" w:rsidP="009901AD">
            <w:pPr>
              <w:pStyle w:val="AppendixTableText"/>
            </w:pPr>
            <w:r>
              <w:t>Westbrook School</w:t>
            </w:r>
          </w:p>
        </w:tc>
        <w:tc>
          <w:tcPr>
            <w:tcW w:w="907" w:type="dxa"/>
            <w:shd w:val="clear" w:color="auto" w:fill="auto"/>
          </w:tcPr>
          <w:p w:rsidR="006D2D1A" w:rsidRDefault="006D2D1A" w:rsidP="009901AD">
            <w:pPr>
              <w:pStyle w:val="AppendixTableText"/>
            </w:pPr>
            <w:r>
              <w:t>27/01/2011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3589</w:t>
            </w:r>
          </w:p>
        </w:tc>
        <w:tc>
          <w:tcPr>
            <w:tcW w:w="2333" w:type="dxa"/>
            <w:shd w:val="clear" w:color="auto" w:fill="auto"/>
          </w:tcPr>
          <w:p w:rsidR="006D2D1A" w:rsidRDefault="006D2D1A" w:rsidP="009901AD">
            <w:pPr>
              <w:pStyle w:val="AppendixTableText"/>
            </w:pPr>
            <w:r>
              <w:t>Westburn School</w:t>
            </w:r>
          </w:p>
        </w:tc>
        <w:tc>
          <w:tcPr>
            <w:tcW w:w="907" w:type="dxa"/>
            <w:shd w:val="clear" w:color="auto" w:fill="auto"/>
          </w:tcPr>
          <w:p w:rsidR="006D2D1A" w:rsidRDefault="006D2D1A" w:rsidP="009901AD">
            <w:pPr>
              <w:pStyle w:val="AppendixTableText"/>
            </w:pPr>
            <w:r>
              <w:t>22/10/1999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151</w:t>
            </w:r>
          </w:p>
        </w:tc>
        <w:tc>
          <w:tcPr>
            <w:tcW w:w="2333" w:type="dxa"/>
            <w:shd w:val="clear" w:color="auto" w:fill="auto"/>
          </w:tcPr>
          <w:p w:rsidR="006D2D1A" w:rsidRDefault="006D2D1A" w:rsidP="009901AD">
            <w:pPr>
              <w:pStyle w:val="AppendixTableText"/>
            </w:pPr>
            <w:r>
              <w:t>Western Heights High School</w:t>
            </w:r>
          </w:p>
        </w:tc>
        <w:tc>
          <w:tcPr>
            <w:tcW w:w="907" w:type="dxa"/>
            <w:shd w:val="clear" w:color="auto" w:fill="auto"/>
          </w:tcPr>
          <w:p w:rsidR="006D2D1A" w:rsidRDefault="006D2D1A" w:rsidP="009901AD">
            <w:pPr>
              <w:pStyle w:val="AppendixTableText"/>
            </w:pPr>
            <w:r>
              <w:t>27/01/2011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1567</w:t>
            </w:r>
          </w:p>
        </w:tc>
        <w:tc>
          <w:tcPr>
            <w:tcW w:w="2333" w:type="dxa"/>
            <w:shd w:val="clear" w:color="auto" w:fill="auto"/>
          </w:tcPr>
          <w:p w:rsidR="006D2D1A" w:rsidRDefault="006D2D1A" w:rsidP="009901AD">
            <w:pPr>
              <w:pStyle w:val="AppendixTableText"/>
            </w:pPr>
            <w:r>
              <w:t>Western Heights School (Auckland)</w:t>
            </w:r>
          </w:p>
        </w:tc>
        <w:tc>
          <w:tcPr>
            <w:tcW w:w="907" w:type="dxa"/>
            <w:shd w:val="clear" w:color="auto" w:fill="auto"/>
          </w:tcPr>
          <w:p w:rsidR="006D2D1A" w:rsidRDefault="006D2D1A" w:rsidP="009901AD">
            <w:pPr>
              <w:pStyle w:val="AppendixTableText"/>
            </w:pPr>
            <w:r>
              <w:t>7/10/1999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vAlign w:val="bottom"/>
          </w:tcPr>
          <w:p w:rsidR="006D2D1A" w:rsidRPr="00C66F4D" w:rsidRDefault="006D2D1A" w:rsidP="009901AD">
            <w:pPr>
              <w:pStyle w:val="AppendixTableHeading"/>
            </w:pPr>
            <w:r w:rsidRPr="00C66F4D">
              <w:t>Institution number</w:t>
            </w:r>
          </w:p>
        </w:tc>
        <w:tc>
          <w:tcPr>
            <w:tcW w:w="2333" w:type="dxa"/>
            <w:shd w:val="clear" w:color="auto" w:fill="auto"/>
            <w:vAlign w:val="bottom"/>
          </w:tcPr>
          <w:p w:rsidR="006D2D1A" w:rsidRPr="00C66F4D" w:rsidRDefault="006D2D1A" w:rsidP="009901AD">
            <w:pPr>
              <w:pStyle w:val="AppendixTableHeading"/>
            </w:pPr>
            <w:r w:rsidRPr="00C66F4D">
              <w:t>School name</w:t>
            </w:r>
          </w:p>
        </w:tc>
        <w:tc>
          <w:tcPr>
            <w:tcW w:w="907" w:type="dxa"/>
            <w:shd w:val="clear" w:color="auto" w:fill="auto"/>
            <w:vAlign w:val="bottom"/>
          </w:tcPr>
          <w:p w:rsidR="006D2D1A" w:rsidRPr="00C66F4D" w:rsidRDefault="006D2D1A" w:rsidP="009901AD">
            <w:pPr>
              <w:pStyle w:val="AppendixTableHeading"/>
            </w:pPr>
            <w:r w:rsidRPr="00C66F4D">
              <w:t>Date enrolment scheme was approved</w:t>
            </w:r>
          </w:p>
        </w:tc>
        <w:tc>
          <w:tcPr>
            <w:tcW w:w="775" w:type="dxa"/>
            <w:shd w:val="clear" w:color="auto" w:fill="auto"/>
            <w:vAlign w:val="bottom"/>
          </w:tcPr>
          <w:p w:rsidR="006D2D1A" w:rsidRPr="00C66F4D" w:rsidRDefault="006D2D1A" w:rsidP="009901AD">
            <w:pPr>
              <w:pStyle w:val="AppendixTableHeadingright"/>
            </w:pPr>
            <w:r w:rsidRPr="00C66F4D">
              <w:t>Adjacent school with enrolment scheme exists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48</w:t>
            </w:r>
          </w:p>
        </w:tc>
        <w:tc>
          <w:tcPr>
            <w:tcW w:w="2333" w:type="dxa"/>
            <w:shd w:val="clear" w:color="auto" w:fill="auto"/>
          </w:tcPr>
          <w:p w:rsidR="006D2D1A" w:rsidRDefault="006D2D1A" w:rsidP="009901AD">
            <w:pPr>
              <w:pStyle w:val="AppendixTableText"/>
            </w:pPr>
            <w:r>
              <w:t>Western Springs College</w:t>
            </w:r>
          </w:p>
        </w:tc>
        <w:tc>
          <w:tcPr>
            <w:tcW w:w="907" w:type="dxa"/>
            <w:shd w:val="clear" w:color="auto" w:fill="auto"/>
          </w:tcPr>
          <w:p w:rsidR="006D2D1A" w:rsidRDefault="006D2D1A" w:rsidP="009901AD">
            <w:pPr>
              <w:pStyle w:val="AppendixTableText"/>
            </w:pPr>
            <w:r>
              <w:t>5/07/2005</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37</w:t>
            </w:r>
          </w:p>
        </w:tc>
        <w:tc>
          <w:tcPr>
            <w:tcW w:w="2333" w:type="dxa"/>
            <w:shd w:val="clear" w:color="auto" w:fill="auto"/>
          </w:tcPr>
          <w:p w:rsidR="006D2D1A" w:rsidRDefault="006D2D1A" w:rsidP="009901AD">
            <w:pPr>
              <w:pStyle w:val="AppendixTableText"/>
            </w:pPr>
            <w:r>
              <w:t>Westlake Boys' High School</w:t>
            </w:r>
          </w:p>
        </w:tc>
        <w:tc>
          <w:tcPr>
            <w:tcW w:w="907" w:type="dxa"/>
            <w:shd w:val="clear" w:color="auto" w:fill="auto"/>
          </w:tcPr>
          <w:p w:rsidR="006D2D1A" w:rsidRDefault="006D2D1A" w:rsidP="009901AD">
            <w:pPr>
              <w:pStyle w:val="AppendixTableText"/>
            </w:pPr>
            <w:r>
              <w:t>29/10/1999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38</w:t>
            </w:r>
          </w:p>
        </w:tc>
        <w:tc>
          <w:tcPr>
            <w:tcW w:w="2333" w:type="dxa"/>
            <w:shd w:val="clear" w:color="auto" w:fill="auto"/>
          </w:tcPr>
          <w:p w:rsidR="006D2D1A" w:rsidRDefault="006D2D1A" w:rsidP="009901AD">
            <w:pPr>
              <w:pStyle w:val="AppendixTableText"/>
            </w:pPr>
            <w:r>
              <w:t>Westlake Girls' High School</w:t>
            </w:r>
          </w:p>
        </w:tc>
        <w:tc>
          <w:tcPr>
            <w:tcW w:w="907" w:type="dxa"/>
            <w:shd w:val="clear" w:color="auto" w:fill="auto"/>
          </w:tcPr>
          <w:p w:rsidR="006D2D1A" w:rsidRDefault="006D2D1A" w:rsidP="009901AD">
            <w:pPr>
              <w:pStyle w:val="AppendixTableText"/>
            </w:pPr>
            <w:r>
              <w:t>13/10/1999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1568</w:t>
            </w:r>
          </w:p>
        </w:tc>
        <w:tc>
          <w:tcPr>
            <w:tcW w:w="2333" w:type="dxa"/>
            <w:shd w:val="clear" w:color="auto" w:fill="auto"/>
          </w:tcPr>
          <w:p w:rsidR="006D2D1A" w:rsidRDefault="006D2D1A" w:rsidP="009901AD">
            <w:pPr>
              <w:pStyle w:val="AppendixTableText"/>
            </w:pPr>
            <w:r>
              <w:t>Westmere School (Auckland)</w:t>
            </w:r>
          </w:p>
        </w:tc>
        <w:tc>
          <w:tcPr>
            <w:tcW w:w="907" w:type="dxa"/>
            <w:shd w:val="clear" w:color="auto" w:fill="auto"/>
          </w:tcPr>
          <w:p w:rsidR="006D2D1A" w:rsidRDefault="006D2D1A" w:rsidP="009901AD">
            <w:pPr>
              <w:pStyle w:val="AppendixTableText"/>
            </w:pPr>
            <w:r>
              <w:t>29/09/1999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2480</w:t>
            </w:r>
          </w:p>
        </w:tc>
        <w:tc>
          <w:tcPr>
            <w:tcW w:w="2333" w:type="dxa"/>
            <w:shd w:val="clear" w:color="auto" w:fill="auto"/>
          </w:tcPr>
          <w:p w:rsidR="006D2D1A" w:rsidRDefault="006D2D1A" w:rsidP="009901AD">
            <w:pPr>
              <w:pStyle w:val="AppendixTableText"/>
            </w:pPr>
            <w:r>
              <w:t>Westmere School (Wanganui)</w:t>
            </w:r>
          </w:p>
        </w:tc>
        <w:tc>
          <w:tcPr>
            <w:tcW w:w="907" w:type="dxa"/>
            <w:shd w:val="clear" w:color="auto" w:fill="auto"/>
          </w:tcPr>
          <w:p w:rsidR="006D2D1A" w:rsidRDefault="006D2D1A" w:rsidP="009901AD">
            <w:pPr>
              <w:pStyle w:val="AppendixTableText"/>
            </w:pPr>
            <w:r>
              <w:t>22/11/2006</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3864</w:t>
            </w:r>
          </w:p>
        </w:tc>
        <w:tc>
          <w:tcPr>
            <w:tcW w:w="2333" w:type="dxa"/>
            <w:shd w:val="clear" w:color="auto" w:fill="auto"/>
          </w:tcPr>
          <w:p w:rsidR="006D2D1A" w:rsidRDefault="006D2D1A" w:rsidP="009901AD">
            <w:pPr>
              <w:pStyle w:val="AppendixTableText"/>
            </w:pPr>
            <w:r>
              <w:t>Weston School</w:t>
            </w:r>
          </w:p>
        </w:tc>
        <w:tc>
          <w:tcPr>
            <w:tcW w:w="907" w:type="dxa"/>
            <w:shd w:val="clear" w:color="auto" w:fill="auto"/>
          </w:tcPr>
          <w:p w:rsidR="006D2D1A" w:rsidRDefault="006D2D1A" w:rsidP="009901AD">
            <w:pPr>
              <w:pStyle w:val="AppendixTableText"/>
            </w:pPr>
            <w:r>
              <w:t>6/03/2007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3236</w:t>
            </w:r>
          </w:p>
        </w:tc>
        <w:tc>
          <w:tcPr>
            <w:tcW w:w="2333" w:type="dxa"/>
            <w:shd w:val="clear" w:color="auto" w:fill="auto"/>
          </w:tcPr>
          <w:p w:rsidR="006D2D1A" w:rsidRDefault="006D2D1A" w:rsidP="009901AD">
            <w:pPr>
              <w:pStyle w:val="AppendixTableText"/>
            </w:pPr>
            <w:r>
              <w:t>Westport South School</w:t>
            </w:r>
          </w:p>
        </w:tc>
        <w:tc>
          <w:tcPr>
            <w:tcW w:w="907" w:type="dxa"/>
            <w:shd w:val="clear" w:color="auto" w:fill="auto"/>
          </w:tcPr>
          <w:p w:rsidR="006D2D1A" w:rsidRDefault="006D2D1A" w:rsidP="009901AD">
            <w:pPr>
              <w:pStyle w:val="AppendixTableText"/>
            </w:pPr>
            <w:r>
              <w:t>25/09/2012</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1570</w:t>
            </w:r>
          </w:p>
        </w:tc>
        <w:tc>
          <w:tcPr>
            <w:tcW w:w="2333" w:type="dxa"/>
            <w:shd w:val="clear" w:color="auto" w:fill="auto"/>
          </w:tcPr>
          <w:p w:rsidR="006D2D1A" w:rsidRDefault="006D2D1A" w:rsidP="009901AD">
            <w:pPr>
              <w:pStyle w:val="AppendixTableText"/>
            </w:pPr>
            <w:r>
              <w:t>Weymouth School</w:t>
            </w:r>
          </w:p>
        </w:tc>
        <w:tc>
          <w:tcPr>
            <w:tcW w:w="907" w:type="dxa"/>
            <w:shd w:val="clear" w:color="auto" w:fill="auto"/>
          </w:tcPr>
          <w:p w:rsidR="006D2D1A" w:rsidRDefault="006D2D1A" w:rsidP="009901AD">
            <w:pPr>
              <w:pStyle w:val="AppendixTableText"/>
            </w:pPr>
            <w:r>
              <w:t>23/07/1999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2481</w:t>
            </w:r>
          </w:p>
        </w:tc>
        <w:tc>
          <w:tcPr>
            <w:tcW w:w="2333" w:type="dxa"/>
            <w:shd w:val="clear" w:color="auto" w:fill="auto"/>
          </w:tcPr>
          <w:p w:rsidR="006D2D1A" w:rsidRDefault="006D2D1A" w:rsidP="009901AD">
            <w:pPr>
              <w:pStyle w:val="AppendixTableText"/>
            </w:pPr>
            <w:r>
              <w:t>Whakarongo School</w:t>
            </w:r>
          </w:p>
        </w:tc>
        <w:tc>
          <w:tcPr>
            <w:tcW w:w="907" w:type="dxa"/>
            <w:shd w:val="clear" w:color="auto" w:fill="auto"/>
          </w:tcPr>
          <w:p w:rsidR="006D2D1A" w:rsidRDefault="006D2D1A" w:rsidP="009901AD">
            <w:pPr>
              <w:pStyle w:val="AppendixTableText"/>
            </w:pPr>
            <w:r>
              <w:t>21/01/2004</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144</w:t>
            </w:r>
          </w:p>
        </w:tc>
        <w:tc>
          <w:tcPr>
            <w:tcW w:w="2333" w:type="dxa"/>
            <w:shd w:val="clear" w:color="auto" w:fill="auto"/>
          </w:tcPr>
          <w:p w:rsidR="006D2D1A" w:rsidRDefault="006D2D1A" w:rsidP="009901AD">
            <w:pPr>
              <w:pStyle w:val="AppendixTableText"/>
            </w:pPr>
            <w:r>
              <w:t>Whakatane High School</w:t>
            </w:r>
          </w:p>
        </w:tc>
        <w:tc>
          <w:tcPr>
            <w:tcW w:w="907" w:type="dxa"/>
            <w:shd w:val="clear" w:color="auto" w:fill="auto"/>
          </w:tcPr>
          <w:p w:rsidR="006D2D1A" w:rsidRDefault="006D2D1A" w:rsidP="009901AD">
            <w:pPr>
              <w:pStyle w:val="AppendixTableText"/>
            </w:pPr>
            <w:r>
              <w:t>31/08/2001</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2082</w:t>
            </w:r>
          </w:p>
        </w:tc>
        <w:tc>
          <w:tcPr>
            <w:tcW w:w="2333" w:type="dxa"/>
            <w:shd w:val="clear" w:color="auto" w:fill="auto"/>
          </w:tcPr>
          <w:p w:rsidR="006D2D1A" w:rsidRDefault="006D2D1A" w:rsidP="009901AD">
            <w:pPr>
              <w:pStyle w:val="AppendixTableText"/>
            </w:pPr>
            <w:r>
              <w:t>Whakatane Intermediate</w:t>
            </w:r>
          </w:p>
        </w:tc>
        <w:tc>
          <w:tcPr>
            <w:tcW w:w="907" w:type="dxa"/>
            <w:shd w:val="clear" w:color="auto" w:fill="auto"/>
          </w:tcPr>
          <w:p w:rsidR="006D2D1A" w:rsidRDefault="006D2D1A" w:rsidP="009901AD">
            <w:pPr>
              <w:pStyle w:val="AppendixTableText"/>
            </w:pPr>
            <w:r>
              <w:t>23/09/2005</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6763</w:t>
            </w:r>
          </w:p>
        </w:tc>
        <w:tc>
          <w:tcPr>
            <w:tcW w:w="2333" w:type="dxa"/>
            <w:shd w:val="clear" w:color="auto" w:fill="auto"/>
          </w:tcPr>
          <w:p w:rsidR="006D2D1A" w:rsidRDefault="006D2D1A" w:rsidP="009901AD">
            <w:pPr>
              <w:pStyle w:val="AppendixTableText"/>
            </w:pPr>
            <w:r>
              <w:t>Whangaparaoa College</w:t>
            </w:r>
          </w:p>
        </w:tc>
        <w:tc>
          <w:tcPr>
            <w:tcW w:w="907" w:type="dxa"/>
            <w:shd w:val="clear" w:color="auto" w:fill="auto"/>
          </w:tcPr>
          <w:p w:rsidR="006D2D1A" w:rsidRDefault="006D2D1A" w:rsidP="009901AD">
            <w:pPr>
              <w:pStyle w:val="AppendixTableText"/>
            </w:pPr>
            <w:r>
              <w:t>1/07/2004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1571</w:t>
            </w:r>
          </w:p>
        </w:tc>
        <w:tc>
          <w:tcPr>
            <w:tcW w:w="2333" w:type="dxa"/>
            <w:shd w:val="clear" w:color="auto" w:fill="auto"/>
          </w:tcPr>
          <w:p w:rsidR="006D2D1A" w:rsidRDefault="006D2D1A" w:rsidP="009901AD">
            <w:pPr>
              <w:pStyle w:val="AppendixTableText"/>
            </w:pPr>
            <w:r>
              <w:t>Whangaparaoa School (Auckland)</w:t>
            </w:r>
          </w:p>
        </w:tc>
        <w:tc>
          <w:tcPr>
            <w:tcW w:w="907" w:type="dxa"/>
            <w:shd w:val="clear" w:color="auto" w:fill="auto"/>
          </w:tcPr>
          <w:p w:rsidR="006D2D1A" w:rsidRDefault="006D2D1A" w:rsidP="009901AD">
            <w:pPr>
              <w:pStyle w:val="AppendixTableText"/>
            </w:pPr>
            <w:r>
              <w:t>31/08/2008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2736</w:t>
            </w:r>
          </w:p>
        </w:tc>
        <w:tc>
          <w:tcPr>
            <w:tcW w:w="2333" w:type="dxa"/>
            <w:shd w:val="clear" w:color="auto" w:fill="auto"/>
          </w:tcPr>
          <w:p w:rsidR="006D2D1A" w:rsidRDefault="006D2D1A" w:rsidP="009901AD">
            <w:pPr>
              <w:pStyle w:val="AppendixTableText"/>
            </w:pPr>
            <w:r>
              <w:t>Whangara School</w:t>
            </w:r>
          </w:p>
        </w:tc>
        <w:tc>
          <w:tcPr>
            <w:tcW w:w="907" w:type="dxa"/>
            <w:shd w:val="clear" w:color="auto" w:fill="auto"/>
          </w:tcPr>
          <w:p w:rsidR="006D2D1A" w:rsidRDefault="006D2D1A" w:rsidP="009901AD">
            <w:pPr>
              <w:pStyle w:val="AppendixTableText"/>
            </w:pPr>
            <w:r>
              <w:t>27/02/2007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1129</w:t>
            </w:r>
          </w:p>
        </w:tc>
        <w:tc>
          <w:tcPr>
            <w:tcW w:w="2333" w:type="dxa"/>
            <w:shd w:val="clear" w:color="auto" w:fill="auto"/>
          </w:tcPr>
          <w:p w:rsidR="006D2D1A" w:rsidRDefault="006D2D1A" w:rsidP="009901AD">
            <w:pPr>
              <w:pStyle w:val="AppendixTableText"/>
            </w:pPr>
            <w:r>
              <w:t>Whangarei Intermediate</w:t>
            </w:r>
          </w:p>
        </w:tc>
        <w:tc>
          <w:tcPr>
            <w:tcW w:w="907" w:type="dxa"/>
            <w:shd w:val="clear" w:color="auto" w:fill="auto"/>
          </w:tcPr>
          <w:p w:rsidR="006D2D1A" w:rsidRDefault="006D2D1A" w:rsidP="009901AD">
            <w:pPr>
              <w:pStyle w:val="AppendixTableText"/>
            </w:pPr>
            <w:r>
              <w:t>10/09/1999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1130</w:t>
            </w:r>
          </w:p>
        </w:tc>
        <w:tc>
          <w:tcPr>
            <w:tcW w:w="2333" w:type="dxa"/>
            <w:shd w:val="clear" w:color="auto" w:fill="auto"/>
          </w:tcPr>
          <w:p w:rsidR="006D2D1A" w:rsidRDefault="006D2D1A" w:rsidP="009901AD">
            <w:pPr>
              <w:pStyle w:val="AppendixTableText"/>
            </w:pPr>
            <w:r>
              <w:t>Whangarei School</w:t>
            </w:r>
          </w:p>
        </w:tc>
        <w:tc>
          <w:tcPr>
            <w:tcW w:w="907" w:type="dxa"/>
            <w:shd w:val="clear" w:color="auto" w:fill="auto"/>
          </w:tcPr>
          <w:p w:rsidR="006D2D1A" w:rsidRDefault="006D2D1A" w:rsidP="009901AD">
            <w:pPr>
              <w:pStyle w:val="AppendixTableText"/>
            </w:pPr>
            <w:r>
              <w:t>27/04/2007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2087</w:t>
            </w:r>
          </w:p>
        </w:tc>
        <w:tc>
          <w:tcPr>
            <w:tcW w:w="2333" w:type="dxa"/>
            <w:shd w:val="clear" w:color="auto" w:fill="auto"/>
          </w:tcPr>
          <w:p w:rsidR="006D2D1A" w:rsidRDefault="006D2D1A" w:rsidP="009901AD">
            <w:pPr>
              <w:pStyle w:val="AppendixTableText"/>
            </w:pPr>
            <w:r>
              <w:t>Whatawhata School</w:t>
            </w:r>
          </w:p>
        </w:tc>
        <w:tc>
          <w:tcPr>
            <w:tcW w:w="907" w:type="dxa"/>
            <w:shd w:val="clear" w:color="auto" w:fill="auto"/>
          </w:tcPr>
          <w:p w:rsidR="006D2D1A" w:rsidRDefault="006D2D1A" w:rsidP="009901AD">
            <w:pPr>
              <w:pStyle w:val="AppendixTableText"/>
            </w:pPr>
            <w:r>
              <w:t>11/12/2012</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2088</w:t>
            </w:r>
          </w:p>
        </w:tc>
        <w:tc>
          <w:tcPr>
            <w:tcW w:w="2333" w:type="dxa"/>
            <w:shd w:val="clear" w:color="auto" w:fill="auto"/>
          </w:tcPr>
          <w:p w:rsidR="006D2D1A" w:rsidRDefault="006D2D1A" w:rsidP="009901AD">
            <w:pPr>
              <w:pStyle w:val="AppendixTableText"/>
            </w:pPr>
            <w:r>
              <w:t>Whenuakite School</w:t>
            </w:r>
          </w:p>
        </w:tc>
        <w:tc>
          <w:tcPr>
            <w:tcW w:w="907" w:type="dxa"/>
            <w:shd w:val="clear" w:color="auto" w:fill="auto"/>
          </w:tcPr>
          <w:p w:rsidR="006D2D1A" w:rsidRDefault="006D2D1A" w:rsidP="009901AD">
            <w:pPr>
              <w:pStyle w:val="AppendixTableText"/>
            </w:pPr>
            <w:r>
              <w:t>22/12/2008</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1572</w:t>
            </w:r>
          </w:p>
        </w:tc>
        <w:tc>
          <w:tcPr>
            <w:tcW w:w="2333" w:type="dxa"/>
            <w:shd w:val="clear" w:color="auto" w:fill="auto"/>
          </w:tcPr>
          <w:p w:rsidR="006D2D1A" w:rsidRDefault="006D2D1A" w:rsidP="009901AD">
            <w:pPr>
              <w:pStyle w:val="AppendixTableText"/>
            </w:pPr>
            <w:r>
              <w:t>Whenuapai School</w:t>
            </w:r>
          </w:p>
        </w:tc>
        <w:tc>
          <w:tcPr>
            <w:tcW w:w="907" w:type="dxa"/>
            <w:shd w:val="clear" w:color="auto" w:fill="auto"/>
          </w:tcPr>
          <w:p w:rsidR="006D2D1A" w:rsidRDefault="006D2D1A" w:rsidP="009901AD">
            <w:pPr>
              <w:pStyle w:val="AppendixTableText"/>
            </w:pPr>
            <w:r>
              <w:t>20/09/1999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1573</w:t>
            </w:r>
          </w:p>
        </w:tc>
        <w:tc>
          <w:tcPr>
            <w:tcW w:w="2333" w:type="dxa"/>
            <w:shd w:val="clear" w:color="auto" w:fill="auto"/>
          </w:tcPr>
          <w:p w:rsidR="006D2D1A" w:rsidRDefault="006D2D1A" w:rsidP="009901AD">
            <w:pPr>
              <w:pStyle w:val="AppendixTableText"/>
            </w:pPr>
            <w:r>
              <w:t>Willow Park School</w:t>
            </w:r>
          </w:p>
        </w:tc>
        <w:tc>
          <w:tcPr>
            <w:tcW w:w="907" w:type="dxa"/>
            <w:shd w:val="clear" w:color="auto" w:fill="auto"/>
          </w:tcPr>
          <w:p w:rsidR="006D2D1A" w:rsidRDefault="006D2D1A" w:rsidP="009901AD">
            <w:pPr>
              <w:pStyle w:val="AppendixTableText"/>
            </w:pPr>
            <w:r>
              <w:t>19/10/1999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6959</w:t>
            </w:r>
          </w:p>
        </w:tc>
        <w:tc>
          <w:tcPr>
            <w:tcW w:w="2333" w:type="dxa"/>
            <w:shd w:val="clear" w:color="auto" w:fill="auto"/>
          </w:tcPr>
          <w:p w:rsidR="006D2D1A" w:rsidRDefault="006D2D1A" w:rsidP="009901AD">
            <w:pPr>
              <w:pStyle w:val="AppendixTableText"/>
            </w:pPr>
            <w:r>
              <w:t>Willowbank School (Howick)</w:t>
            </w:r>
          </w:p>
        </w:tc>
        <w:tc>
          <w:tcPr>
            <w:tcW w:w="907" w:type="dxa"/>
            <w:shd w:val="clear" w:color="auto" w:fill="auto"/>
          </w:tcPr>
          <w:p w:rsidR="006D2D1A" w:rsidRDefault="006D2D1A" w:rsidP="009901AD">
            <w:pPr>
              <w:pStyle w:val="AppendixTableText"/>
            </w:pPr>
            <w:r>
              <w:t>21/11/2000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2484</w:t>
            </w:r>
          </w:p>
        </w:tc>
        <w:tc>
          <w:tcPr>
            <w:tcW w:w="2333" w:type="dxa"/>
            <w:shd w:val="clear" w:color="auto" w:fill="auto"/>
          </w:tcPr>
          <w:p w:rsidR="006D2D1A" w:rsidRDefault="006D2D1A" w:rsidP="009901AD">
            <w:pPr>
              <w:pStyle w:val="AppendixTableText"/>
            </w:pPr>
            <w:r>
              <w:t>Winchester School (P North)</w:t>
            </w:r>
          </w:p>
        </w:tc>
        <w:tc>
          <w:tcPr>
            <w:tcW w:w="907" w:type="dxa"/>
            <w:shd w:val="clear" w:color="auto" w:fill="auto"/>
          </w:tcPr>
          <w:p w:rsidR="006D2D1A" w:rsidRDefault="006D2D1A" w:rsidP="009901AD">
            <w:pPr>
              <w:pStyle w:val="AppendixTableText"/>
            </w:pPr>
            <w:r>
              <w:t>8/06/2004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3074</w:t>
            </w:r>
          </w:p>
        </w:tc>
        <w:tc>
          <w:tcPr>
            <w:tcW w:w="2333" w:type="dxa"/>
            <w:shd w:val="clear" w:color="auto" w:fill="auto"/>
          </w:tcPr>
          <w:p w:rsidR="006D2D1A" w:rsidRDefault="006D2D1A" w:rsidP="009901AD">
            <w:pPr>
              <w:pStyle w:val="AppendixTableText"/>
            </w:pPr>
            <w:r>
              <w:t>Windley School</w:t>
            </w:r>
          </w:p>
        </w:tc>
        <w:tc>
          <w:tcPr>
            <w:tcW w:w="907" w:type="dxa"/>
            <w:shd w:val="clear" w:color="auto" w:fill="auto"/>
          </w:tcPr>
          <w:p w:rsidR="006D2D1A" w:rsidRDefault="006D2D1A" w:rsidP="009901AD">
            <w:pPr>
              <w:pStyle w:val="AppendixTableText"/>
            </w:pPr>
            <w:r>
              <w:t>6/07/2001</w:t>
            </w:r>
          </w:p>
        </w:tc>
        <w:tc>
          <w:tcPr>
            <w:tcW w:w="775" w:type="dxa"/>
            <w:shd w:val="clear" w:color="auto" w:fill="auto"/>
          </w:tcPr>
          <w:p w:rsidR="006D2D1A" w:rsidRDefault="006D2D1A" w:rsidP="00C12FCC">
            <w:pPr>
              <w:pStyle w:val="AppendixTableText"/>
              <w:jc w:val="center"/>
            </w:pPr>
            <w:r>
              <w:t>No</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3967</w:t>
            </w:r>
          </w:p>
        </w:tc>
        <w:tc>
          <w:tcPr>
            <w:tcW w:w="2333" w:type="dxa"/>
            <w:shd w:val="clear" w:color="auto" w:fill="auto"/>
          </w:tcPr>
          <w:p w:rsidR="006D2D1A" w:rsidRDefault="006D2D1A" w:rsidP="009901AD">
            <w:pPr>
              <w:pStyle w:val="AppendixTableText"/>
            </w:pPr>
            <w:r>
              <w:t>Windsor North School</w:t>
            </w:r>
          </w:p>
        </w:tc>
        <w:tc>
          <w:tcPr>
            <w:tcW w:w="907" w:type="dxa"/>
            <w:shd w:val="clear" w:color="auto" w:fill="auto"/>
          </w:tcPr>
          <w:p w:rsidR="006D2D1A" w:rsidRDefault="006D2D1A" w:rsidP="009901AD">
            <w:pPr>
              <w:pStyle w:val="AppendixTableText"/>
            </w:pPr>
            <w:r>
              <w:t>6/08/2008</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3596</w:t>
            </w:r>
          </w:p>
        </w:tc>
        <w:tc>
          <w:tcPr>
            <w:tcW w:w="2333" w:type="dxa"/>
            <w:shd w:val="clear" w:color="auto" w:fill="auto"/>
          </w:tcPr>
          <w:p w:rsidR="006D2D1A" w:rsidRDefault="006D2D1A" w:rsidP="009901AD">
            <w:pPr>
              <w:pStyle w:val="AppendixTableText"/>
            </w:pPr>
            <w:r>
              <w:t>Windsor School (Christchurch)</w:t>
            </w:r>
          </w:p>
        </w:tc>
        <w:tc>
          <w:tcPr>
            <w:tcW w:w="907" w:type="dxa"/>
            <w:shd w:val="clear" w:color="auto" w:fill="auto"/>
          </w:tcPr>
          <w:p w:rsidR="006D2D1A" w:rsidRDefault="006D2D1A" w:rsidP="009901AD">
            <w:pPr>
              <w:pStyle w:val="AppendixTableText"/>
            </w:pPr>
            <w:r>
              <w:t>5/11/1999</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4052</w:t>
            </w:r>
          </w:p>
        </w:tc>
        <w:tc>
          <w:tcPr>
            <w:tcW w:w="2333" w:type="dxa"/>
            <w:shd w:val="clear" w:color="auto" w:fill="auto"/>
          </w:tcPr>
          <w:p w:rsidR="006D2D1A" w:rsidRDefault="006D2D1A" w:rsidP="009901AD">
            <w:pPr>
              <w:pStyle w:val="AppendixTableText"/>
            </w:pPr>
            <w:r>
              <w:t>Winton School</w:t>
            </w:r>
          </w:p>
        </w:tc>
        <w:tc>
          <w:tcPr>
            <w:tcW w:w="907" w:type="dxa"/>
            <w:shd w:val="clear" w:color="auto" w:fill="auto"/>
          </w:tcPr>
          <w:p w:rsidR="006D2D1A" w:rsidRDefault="006D2D1A" w:rsidP="009901AD">
            <w:pPr>
              <w:pStyle w:val="AppendixTableText"/>
            </w:pPr>
            <w:r>
              <w:t>4/04/2008</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1576</w:t>
            </w:r>
          </w:p>
        </w:tc>
        <w:tc>
          <w:tcPr>
            <w:tcW w:w="2333" w:type="dxa"/>
            <w:shd w:val="clear" w:color="auto" w:fill="auto"/>
          </w:tcPr>
          <w:p w:rsidR="006D2D1A" w:rsidRDefault="006D2D1A" w:rsidP="009901AD">
            <w:pPr>
              <w:pStyle w:val="AppendixTableText"/>
            </w:pPr>
            <w:r>
              <w:t>Wiri Central School</w:t>
            </w:r>
          </w:p>
        </w:tc>
        <w:tc>
          <w:tcPr>
            <w:tcW w:w="907" w:type="dxa"/>
            <w:shd w:val="clear" w:color="auto" w:fill="auto"/>
          </w:tcPr>
          <w:p w:rsidR="006D2D1A" w:rsidRDefault="006D2D1A" w:rsidP="009901AD">
            <w:pPr>
              <w:pStyle w:val="AppendixTableText"/>
            </w:pPr>
            <w:r>
              <w:t>4/09/2007</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3075</w:t>
            </w:r>
          </w:p>
        </w:tc>
        <w:tc>
          <w:tcPr>
            <w:tcW w:w="2333" w:type="dxa"/>
            <w:shd w:val="clear" w:color="auto" w:fill="auto"/>
          </w:tcPr>
          <w:p w:rsidR="006D2D1A" w:rsidRDefault="006D2D1A" w:rsidP="009901AD">
            <w:pPr>
              <w:pStyle w:val="AppendixTableText"/>
            </w:pPr>
            <w:r>
              <w:t>Witherlea School</w:t>
            </w:r>
          </w:p>
        </w:tc>
        <w:tc>
          <w:tcPr>
            <w:tcW w:w="907" w:type="dxa"/>
            <w:shd w:val="clear" w:color="auto" w:fill="auto"/>
          </w:tcPr>
          <w:p w:rsidR="006D2D1A" w:rsidRDefault="006D2D1A" w:rsidP="009901AD">
            <w:pPr>
              <w:pStyle w:val="AppendixTableText"/>
            </w:pPr>
            <w:r>
              <w:t>1/01/2004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3600</w:t>
            </w:r>
          </w:p>
        </w:tc>
        <w:tc>
          <w:tcPr>
            <w:tcW w:w="2333" w:type="dxa"/>
            <w:shd w:val="clear" w:color="auto" w:fill="auto"/>
          </w:tcPr>
          <w:p w:rsidR="006D2D1A" w:rsidRDefault="006D2D1A" w:rsidP="009901AD">
            <w:pPr>
              <w:pStyle w:val="AppendixTableText"/>
            </w:pPr>
            <w:r>
              <w:t>Woodend School</w:t>
            </w:r>
          </w:p>
        </w:tc>
        <w:tc>
          <w:tcPr>
            <w:tcW w:w="907" w:type="dxa"/>
            <w:shd w:val="clear" w:color="auto" w:fill="auto"/>
          </w:tcPr>
          <w:p w:rsidR="006D2D1A" w:rsidRDefault="006D2D1A" w:rsidP="009901AD">
            <w:pPr>
              <w:pStyle w:val="AppendixTableText"/>
            </w:pPr>
            <w:r>
              <w:t>28/06/2006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225</w:t>
            </w:r>
          </w:p>
        </w:tc>
        <w:tc>
          <w:tcPr>
            <w:tcW w:w="2333" w:type="dxa"/>
            <w:shd w:val="clear" w:color="auto" w:fill="auto"/>
          </w:tcPr>
          <w:p w:rsidR="006D2D1A" w:rsidRDefault="006D2D1A" w:rsidP="009901AD">
            <w:pPr>
              <w:pStyle w:val="AppendixTableText"/>
            </w:pPr>
            <w:r>
              <w:t>Woodford House</w:t>
            </w:r>
          </w:p>
        </w:tc>
        <w:tc>
          <w:tcPr>
            <w:tcW w:w="907" w:type="dxa"/>
            <w:shd w:val="clear" w:color="auto" w:fill="auto"/>
          </w:tcPr>
          <w:p w:rsidR="006D2D1A" w:rsidRDefault="006D2D1A" w:rsidP="009901AD">
            <w:pPr>
              <w:pStyle w:val="AppendixTableText"/>
            </w:pPr>
            <w:r>
              <w:t>2/04/2004</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1577</w:t>
            </w:r>
          </w:p>
        </w:tc>
        <w:tc>
          <w:tcPr>
            <w:tcW w:w="2333" w:type="dxa"/>
            <w:shd w:val="clear" w:color="auto" w:fill="auto"/>
          </w:tcPr>
          <w:p w:rsidR="006D2D1A" w:rsidRDefault="006D2D1A" w:rsidP="009901AD">
            <w:pPr>
              <w:pStyle w:val="AppendixTableText"/>
            </w:pPr>
            <w:r>
              <w:t>Woodhill School</w:t>
            </w:r>
          </w:p>
        </w:tc>
        <w:tc>
          <w:tcPr>
            <w:tcW w:w="907" w:type="dxa"/>
            <w:shd w:val="clear" w:color="auto" w:fill="auto"/>
          </w:tcPr>
          <w:p w:rsidR="006D2D1A" w:rsidRDefault="006D2D1A" w:rsidP="009901AD">
            <w:pPr>
              <w:pStyle w:val="AppendixTableText"/>
            </w:pPr>
            <w:r>
              <w:t>3/03/2006</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Default="006D2D1A" w:rsidP="009901AD">
            <w:pPr>
              <w:pStyle w:val="AppendixTableText"/>
            </w:pPr>
            <w:r>
              <w:t>1578</w:t>
            </w:r>
          </w:p>
        </w:tc>
        <w:tc>
          <w:tcPr>
            <w:tcW w:w="2333" w:type="dxa"/>
            <w:shd w:val="clear" w:color="auto" w:fill="auto"/>
          </w:tcPr>
          <w:p w:rsidR="006D2D1A" w:rsidRDefault="006D2D1A" w:rsidP="009901AD">
            <w:pPr>
              <w:pStyle w:val="AppendixTableText"/>
            </w:pPr>
            <w:r>
              <w:t>Woodlands Park School</w:t>
            </w:r>
          </w:p>
        </w:tc>
        <w:tc>
          <w:tcPr>
            <w:tcW w:w="907" w:type="dxa"/>
            <w:shd w:val="clear" w:color="auto" w:fill="auto"/>
          </w:tcPr>
          <w:p w:rsidR="006D2D1A" w:rsidRDefault="006D2D1A" w:rsidP="009901AD">
            <w:pPr>
              <w:pStyle w:val="AppendixTableText"/>
            </w:pPr>
            <w:r>
              <w:t>4/10/2010</w:t>
            </w:r>
          </w:p>
        </w:tc>
        <w:tc>
          <w:tcPr>
            <w:tcW w:w="775" w:type="dxa"/>
            <w:shd w:val="clear" w:color="auto" w:fill="auto"/>
          </w:tcPr>
          <w:p w:rsidR="006D2D1A" w:rsidRDefault="006D2D1A" w:rsidP="00C12FCC">
            <w:pPr>
              <w:pStyle w:val="AppendixTableText"/>
              <w:jc w:val="center"/>
            </w:pPr>
            <w:r>
              <w:t>Yes</w:t>
            </w:r>
          </w:p>
        </w:tc>
      </w:tr>
      <w:tr w:rsidR="006D2D1A" w:rsidRPr="00D77804" w:rsidTr="009901AD">
        <w:trPr>
          <w:tblHeader/>
          <w:jc w:val="center"/>
        </w:trPr>
        <w:tc>
          <w:tcPr>
            <w:tcW w:w="748" w:type="dxa"/>
            <w:shd w:val="clear" w:color="auto" w:fill="auto"/>
          </w:tcPr>
          <w:p w:rsidR="006D2D1A" w:rsidRPr="004224C6" w:rsidRDefault="006D2D1A" w:rsidP="009901AD">
            <w:pPr>
              <w:pStyle w:val="AppendixTableText"/>
              <w:rPr>
                <w:szCs w:val="20"/>
              </w:rPr>
            </w:pPr>
            <w:r w:rsidRPr="004224C6">
              <w:rPr>
                <w:szCs w:val="22"/>
              </w:rPr>
              <w:t>2093</w:t>
            </w:r>
          </w:p>
        </w:tc>
        <w:tc>
          <w:tcPr>
            <w:tcW w:w="2333" w:type="dxa"/>
            <w:shd w:val="clear" w:color="auto" w:fill="auto"/>
          </w:tcPr>
          <w:p w:rsidR="006D2D1A" w:rsidRPr="004224C6" w:rsidRDefault="006D2D1A" w:rsidP="009901AD">
            <w:pPr>
              <w:pStyle w:val="AppendixTableText"/>
              <w:rPr>
                <w:szCs w:val="20"/>
              </w:rPr>
            </w:pPr>
            <w:r w:rsidRPr="004224C6">
              <w:rPr>
                <w:szCs w:val="22"/>
              </w:rPr>
              <w:t>Woodstock School</w:t>
            </w:r>
          </w:p>
        </w:tc>
        <w:tc>
          <w:tcPr>
            <w:tcW w:w="907" w:type="dxa"/>
            <w:shd w:val="clear" w:color="auto" w:fill="auto"/>
          </w:tcPr>
          <w:p w:rsidR="006D2D1A" w:rsidRPr="004224C6" w:rsidRDefault="006D2D1A" w:rsidP="009901AD">
            <w:pPr>
              <w:pStyle w:val="AppendixTableText"/>
              <w:rPr>
                <w:szCs w:val="20"/>
              </w:rPr>
            </w:pPr>
            <w:r w:rsidRPr="004224C6">
              <w:rPr>
                <w:szCs w:val="22"/>
              </w:rPr>
              <w:t>10/04/2006</w:t>
            </w:r>
          </w:p>
        </w:tc>
        <w:tc>
          <w:tcPr>
            <w:tcW w:w="775" w:type="dxa"/>
            <w:shd w:val="clear" w:color="auto" w:fill="auto"/>
          </w:tcPr>
          <w:p w:rsidR="006D2D1A" w:rsidRPr="004224C6" w:rsidRDefault="006D2D1A" w:rsidP="00C12FCC">
            <w:pPr>
              <w:pStyle w:val="AppendixTableText"/>
              <w:jc w:val="center"/>
              <w:rPr>
                <w:szCs w:val="20"/>
              </w:rPr>
            </w:pPr>
            <w:r w:rsidRPr="004224C6">
              <w:rPr>
                <w:szCs w:val="22"/>
              </w:rPr>
              <w:t>No</w:t>
            </w:r>
          </w:p>
        </w:tc>
      </w:tr>
      <w:tr w:rsidR="006D2D1A" w:rsidRPr="00D77804" w:rsidTr="009901AD">
        <w:trPr>
          <w:tblHeader/>
          <w:jc w:val="center"/>
        </w:trPr>
        <w:tc>
          <w:tcPr>
            <w:tcW w:w="748" w:type="dxa"/>
            <w:shd w:val="clear" w:color="auto" w:fill="auto"/>
          </w:tcPr>
          <w:p w:rsidR="006D2D1A" w:rsidRPr="004224C6" w:rsidRDefault="006D2D1A" w:rsidP="009901AD">
            <w:pPr>
              <w:pStyle w:val="AppendixTableText"/>
              <w:rPr>
                <w:szCs w:val="20"/>
              </w:rPr>
            </w:pPr>
            <w:r w:rsidRPr="004224C6">
              <w:rPr>
                <w:szCs w:val="22"/>
              </w:rPr>
              <w:t>3077</w:t>
            </w:r>
          </w:p>
        </w:tc>
        <w:tc>
          <w:tcPr>
            <w:tcW w:w="2333" w:type="dxa"/>
            <w:shd w:val="clear" w:color="auto" w:fill="auto"/>
          </w:tcPr>
          <w:p w:rsidR="006D2D1A" w:rsidRPr="004224C6" w:rsidRDefault="006D2D1A" w:rsidP="009901AD">
            <w:pPr>
              <w:pStyle w:val="AppendixTableText"/>
              <w:rPr>
                <w:szCs w:val="20"/>
              </w:rPr>
            </w:pPr>
            <w:r w:rsidRPr="004224C6">
              <w:rPr>
                <w:szCs w:val="22"/>
              </w:rPr>
              <w:t>Worser Bay School</w:t>
            </w:r>
          </w:p>
        </w:tc>
        <w:tc>
          <w:tcPr>
            <w:tcW w:w="907" w:type="dxa"/>
            <w:shd w:val="clear" w:color="auto" w:fill="auto"/>
          </w:tcPr>
          <w:p w:rsidR="006D2D1A" w:rsidRPr="004224C6" w:rsidRDefault="006D2D1A" w:rsidP="009901AD">
            <w:pPr>
              <w:pStyle w:val="AppendixTableText"/>
              <w:rPr>
                <w:szCs w:val="20"/>
              </w:rPr>
            </w:pPr>
            <w:r w:rsidRPr="004224C6">
              <w:rPr>
                <w:szCs w:val="22"/>
              </w:rPr>
              <w:t>2/09/2008</w:t>
            </w:r>
          </w:p>
        </w:tc>
        <w:tc>
          <w:tcPr>
            <w:tcW w:w="775" w:type="dxa"/>
            <w:shd w:val="clear" w:color="auto" w:fill="auto"/>
          </w:tcPr>
          <w:p w:rsidR="006D2D1A" w:rsidRPr="004224C6" w:rsidRDefault="006D2D1A" w:rsidP="00C12FCC">
            <w:pPr>
              <w:pStyle w:val="AppendixTableText"/>
              <w:jc w:val="center"/>
              <w:rPr>
                <w:szCs w:val="20"/>
              </w:rPr>
            </w:pPr>
            <w:r w:rsidRPr="004224C6">
              <w:rPr>
                <w:szCs w:val="22"/>
              </w:rPr>
              <w:t>No</w:t>
            </w:r>
          </w:p>
        </w:tc>
      </w:tr>
      <w:tr w:rsidR="006D2D1A" w:rsidRPr="00D77804" w:rsidTr="009901AD">
        <w:trPr>
          <w:tblHeader/>
          <w:jc w:val="center"/>
        </w:trPr>
        <w:tc>
          <w:tcPr>
            <w:tcW w:w="748" w:type="dxa"/>
            <w:shd w:val="clear" w:color="auto" w:fill="auto"/>
          </w:tcPr>
          <w:p w:rsidR="006D2D1A" w:rsidRPr="004224C6" w:rsidRDefault="006D2D1A" w:rsidP="009901AD">
            <w:pPr>
              <w:pStyle w:val="AppendixTableText"/>
              <w:rPr>
                <w:szCs w:val="20"/>
              </w:rPr>
            </w:pPr>
            <w:r w:rsidRPr="004224C6">
              <w:rPr>
                <w:szCs w:val="22"/>
              </w:rPr>
              <w:t>3602</w:t>
            </w:r>
          </w:p>
        </w:tc>
        <w:tc>
          <w:tcPr>
            <w:tcW w:w="2333" w:type="dxa"/>
            <w:shd w:val="clear" w:color="auto" w:fill="auto"/>
          </w:tcPr>
          <w:p w:rsidR="006D2D1A" w:rsidRPr="004224C6" w:rsidRDefault="006D2D1A" w:rsidP="009901AD">
            <w:pPr>
              <w:pStyle w:val="AppendixTableText"/>
              <w:rPr>
                <w:szCs w:val="20"/>
              </w:rPr>
            </w:pPr>
            <w:r w:rsidRPr="004224C6">
              <w:rPr>
                <w:szCs w:val="22"/>
              </w:rPr>
              <w:t>Yaldhurst Model School</w:t>
            </w:r>
          </w:p>
        </w:tc>
        <w:tc>
          <w:tcPr>
            <w:tcW w:w="907" w:type="dxa"/>
            <w:shd w:val="clear" w:color="auto" w:fill="auto"/>
          </w:tcPr>
          <w:p w:rsidR="006D2D1A" w:rsidRPr="004224C6" w:rsidRDefault="006D2D1A" w:rsidP="009901AD">
            <w:pPr>
              <w:pStyle w:val="AppendixTableText"/>
              <w:rPr>
                <w:szCs w:val="20"/>
              </w:rPr>
            </w:pPr>
            <w:r w:rsidRPr="004224C6">
              <w:rPr>
                <w:szCs w:val="22"/>
              </w:rPr>
              <w:t>10/09/2001</w:t>
            </w:r>
          </w:p>
        </w:tc>
        <w:tc>
          <w:tcPr>
            <w:tcW w:w="775" w:type="dxa"/>
            <w:shd w:val="clear" w:color="auto" w:fill="auto"/>
          </w:tcPr>
          <w:p w:rsidR="006D2D1A" w:rsidRPr="004224C6" w:rsidRDefault="006D2D1A" w:rsidP="00C12FCC">
            <w:pPr>
              <w:pStyle w:val="AppendixTableText"/>
              <w:jc w:val="center"/>
              <w:rPr>
                <w:szCs w:val="20"/>
              </w:rPr>
            </w:pPr>
            <w:r w:rsidRPr="004224C6">
              <w:rPr>
                <w:szCs w:val="22"/>
              </w:rPr>
              <w:t>Yes</w:t>
            </w:r>
          </w:p>
        </w:tc>
      </w:tr>
    </w:tbl>
    <w:p w:rsidR="0070262E" w:rsidRPr="0060013A" w:rsidRDefault="0070262E" w:rsidP="0027731F">
      <w:pPr>
        <w:pStyle w:val="BodyText"/>
        <w:rPr>
          <w:highlight w:val="yellow"/>
        </w:rPr>
        <w:sectPr w:rsidR="0070262E" w:rsidRPr="0060013A" w:rsidSect="00E85C6B">
          <w:type w:val="continuous"/>
          <w:pgSz w:w="11906" w:h="16838"/>
          <w:pgMar w:top="1701" w:right="1134" w:bottom="1134" w:left="1134" w:header="709" w:footer="709" w:gutter="0"/>
          <w:cols w:num="2" w:sep="1" w:space="57"/>
          <w:docGrid w:linePitch="360"/>
        </w:sectPr>
      </w:pPr>
    </w:p>
    <w:p w:rsidR="001832B6" w:rsidRPr="0060013A" w:rsidRDefault="001832B6" w:rsidP="0027731F">
      <w:pPr>
        <w:pStyle w:val="BodyText"/>
        <w:rPr>
          <w:highlight w:val="yellow"/>
        </w:rPr>
      </w:pPr>
    </w:p>
    <w:p w:rsidR="00147156" w:rsidRPr="0060013A" w:rsidRDefault="00147156" w:rsidP="0027731F">
      <w:pPr>
        <w:pStyle w:val="BodyText"/>
        <w:rPr>
          <w:highlight w:val="yellow"/>
        </w:rPr>
        <w:sectPr w:rsidR="00147156" w:rsidRPr="0060013A" w:rsidSect="00E85C6B">
          <w:type w:val="continuous"/>
          <w:pgSz w:w="11906" w:h="16838"/>
          <w:pgMar w:top="1701" w:right="1361" w:bottom="1134" w:left="1701" w:header="709" w:footer="709" w:gutter="0"/>
          <w:cols w:num="2" w:sep="1" w:space="57"/>
          <w:docGrid w:linePitch="360"/>
        </w:sectPr>
      </w:pPr>
    </w:p>
    <w:p w:rsidR="0042711D" w:rsidRPr="001C325F" w:rsidRDefault="0042711D" w:rsidP="0042711D">
      <w:pPr>
        <w:pStyle w:val="Heading1"/>
      </w:pPr>
      <w:bookmarkStart w:id="268" w:name="_Toc367361663"/>
      <w:bookmarkStart w:id="269" w:name="_Toc304542894"/>
      <w:bookmarkStart w:id="270" w:name="_Toc304799271"/>
      <w:r w:rsidRPr="001C325F">
        <w:t>Appendix 2</w:t>
      </w:r>
      <w:bookmarkEnd w:id="268"/>
    </w:p>
    <w:p w:rsidR="0042711D" w:rsidRPr="001C325F" w:rsidRDefault="0042711D" w:rsidP="0042711D">
      <w:pPr>
        <w:pStyle w:val="Heading2"/>
        <w:rPr>
          <w:lang w:eastAsia="en-NZ"/>
        </w:rPr>
      </w:pPr>
      <w:bookmarkStart w:id="271" w:name="_Toc367361664"/>
      <w:r w:rsidRPr="001C325F">
        <w:rPr>
          <w:lang w:eastAsia="en-NZ"/>
        </w:rPr>
        <w:t>Statement of Results</w:t>
      </w:r>
      <w:bookmarkEnd w:id="271"/>
    </w:p>
    <w:bookmarkEnd w:id="269"/>
    <w:bookmarkEnd w:id="270"/>
    <w:p w:rsidR="00610BB7" w:rsidRPr="000813F7" w:rsidRDefault="0042711D" w:rsidP="000813F7">
      <w:pPr>
        <w:pStyle w:val="BodyText"/>
      </w:pPr>
      <w:r w:rsidRPr="000813F7">
        <w:t xml:space="preserve">This appendix </w:t>
      </w:r>
      <w:r w:rsidR="00610BB7" w:rsidRPr="000813F7">
        <w:t xml:space="preserve">provides Statements of Results for the following non-departmental other expenses appropriations: </w:t>
      </w:r>
    </w:p>
    <w:p w:rsidR="00610BB7" w:rsidRPr="001C325F" w:rsidRDefault="00CD6267" w:rsidP="009013E0">
      <w:pPr>
        <w:pStyle w:val="BodyTextBullets"/>
      </w:pPr>
      <w:r>
        <w:t>Primary E</w:t>
      </w:r>
      <w:r w:rsidR="00610BB7" w:rsidRPr="001C325F">
        <w:t xml:space="preserve">ducation </w:t>
      </w:r>
    </w:p>
    <w:p w:rsidR="00610BB7" w:rsidRPr="001C325F" w:rsidRDefault="00CD6267" w:rsidP="009013E0">
      <w:pPr>
        <w:pStyle w:val="BodyTextBullets"/>
      </w:pPr>
      <w:r>
        <w:t>Secondary E</w:t>
      </w:r>
      <w:r w:rsidR="00610BB7" w:rsidRPr="001C325F">
        <w:t xml:space="preserve">ducation </w:t>
      </w:r>
    </w:p>
    <w:p w:rsidR="00610BB7" w:rsidRPr="00CF1F50" w:rsidRDefault="00CD6267" w:rsidP="00030453">
      <w:pPr>
        <w:pStyle w:val="BodyTextBulletslast"/>
      </w:pPr>
      <w:r>
        <w:t>Special N</w:t>
      </w:r>
      <w:r w:rsidR="00610BB7" w:rsidRPr="00CF1F50">
        <w:t xml:space="preserve">eeds </w:t>
      </w:r>
      <w:r>
        <w:rPr>
          <w:szCs w:val="19"/>
        </w:rPr>
        <w:t>S</w:t>
      </w:r>
      <w:r w:rsidR="00610BB7" w:rsidRPr="00CF1F50">
        <w:rPr>
          <w:szCs w:val="19"/>
        </w:rPr>
        <w:t>upport</w:t>
      </w:r>
      <w:r w:rsidR="00610BB7" w:rsidRPr="00CF1F50">
        <w:t xml:space="preserve">. </w:t>
      </w:r>
    </w:p>
    <w:p w:rsidR="00610BB7" w:rsidRDefault="00610BB7" w:rsidP="00257BC8">
      <w:pPr>
        <w:pStyle w:val="BodyText"/>
        <w:rPr>
          <w:lang w:val="en-US"/>
        </w:rPr>
      </w:pPr>
      <w:r w:rsidRPr="001C325F">
        <w:rPr>
          <w:lang w:val="en-US"/>
        </w:rPr>
        <w:t>These appropriations provide the bulk of the funding allocated to schools including teacher salaries.</w:t>
      </w:r>
      <w:r w:rsidR="0006309A" w:rsidRPr="001C325F">
        <w:rPr>
          <w:lang w:val="en-US"/>
        </w:rPr>
        <w:t xml:space="preserve"> </w:t>
      </w:r>
    </w:p>
    <w:p w:rsidR="00CD6267" w:rsidRPr="00CD6267" w:rsidRDefault="00CD6267" w:rsidP="00257BC8">
      <w:pPr>
        <w:pStyle w:val="BodyText"/>
      </w:pPr>
      <w:r>
        <w:t>The appendix also includes a Statement of Service Performance for non-departmental output expense Secondary-Tertiary Interface.</w:t>
      </w:r>
    </w:p>
    <w:p w:rsidR="00610BB7" w:rsidRPr="000813F7" w:rsidRDefault="00610BB7" w:rsidP="000813F7">
      <w:pPr>
        <w:pStyle w:val="BodyText"/>
      </w:pPr>
      <w:r w:rsidRPr="000813F7">
        <w:t>The Statements of Results</w:t>
      </w:r>
      <w:r w:rsidR="00CD6267">
        <w:t xml:space="preserve"> and Statements of Service Performance</w:t>
      </w:r>
      <w:r w:rsidRPr="000813F7">
        <w:t xml:space="preserve"> include: </w:t>
      </w:r>
    </w:p>
    <w:p w:rsidR="00610BB7" w:rsidRPr="001C325F" w:rsidRDefault="00610BB7" w:rsidP="009013E0">
      <w:pPr>
        <w:pStyle w:val="BodyTextBullets"/>
        <w:rPr>
          <w:lang w:val="en-US"/>
        </w:rPr>
      </w:pPr>
      <w:r w:rsidRPr="001C325F">
        <w:t>actual</w:t>
      </w:r>
      <w:r w:rsidRPr="001C325F">
        <w:rPr>
          <w:lang w:val="en-US"/>
        </w:rPr>
        <w:t xml:space="preserve"> performance measured against the objectives established at the beginning of the year for each appropriation</w:t>
      </w:r>
    </w:p>
    <w:p w:rsidR="00FE70BF" w:rsidRPr="00CF1F50" w:rsidRDefault="00610BB7" w:rsidP="00030453">
      <w:pPr>
        <w:pStyle w:val="BodyTextBulletslast"/>
      </w:pPr>
      <w:r w:rsidRPr="00CF1F50">
        <w:t>operating costs for each appropriation</w:t>
      </w:r>
      <w:r w:rsidR="00CD6267">
        <w:t>.</w:t>
      </w:r>
    </w:p>
    <w:p w:rsidR="004D42E7" w:rsidRPr="001C325F" w:rsidRDefault="00FE70BF" w:rsidP="00FE70BF">
      <w:pPr>
        <w:pStyle w:val="Heading2"/>
      </w:pPr>
      <w:bookmarkStart w:id="272" w:name="_Toc304542895"/>
      <w:bookmarkStart w:id="273" w:name="_Toc304799272"/>
      <w:bookmarkStart w:id="274" w:name="_Toc367361665"/>
      <w:r w:rsidRPr="001C325F">
        <w:t>Non-departmental other expenses</w:t>
      </w:r>
      <w:bookmarkEnd w:id="272"/>
      <w:bookmarkEnd w:id="273"/>
      <w:bookmarkEnd w:id="274"/>
    </w:p>
    <w:p w:rsidR="004D42E7" w:rsidRPr="001C325F" w:rsidRDefault="00CD6267" w:rsidP="002E741F">
      <w:pPr>
        <w:pStyle w:val="Heading3"/>
      </w:pPr>
      <w:r>
        <w:t>Primary E</w:t>
      </w:r>
      <w:r w:rsidR="00FE70BF" w:rsidRPr="001C325F">
        <w:t>ducation</w:t>
      </w:r>
    </w:p>
    <w:p w:rsidR="0049340C" w:rsidRPr="001C325F" w:rsidRDefault="0049340C" w:rsidP="002A1C02">
      <w:pPr>
        <w:pStyle w:val="Heading4"/>
        <w:rPr>
          <w:lang w:val="en-AU"/>
        </w:rPr>
      </w:pPr>
      <w:r w:rsidRPr="001C325F">
        <w:rPr>
          <w:lang w:val="en-AU"/>
        </w:rPr>
        <w:t>Scope of Appropriation</w:t>
      </w:r>
    </w:p>
    <w:p w:rsidR="0049340C" w:rsidRPr="001C325F" w:rsidRDefault="0049340C" w:rsidP="0049340C">
      <w:pPr>
        <w:pStyle w:val="BodyText"/>
      </w:pPr>
      <w:r w:rsidRPr="001C325F">
        <w:t>Delivering the curriculum for Years 0 to 8 (new entrant to Form 2) to pupils of State, integrated, private schools and The Correspondence School.</w:t>
      </w:r>
      <w:r w:rsidR="00235FD2">
        <w:t xml:space="preserve"> </w:t>
      </w:r>
      <w:r w:rsidRPr="001C325F">
        <w:t>Provides roll-based operations funding to schools, teacher and management salaries, support costs and supplementary funding programmes.</w:t>
      </w:r>
    </w:p>
    <w:p w:rsidR="0049340C" w:rsidRPr="001C325F" w:rsidRDefault="0049340C" w:rsidP="002A1C02">
      <w:pPr>
        <w:pStyle w:val="Heading4"/>
        <w:rPr>
          <w:lang w:val="en-AU"/>
        </w:rPr>
      </w:pPr>
      <w:r w:rsidRPr="001C325F">
        <w:rPr>
          <w:lang w:val="en-AU"/>
        </w:rPr>
        <w:t>Intended Impacts, Outcomes or Objectives</w:t>
      </w:r>
    </w:p>
    <w:p w:rsidR="001C325F" w:rsidRPr="001C325F" w:rsidRDefault="001C325F" w:rsidP="001C325F">
      <w:pPr>
        <w:rPr>
          <w:highlight w:val="yellow"/>
          <w:lang w:val="en-AU"/>
        </w:rPr>
      </w:pPr>
      <w:r>
        <w:t>Early achievement of core skills</w:t>
      </w:r>
      <w:r w:rsidR="00CF65E4">
        <w:t>.</w:t>
      </w:r>
    </w:p>
    <w:p w:rsidR="0049340C" w:rsidRPr="001C325F" w:rsidRDefault="0049340C" w:rsidP="002A1C02">
      <w:pPr>
        <w:pStyle w:val="Heading4"/>
        <w:rPr>
          <w:lang w:val="en-AU"/>
        </w:rPr>
      </w:pPr>
      <w:r w:rsidRPr="001C325F">
        <w:rPr>
          <w:lang w:val="en-AU"/>
        </w:rPr>
        <w:t>Description of Activities</w:t>
      </w:r>
    </w:p>
    <w:p w:rsidR="004D42E7" w:rsidRPr="001C325F" w:rsidRDefault="0049340C" w:rsidP="0049340C">
      <w:pPr>
        <w:pStyle w:val="BodyText"/>
      </w:pPr>
      <w:r w:rsidRPr="001C325F">
        <w:t>This expense includes the number of students and teachers in the primary education sector, the quality of the management and governance of the schools in the sector, the timeliness of their operations, and their financial expenses.</w:t>
      </w:r>
    </w:p>
    <w:p w:rsidR="004D42E7" w:rsidRPr="0060013A" w:rsidRDefault="0098450B" w:rsidP="008C6023">
      <w:pPr>
        <w:pStyle w:val="Heading4"/>
        <w:rPr>
          <w:highlight w:val="yellow"/>
        </w:rPr>
      </w:pPr>
      <w:r w:rsidRPr="0060013A">
        <w:rPr>
          <w:highlight w:val="yellow"/>
        </w:rPr>
        <w:br w:type="page"/>
      </w:r>
      <w:r w:rsidR="004D42E7" w:rsidRPr="006D528F">
        <w:t>Results</w:t>
      </w:r>
      <w:r w:rsidR="008C6023" w:rsidRPr="006D528F">
        <w:t xml:space="preserve"> </w:t>
      </w:r>
      <w:r w:rsidR="00EF4FB7">
        <w:rPr>
          <w:rFonts w:cs="Arial"/>
        </w:rPr>
        <w:t>―</w:t>
      </w:r>
      <w:r w:rsidR="008C6023" w:rsidRPr="006D528F">
        <w:t xml:space="preserve"> </w:t>
      </w:r>
      <w:r w:rsidR="004D42E7" w:rsidRPr="006D528F">
        <w:t>Non-Financial</w:t>
      </w:r>
    </w:p>
    <w:tbl>
      <w:tblPr>
        <w:tblW w:w="895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1E0"/>
      </w:tblPr>
      <w:tblGrid>
        <w:gridCol w:w="3470"/>
        <w:gridCol w:w="1828"/>
        <w:gridCol w:w="1828"/>
        <w:gridCol w:w="1833"/>
      </w:tblGrid>
      <w:tr w:rsidR="004D42E7" w:rsidRPr="0060013A" w:rsidTr="009901AD">
        <w:trPr>
          <w:trHeight w:val="70"/>
          <w:tblHeader/>
        </w:trPr>
        <w:tc>
          <w:tcPr>
            <w:tcW w:w="3470" w:type="dxa"/>
            <w:tcBorders>
              <w:bottom w:val="single" w:sz="4" w:space="0" w:color="FFFFFF"/>
            </w:tcBorders>
            <w:shd w:val="clear" w:color="auto" w:fill="DBE2D1"/>
          </w:tcPr>
          <w:p w:rsidR="004D42E7" w:rsidRPr="004278C3" w:rsidRDefault="004D42E7" w:rsidP="004278C3">
            <w:pPr>
              <w:pStyle w:val="TableText"/>
              <w:rPr>
                <w:b/>
              </w:rPr>
            </w:pPr>
            <w:r w:rsidRPr="004278C3">
              <w:rPr>
                <w:b/>
              </w:rPr>
              <w:t>Results</w:t>
            </w:r>
          </w:p>
        </w:tc>
        <w:tc>
          <w:tcPr>
            <w:tcW w:w="1828" w:type="dxa"/>
            <w:tcBorders>
              <w:bottom w:val="single" w:sz="4" w:space="0" w:color="FFFFFF"/>
            </w:tcBorders>
            <w:shd w:val="clear" w:color="auto" w:fill="DBE2D1"/>
          </w:tcPr>
          <w:p w:rsidR="0049340C" w:rsidRPr="004278C3" w:rsidRDefault="001C325F" w:rsidP="004278C3">
            <w:pPr>
              <w:pStyle w:val="TableText"/>
              <w:rPr>
                <w:b/>
              </w:rPr>
            </w:pPr>
            <w:r w:rsidRPr="004278C3">
              <w:rPr>
                <w:b/>
              </w:rPr>
              <w:t>2011/12</w:t>
            </w:r>
          </w:p>
          <w:p w:rsidR="004D42E7" w:rsidRPr="004278C3" w:rsidRDefault="0049340C" w:rsidP="004278C3">
            <w:pPr>
              <w:pStyle w:val="TableText"/>
              <w:rPr>
                <w:b/>
              </w:rPr>
            </w:pPr>
            <w:r w:rsidRPr="004278C3">
              <w:rPr>
                <w:b/>
              </w:rPr>
              <w:t>Actual</w:t>
            </w:r>
            <w:r w:rsidRPr="004278C3">
              <w:rPr>
                <w:b/>
              </w:rPr>
              <w:br/>
              <w:t>Standard</w:t>
            </w:r>
          </w:p>
        </w:tc>
        <w:tc>
          <w:tcPr>
            <w:tcW w:w="1828" w:type="dxa"/>
            <w:tcBorders>
              <w:bottom w:val="single" w:sz="4" w:space="0" w:color="FFFFFF"/>
            </w:tcBorders>
            <w:shd w:val="clear" w:color="auto" w:fill="DBE2D1"/>
          </w:tcPr>
          <w:p w:rsidR="0049340C" w:rsidRPr="004278C3" w:rsidRDefault="0049340C" w:rsidP="004278C3">
            <w:pPr>
              <w:pStyle w:val="TableText"/>
              <w:rPr>
                <w:b/>
              </w:rPr>
            </w:pPr>
            <w:r w:rsidRPr="004278C3">
              <w:rPr>
                <w:b/>
              </w:rPr>
              <w:t>20</w:t>
            </w:r>
            <w:r w:rsidR="001C325F" w:rsidRPr="004278C3">
              <w:rPr>
                <w:b/>
              </w:rPr>
              <w:t>12/13</w:t>
            </w:r>
          </w:p>
          <w:p w:rsidR="004D42E7" w:rsidRPr="004278C3" w:rsidRDefault="0049340C" w:rsidP="004278C3">
            <w:pPr>
              <w:pStyle w:val="TableText"/>
              <w:rPr>
                <w:b/>
              </w:rPr>
            </w:pPr>
            <w:r w:rsidRPr="004278C3">
              <w:rPr>
                <w:b/>
              </w:rPr>
              <w:t>Budgeted</w:t>
            </w:r>
            <w:r w:rsidRPr="004278C3">
              <w:rPr>
                <w:b/>
              </w:rPr>
              <w:br/>
              <w:t>Standard</w:t>
            </w:r>
          </w:p>
        </w:tc>
        <w:tc>
          <w:tcPr>
            <w:tcW w:w="1833" w:type="dxa"/>
            <w:tcBorders>
              <w:bottom w:val="single" w:sz="4" w:space="0" w:color="FFFFFF"/>
            </w:tcBorders>
            <w:shd w:val="clear" w:color="auto" w:fill="DBE2D1"/>
          </w:tcPr>
          <w:p w:rsidR="0049340C" w:rsidRPr="004278C3" w:rsidRDefault="001C325F" w:rsidP="004278C3">
            <w:pPr>
              <w:pStyle w:val="TableText"/>
              <w:rPr>
                <w:b/>
              </w:rPr>
            </w:pPr>
            <w:r w:rsidRPr="004278C3">
              <w:rPr>
                <w:b/>
              </w:rPr>
              <w:t>2012/13</w:t>
            </w:r>
          </w:p>
          <w:p w:rsidR="00FE70BF" w:rsidRPr="004278C3" w:rsidRDefault="0049340C" w:rsidP="004278C3">
            <w:pPr>
              <w:pStyle w:val="TableText"/>
              <w:rPr>
                <w:b/>
              </w:rPr>
            </w:pPr>
            <w:r w:rsidRPr="004278C3">
              <w:rPr>
                <w:b/>
              </w:rPr>
              <w:t>Actual</w:t>
            </w:r>
            <w:r w:rsidRPr="004278C3">
              <w:rPr>
                <w:b/>
              </w:rPr>
              <w:br/>
              <w:t>Standard</w:t>
            </w:r>
          </w:p>
        </w:tc>
      </w:tr>
      <w:tr w:rsidR="008C6023" w:rsidRPr="0060013A" w:rsidTr="009901AD">
        <w:tc>
          <w:tcPr>
            <w:tcW w:w="8959" w:type="dxa"/>
            <w:gridSpan w:val="4"/>
            <w:shd w:val="clear" w:color="auto" w:fill="EDF0E7"/>
          </w:tcPr>
          <w:p w:rsidR="008C6023" w:rsidRPr="004278C3" w:rsidRDefault="008C6023" w:rsidP="004278C3">
            <w:pPr>
              <w:pStyle w:val="TableText"/>
              <w:rPr>
                <w:b/>
              </w:rPr>
            </w:pPr>
            <w:r w:rsidRPr="004278C3">
              <w:rPr>
                <w:b/>
              </w:rPr>
              <w:t>Quantity</w:t>
            </w:r>
          </w:p>
        </w:tc>
      </w:tr>
      <w:tr w:rsidR="006D528F" w:rsidRPr="0060013A" w:rsidTr="009901AD">
        <w:tc>
          <w:tcPr>
            <w:tcW w:w="3470" w:type="dxa"/>
            <w:shd w:val="clear" w:color="auto" w:fill="EDF0E7"/>
          </w:tcPr>
          <w:p w:rsidR="006D528F" w:rsidRPr="001C325F" w:rsidRDefault="006D528F" w:rsidP="009901AD">
            <w:pPr>
              <w:pStyle w:val="TableTextAppendices"/>
            </w:pPr>
            <w:r w:rsidRPr="001C325F">
              <w:t>Number of students to receive the curriculum as at census date of 1 July.</w:t>
            </w:r>
          </w:p>
        </w:tc>
        <w:tc>
          <w:tcPr>
            <w:tcW w:w="1828" w:type="dxa"/>
            <w:shd w:val="clear" w:color="auto" w:fill="EDF0E7"/>
          </w:tcPr>
          <w:p w:rsidR="006D528F" w:rsidRPr="001C325F" w:rsidRDefault="006D528F" w:rsidP="009901AD">
            <w:pPr>
              <w:pStyle w:val="TableTextAppendices"/>
            </w:pPr>
            <w:r w:rsidRPr="001C325F">
              <w:t>475,908</w:t>
            </w:r>
          </w:p>
        </w:tc>
        <w:tc>
          <w:tcPr>
            <w:tcW w:w="1828" w:type="dxa"/>
            <w:shd w:val="clear" w:color="auto" w:fill="EDF0E7"/>
          </w:tcPr>
          <w:p w:rsidR="006D528F" w:rsidRPr="001C325F" w:rsidRDefault="006D528F" w:rsidP="009901AD">
            <w:pPr>
              <w:pStyle w:val="TableTextAppendices"/>
              <w:rPr>
                <w:szCs w:val="14"/>
              </w:rPr>
            </w:pPr>
            <w:r w:rsidRPr="001C325F">
              <w:rPr>
                <w:szCs w:val="14"/>
              </w:rPr>
              <w:t>480,000 - 485,000</w:t>
            </w:r>
          </w:p>
        </w:tc>
        <w:tc>
          <w:tcPr>
            <w:tcW w:w="1833" w:type="dxa"/>
            <w:shd w:val="clear" w:color="auto" w:fill="EDF0E7"/>
          </w:tcPr>
          <w:p w:rsidR="006D528F" w:rsidRPr="00F37CED" w:rsidRDefault="00051C07" w:rsidP="006D528F">
            <w:pPr>
              <w:pStyle w:val="TableTextAppendices"/>
              <w:rPr>
                <w:highlight w:val="yellow"/>
              </w:rPr>
            </w:pPr>
            <w:r w:rsidRPr="00051C07">
              <w:t>478,615</w:t>
            </w:r>
          </w:p>
        </w:tc>
      </w:tr>
      <w:tr w:rsidR="006D528F" w:rsidRPr="0060013A" w:rsidTr="009901AD">
        <w:tc>
          <w:tcPr>
            <w:tcW w:w="3470" w:type="dxa"/>
            <w:shd w:val="clear" w:color="auto" w:fill="EDF0E7"/>
          </w:tcPr>
          <w:p w:rsidR="006D528F" w:rsidRPr="001C325F" w:rsidRDefault="006D528F" w:rsidP="009901AD">
            <w:pPr>
              <w:pStyle w:val="TableTextAppendices"/>
              <w:rPr>
                <w:szCs w:val="14"/>
                <w:highlight w:val="yellow"/>
              </w:rPr>
            </w:pPr>
            <w:r w:rsidRPr="001C325F">
              <w:rPr>
                <w:szCs w:val="14"/>
              </w:rPr>
              <w:t>Average number of Full-time Teacher Equivalents teaching in primary schools (excluding The Correspondence School</w:t>
            </w:r>
            <w:r w:rsidR="00CF65E4">
              <w:rPr>
                <w:szCs w:val="14"/>
              </w:rPr>
              <w:t xml:space="preserve"> and private schools</w:t>
            </w:r>
            <w:r w:rsidRPr="001C325F">
              <w:rPr>
                <w:szCs w:val="14"/>
              </w:rPr>
              <w:t>).</w:t>
            </w:r>
          </w:p>
        </w:tc>
        <w:tc>
          <w:tcPr>
            <w:tcW w:w="1828" w:type="dxa"/>
            <w:shd w:val="clear" w:color="auto" w:fill="EDF0E7"/>
          </w:tcPr>
          <w:p w:rsidR="006D528F" w:rsidRPr="003F43AC" w:rsidRDefault="006D528F" w:rsidP="009901AD">
            <w:pPr>
              <w:pStyle w:val="TableTextAppendices"/>
            </w:pPr>
            <w:r w:rsidRPr="003F43AC">
              <w:t>27,533</w:t>
            </w:r>
          </w:p>
        </w:tc>
        <w:tc>
          <w:tcPr>
            <w:tcW w:w="1828" w:type="dxa"/>
            <w:shd w:val="clear" w:color="auto" w:fill="EDF0E7"/>
          </w:tcPr>
          <w:p w:rsidR="006D528F" w:rsidRPr="003F43AC" w:rsidRDefault="006D528F" w:rsidP="009901AD">
            <w:pPr>
              <w:pStyle w:val="TableTextAppendices"/>
            </w:pPr>
            <w:r w:rsidRPr="003F43AC">
              <w:t>25,800</w:t>
            </w:r>
          </w:p>
        </w:tc>
        <w:tc>
          <w:tcPr>
            <w:tcW w:w="1833" w:type="dxa"/>
            <w:shd w:val="clear" w:color="auto" w:fill="EDF0E7"/>
          </w:tcPr>
          <w:p w:rsidR="006D528F" w:rsidRPr="00F37CED" w:rsidRDefault="006D528F" w:rsidP="006D528F">
            <w:pPr>
              <w:pStyle w:val="TableTextAppendices"/>
              <w:rPr>
                <w:szCs w:val="13"/>
                <w:highlight w:val="yellow"/>
              </w:rPr>
            </w:pPr>
            <w:r w:rsidRPr="003C2783">
              <w:rPr>
                <w:szCs w:val="13"/>
              </w:rPr>
              <w:t>27,623</w:t>
            </w:r>
          </w:p>
        </w:tc>
      </w:tr>
      <w:tr w:rsidR="006D528F" w:rsidRPr="0060013A" w:rsidTr="009901AD">
        <w:tc>
          <w:tcPr>
            <w:tcW w:w="8959" w:type="dxa"/>
            <w:gridSpan w:val="4"/>
            <w:shd w:val="clear" w:color="auto" w:fill="EDF0E7"/>
          </w:tcPr>
          <w:p w:rsidR="006D528F" w:rsidRPr="004278C3" w:rsidRDefault="006D528F" w:rsidP="006D528F">
            <w:pPr>
              <w:pStyle w:val="TableTextAppendices"/>
              <w:rPr>
                <w:b/>
              </w:rPr>
            </w:pPr>
            <w:r w:rsidRPr="004278C3">
              <w:rPr>
                <w:b/>
              </w:rPr>
              <w:t>Quality</w:t>
            </w:r>
          </w:p>
        </w:tc>
      </w:tr>
      <w:tr w:rsidR="006D528F" w:rsidRPr="0060013A" w:rsidTr="009901AD">
        <w:tc>
          <w:tcPr>
            <w:tcW w:w="3470" w:type="dxa"/>
            <w:tcBorders>
              <w:bottom w:val="single" w:sz="4" w:space="0" w:color="FFFFFF"/>
              <w:right w:val="single" w:sz="4" w:space="0" w:color="FFFFFF"/>
            </w:tcBorders>
            <w:shd w:val="clear" w:color="auto" w:fill="EDF0E7"/>
          </w:tcPr>
          <w:p w:rsidR="006D528F" w:rsidRPr="003F43AC" w:rsidRDefault="006D528F" w:rsidP="009901AD">
            <w:pPr>
              <w:pStyle w:val="TableText"/>
            </w:pPr>
            <w:r w:rsidRPr="003F43AC">
              <w:t>Percentage of State and integrated schools that meet legislative requirements of performance and standards required by the Education Act 1989 by:</w:t>
            </w:r>
          </w:p>
        </w:tc>
        <w:tc>
          <w:tcPr>
            <w:tcW w:w="1828" w:type="dxa"/>
            <w:tcBorders>
              <w:left w:val="single" w:sz="4" w:space="0" w:color="FFFFFF"/>
              <w:bottom w:val="single" w:sz="4" w:space="0" w:color="FFFFFF"/>
              <w:right w:val="single" w:sz="4" w:space="0" w:color="FFFFFF"/>
            </w:tcBorders>
            <w:shd w:val="clear" w:color="auto" w:fill="EDF0E7"/>
          </w:tcPr>
          <w:p w:rsidR="006D528F" w:rsidRPr="0060013A" w:rsidRDefault="006D528F" w:rsidP="009901AD">
            <w:pPr>
              <w:pStyle w:val="TableText"/>
              <w:rPr>
                <w:highlight w:val="yellow"/>
              </w:rPr>
            </w:pPr>
          </w:p>
        </w:tc>
        <w:tc>
          <w:tcPr>
            <w:tcW w:w="1828" w:type="dxa"/>
            <w:tcBorders>
              <w:left w:val="single" w:sz="4" w:space="0" w:color="FFFFFF"/>
              <w:bottom w:val="single" w:sz="4" w:space="0" w:color="FFFFFF"/>
              <w:right w:val="single" w:sz="4" w:space="0" w:color="FFFFFF"/>
            </w:tcBorders>
            <w:shd w:val="clear" w:color="auto" w:fill="EDF0E7"/>
          </w:tcPr>
          <w:p w:rsidR="006D528F" w:rsidRPr="0060013A" w:rsidRDefault="006D528F" w:rsidP="009901AD">
            <w:pPr>
              <w:pStyle w:val="TableText"/>
              <w:rPr>
                <w:highlight w:val="yellow"/>
              </w:rPr>
            </w:pPr>
          </w:p>
        </w:tc>
        <w:tc>
          <w:tcPr>
            <w:tcW w:w="1833" w:type="dxa"/>
            <w:tcBorders>
              <w:left w:val="single" w:sz="4" w:space="0" w:color="FFFFFF"/>
              <w:bottom w:val="single" w:sz="4" w:space="0" w:color="FFFFFF"/>
            </w:tcBorders>
            <w:shd w:val="clear" w:color="auto" w:fill="EDF0E7"/>
          </w:tcPr>
          <w:p w:rsidR="006D528F" w:rsidRPr="0060013A" w:rsidRDefault="006D528F" w:rsidP="006D528F">
            <w:pPr>
              <w:pStyle w:val="TableTextAppendices"/>
              <w:rPr>
                <w:highlight w:val="yellow"/>
              </w:rPr>
            </w:pPr>
          </w:p>
        </w:tc>
      </w:tr>
      <w:tr w:rsidR="006D528F" w:rsidRPr="0060013A" w:rsidTr="009901AD">
        <w:tc>
          <w:tcPr>
            <w:tcW w:w="3470" w:type="dxa"/>
            <w:tcBorders>
              <w:top w:val="single" w:sz="4" w:space="0" w:color="FFFFFF"/>
              <w:bottom w:val="single" w:sz="4" w:space="0" w:color="FFFFFF"/>
            </w:tcBorders>
            <w:shd w:val="clear" w:color="auto" w:fill="EDF0E7"/>
          </w:tcPr>
          <w:p w:rsidR="006D528F" w:rsidRPr="003F43AC" w:rsidRDefault="006D528F" w:rsidP="009901AD">
            <w:pPr>
              <w:pStyle w:val="TableTextAppendicesBullet"/>
            </w:pPr>
            <w:r w:rsidRPr="003F43AC">
              <w:t xml:space="preserve">having a </w:t>
            </w:r>
            <w:r w:rsidRPr="009901AD">
              <w:t>charter</w:t>
            </w:r>
            <w:r w:rsidRPr="003F43AC">
              <w:t xml:space="preserve"> in effect prepared under section 61 of the Act</w:t>
            </w:r>
          </w:p>
          <w:p w:rsidR="006D528F" w:rsidRPr="003F43AC" w:rsidRDefault="006D528F" w:rsidP="003E21CF">
            <w:pPr>
              <w:pStyle w:val="AppendixTableText"/>
              <w:rPr>
                <w:sz w:val="14"/>
              </w:rPr>
            </w:pPr>
          </w:p>
        </w:tc>
        <w:tc>
          <w:tcPr>
            <w:tcW w:w="1828" w:type="dxa"/>
            <w:tcBorders>
              <w:top w:val="single" w:sz="4" w:space="0" w:color="FFFFFF"/>
              <w:bottom w:val="single" w:sz="4" w:space="0" w:color="FFFFFF"/>
            </w:tcBorders>
            <w:shd w:val="clear" w:color="auto" w:fill="EDF0E7"/>
          </w:tcPr>
          <w:p w:rsidR="006D528F" w:rsidRPr="003F43AC" w:rsidRDefault="006D528F" w:rsidP="003731AA">
            <w:pPr>
              <w:pStyle w:val="TableTextAppendices"/>
            </w:pPr>
            <w:r w:rsidRPr="003F43AC">
              <w:rPr>
                <w:b/>
              </w:rPr>
              <w:t>2012 Calendar year</w:t>
            </w:r>
            <w:r w:rsidRPr="003F43AC">
              <w:t xml:space="preserve"> </w:t>
            </w:r>
          </w:p>
          <w:p w:rsidR="006D528F" w:rsidRPr="003F43AC" w:rsidRDefault="006D528F" w:rsidP="009901AD">
            <w:pPr>
              <w:pStyle w:val="TableTextAppendices"/>
            </w:pPr>
            <w:r w:rsidRPr="003F43AC">
              <w:t>64 schools</w:t>
            </w:r>
            <w:r w:rsidRPr="003F43AC">
              <w:rPr>
                <w:rStyle w:val="FootnoteReference"/>
                <w:sz w:val="14"/>
              </w:rPr>
              <w:footnoteReference w:id="31"/>
            </w:r>
            <w:r w:rsidRPr="003F43AC">
              <w:t xml:space="preserve"> failed to meet the standard as at 6 September (97% met the standard)</w:t>
            </w:r>
            <w:r w:rsidR="00CF65E4">
              <w:t>.</w:t>
            </w:r>
          </w:p>
        </w:tc>
        <w:tc>
          <w:tcPr>
            <w:tcW w:w="1828" w:type="dxa"/>
            <w:tcBorders>
              <w:top w:val="single" w:sz="4" w:space="0" w:color="FFFFFF"/>
              <w:bottom w:val="single" w:sz="4" w:space="0" w:color="FFFFFF"/>
            </w:tcBorders>
            <w:shd w:val="clear" w:color="auto" w:fill="EDF0E7"/>
          </w:tcPr>
          <w:p w:rsidR="006D528F" w:rsidRPr="003F43AC" w:rsidRDefault="006D528F" w:rsidP="009901AD">
            <w:pPr>
              <w:pStyle w:val="TableTextAppendices"/>
              <w:rPr>
                <w:highlight w:val="yellow"/>
              </w:rPr>
            </w:pPr>
            <w:r w:rsidRPr="003F43AC">
              <w:t>99.5% of registered State and integrated schools have such a charter or are working with the Ministry to meet the requirements of the Act</w:t>
            </w:r>
            <w:r w:rsidR="00CF65E4">
              <w:t>.</w:t>
            </w:r>
          </w:p>
        </w:tc>
        <w:tc>
          <w:tcPr>
            <w:tcW w:w="1833" w:type="dxa"/>
            <w:tcBorders>
              <w:top w:val="single" w:sz="4" w:space="0" w:color="FFFFFF"/>
              <w:bottom w:val="single" w:sz="4" w:space="0" w:color="FFFFFF"/>
            </w:tcBorders>
            <w:shd w:val="clear" w:color="auto" w:fill="EDF0E7"/>
          </w:tcPr>
          <w:p w:rsidR="006D528F" w:rsidRPr="006D528F" w:rsidRDefault="006D528F" w:rsidP="006D528F">
            <w:pPr>
              <w:pStyle w:val="TableTextAppendices"/>
              <w:rPr>
                <w:b/>
              </w:rPr>
            </w:pPr>
            <w:r w:rsidRPr="006D528F">
              <w:rPr>
                <w:b/>
              </w:rPr>
              <w:t>2013</w:t>
            </w:r>
            <w:r w:rsidR="008429FD">
              <w:rPr>
                <w:b/>
              </w:rPr>
              <w:t xml:space="preserve"> Calendar year</w:t>
            </w:r>
          </w:p>
          <w:p w:rsidR="006D528F" w:rsidRPr="00DC1402" w:rsidDel="00ED5814" w:rsidRDefault="006D528F" w:rsidP="006D528F">
            <w:pPr>
              <w:pStyle w:val="TableTextAppendices"/>
              <w:rPr>
                <w:highlight w:val="yellow"/>
              </w:rPr>
            </w:pPr>
            <w:r w:rsidRPr="003B4DD1">
              <w:t>18 schools</w:t>
            </w:r>
            <w:r>
              <w:t xml:space="preserve"> failed to meet the standard as at 4 September (99.2% met the standard).</w:t>
            </w:r>
          </w:p>
        </w:tc>
      </w:tr>
      <w:tr w:rsidR="006D528F" w:rsidRPr="0060013A" w:rsidTr="009901AD">
        <w:tc>
          <w:tcPr>
            <w:tcW w:w="3470" w:type="dxa"/>
            <w:tcBorders>
              <w:top w:val="single" w:sz="4" w:space="0" w:color="FFFFFF"/>
            </w:tcBorders>
            <w:shd w:val="clear" w:color="auto" w:fill="EDF0E7"/>
          </w:tcPr>
          <w:p w:rsidR="006D528F" w:rsidRPr="003F43AC" w:rsidRDefault="006D528F" w:rsidP="00571CBB">
            <w:pPr>
              <w:pStyle w:val="TableTextAppendicesBullet"/>
            </w:pPr>
            <w:r w:rsidRPr="003F43AC">
              <w:t>being</w:t>
            </w:r>
            <w:r>
              <w:t xml:space="preserve"> governed by boards of trustees</w:t>
            </w:r>
          </w:p>
        </w:tc>
        <w:tc>
          <w:tcPr>
            <w:tcW w:w="1828" w:type="dxa"/>
            <w:tcBorders>
              <w:top w:val="single" w:sz="4" w:space="0" w:color="FFFFFF"/>
            </w:tcBorders>
            <w:shd w:val="clear" w:color="auto" w:fill="EDF0E7"/>
          </w:tcPr>
          <w:p w:rsidR="006D528F" w:rsidRPr="0060013A" w:rsidRDefault="006D528F" w:rsidP="009901AD">
            <w:pPr>
              <w:pStyle w:val="TableTextAppendices"/>
              <w:rPr>
                <w:highlight w:val="yellow"/>
              </w:rPr>
            </w:pPr>
            <w:r w:rsidRPr="003F43AC">
              <w:t>99.4% of all registered State and integrated schools</w:t>
            </w:r>
            <w:r w:rsidRPr="003F43AC">
              <w:rPr>
                <w:rStyle w:val="FootnoteReference"/>
                <w:sz w:val="14"/>
              </w:rPr>
              <w:footnoteReference w:id="32"/>
            </w:r>
            <w:r w:rsidRPr="003F43AC">
              <w:t xml:space="preserve"> were governed by boards of trustees</w:t>
            </w:r>
            <w:r w:rsidR="00CF65E4">
              <w:t>.</w:t>
            </w:r>
          </w:p>
        </w:tc>
        <w:tc>
          <w:tcPr>
            <w:tcW w:w="1828" w:type="dxa"/>
            <w:tcBorders>
              <w:top w:val="single" w:sz="4" w:space="0" w:color="FFFFFF"/>
            </w:tcBorders>
            <w:shd w:val="clear" w:color="auto" w:fill="EDF0E7"/>
          </w:tcPr>
          <w:p w:rsidR="006D528F" w:rsidRPr="003F43AC" w:rsidRDefault="006D528F" w:rsidP="009901AD">
            <w:pPr>
              <w:pStyle w:val="TableTextAppendices"/>
            </w:pPr>
            <w:r w:rsidRPr="003F43AC">
              <w:t>Less than 0.5% of registered State and integrated schools will have a Commissioner appointed to manage the school under Section 78N of the Act</w:t>
            </w:r>
            <w:r w:rsidR="00CF65E4">
              <w:t>.</w:t>
            </w:r>
          </w:p>
          <w:p w:rsidR="006D528F" w:rsidRPr="003F43AC" w:rsidRDefault="006D528F" w:rsidP="009901AD">
            <w:pPr>
              <w:pStyle w:val="TableText"/>
            </w:pPr>
          </w:p>
        </w:tc>
        <w:tc>
          <w:tcPr>
            <w:tcW w:w="1833" w:type="dxa"/>
            <w:tcBorders>
              <w:top w:val="single" w:sz="4" w:space="0" w:color="FFFFFF"/>
            </w:tcBorders>
            <w:shd w:val="clear" w:color="auto" w:fill="EDF0E7"/>
          </w:tcPr>
          <w:p w:rsidR="006D528F" w:rsidRPr="00840A1F" w:rsidDel="00ED5814" w:rsidRDefault="006D528F" w:rsidP="006D528F">
            <w:pPr>
              <w:pStyle w:val="TableTextAppendices"/>
              <w:rPr>
                <w:highlight w:val="yellow"/>
              </w:rPr>
            </w:pPr>
            <w:r>
              <w:t>99.5</w:t>
            </w:r>
            <w:r w:rsidRPr="00ED5077">
              <w:t>% of all registered State and integrated schools</w:t>
            </w:r>
            <w:r>
              <w:rPr>
                <w:rStyle w:val="FootnoteReference"/>
                <w:szCs w:val="13"/>
                <w:lang w:val="en-GB"/>
              </w:rPr>
              <w:footnoteReference w:id="33"/>
            </w:r>
            <w:r w:rsidRPr="00ED5077">
              <w:t xml:space="preserve"> were governed by boards of trustees</w:t>
            </w:r>
            <w:r>
              <w:t>.</w:t>
            </w:r>
          </w:p>
        </w:tc>
      </w:tr>
      <w:tr w:rsidR="006D528F" w:rsidRPr="0060013A" w:rsidTr="009901AD">
        <w:tc>
          <w:tcPr>
            <w:tcW w:w="8959" w:type="dxa"/>
            <w:gridSpan w:val="4"/>
            <w:shd w:val="clear" w:color="auto" w:fill="EDF0E7"/>
          </w:tcPr>
          <w:p w:rsidR="006D528F" w:rsidRPr="004278C3" w:rsidRDefault="006D528F" w:rsidP="004278C3">
            <w:pPr>
              <w:pStyle w:val="TableText"/>
              <w:rPr>
                <w:b/>
              </w:rPr>
            </w:pPr>
            <w:r w:rsidRPr="004278C3">
              <w:rPr>
                <w:b/>
              </w:rPr>
              <w:t>Timeliness</w:t>
            </w:r>
          </w:p>
        </w:tc>
      </w:tr>
      <w:tr w:rsidR="006D528F" w:rsidRPr="0060013A" w:rsidTr="009901AD">
        <w:tc>
          <w:tcPr>
            <w:tcW w:w="3470" w:type="dxa"/>
            <w:shd w:val="clear" w:color="auto" w:fill="EDF0E7"/>
          </w:tcPr>
          <w:p w:rsidR="006D528F" w:rsidRPr="003F43AC" w:rsidRDefault="006D528F" w:rsidP="009901AD">
            <w:pPr>
              <w:pStyle w:val="TableTextAppendices"/>
            </w:pPr>
            <w:r w:rsidRPr="003F43AC">
              <w:t>Schools to remain open for the delivery of the curriculum in terms of th</w:t>
            </w:r>
            <w:r>
              <w:t>e National Education Guidelines</w:t>
            </w:r>
            <w:r w:rsidR="00CF65E4">
              <w:t>.</w:t>
            </w:r>
          </w:p>
        </w:tc>
        <w:tc>
          <w:tcPr>
            <w:tcW w:w="1828" w:type="dxa"/>
            <w:shd w:val="clear" w:color="auto" w:fill="EDF0E7"/>
          </w:tcPr>
          <w:p w:rsidR="00CF65E4" w:rsidRPr="00A35688" w:rsidRDefault="006D528F" w:rsidP="009901AD">
            <w:pPr>
              <w:pStyle w:val="TableTextAppendices"/>
            </w:pPr>
            <w:r w:rsidRPr="00A35688">
              <w:t>With the exception of schools affected by the Canterbury earthquakes, in 2011 no schools wer</w:t>
            </w:r>
            <w:r w:rsidR="00CF65E4">
              <w:t>e open for fewer than 390 half-</w:t>
            </w:r>
            <w:r w:rsidRPr="00A35688">
              <w:t>days.</w:t>
            </w:r>
          </w:p>
          <w:p w:rsidR="00CF65E4" w:rsidRDefault="00CF65E4" w:rsidP="009901AD">
            <w:pPr>
              <w:pStyle w:val="TableTextAppendices"/>
            </w:pPr>
          </w:p>
          <w:p w:rsidR="006D528F" w:rsidRPr="00A35688" w:rsidRDefault="006D528F" w:rsidP="009901AD">
            <w:pPr>
              <w:pStyle w:val="TableTextAppendices"/>
            </w:pPr>
            <w:r w:rsidRPr="00A35688">
              <w:t xml:space="preserve">The 2012 year is yet to finish. At this stage all schools are on track to </w:t>
            </w:r>
            <w:r w:rsidR="00CF65E4">
              <w:t>open for no fewer than 388 half-</w:t>
            </w:r>
            <w:r w:rsidRPr="00A35688">
              <w:t>days.</w:t>
            </w:r>
          </w:p>
          <w:p w:rsidR="006D528F" w:rsidRPr="003F43AC" w:rsidRDefault="006D528F" w:rsidP="009901AD">
            <w:pPr>
              <w:pStyle w:val="TableTextAppendices"/>
            </w:pPr>
          </w:p>
        </w:tc>
        <w:tc>
          <w:tcPr>
            <w:tcW w:w="1828" w:type="dxa"/>
            <w:shd w:val="clear" w:color="auto" w:fill="EDF0E7"/>
          </w:tcPr>
          <w:p w:rsidR="006D528F" w:rsidRPr="003F43AC" w:rsidRDefault="006D528F" w:rsidP="009901AD">
            <w:pPr>
              <w:pStyle w:val="TableTextAppendices"/>
            </w:pPr>
            <w:r>
              <w:t xml:space="preserve"> No fewer than</w:t>
            </w:r>
            <w:r w:rsidRPr="003F43AC">
              <w:t xml:space="preserve"> 388 half-days in 2012</w:t>
            </w:r>
            <w:r>
              <w:t xml:space="preserve"> and 384 half-days in 2013</w:t>
            </w:r>
            <w:r w:rsidR="00CF65E4">
              <w:t>.</w:t>
            </w:r>
          </w:p>
        </w:tc>
        <w:tc>
          <w:tcPr>
            <w:tcW w:w="1833" w:type="dxa"/>
            <w:shd w:val="clear" w:color="auto" w:fill="EDF0E7"/>
          </w:tcPr>
          <w:p w:rsidR="006D528F" w:rsidRPr="00355567" w:rsidRDefault="006D528F" w:rsidP="006D528F">
            <w:pPr>
              <w:pStyle w:val="TableTextAppendices"/>
            </w:pPr>
            <w:r w:rsidRPr="00355567">
              <w:t>With the exception of Christchurch schools that were granted a teacher only day during the consultation process for closure and merger proposals, in 2012 no schools wer</w:t>
            </w:r>
            <w:r w:rsidR="00CF65E4">
              <w:t>e open for fewer than 388 half-</w:t>
            </w:r>
            <w:r w:rsidRPr="00355567">
              <w:t>days.</w:t>
            </w:r>
          </w:p>
          <w:p w:rsidR="00CF65E4" w:rsidRDefault="00CF65E4" w:rsidP="006D528F">
            <w:pPr>
              <w:pStyle w:val="TableTextAppendices"/>
            </w:pPr>
          </w:p>
          <w:p w:rsidR="006D528F" w:rsidRPr="003F43AC" w:rsidRDefault="006D528F" w:rsidP="006D528F">
            <w:pPr>
              <w:pStyle w:val="TableTextAppendices"/>
            </w:pPr>
            <w:r w:rsidRPr="00355567">
              <w:rPr>
                <w:lang w:val="en-GB"/>
              </w:rPr>
              <w:t xml:space="preserve">The 2013 year is yet to finish. At this stage all schools are on track to </w:t>
            </w:r>
            <w:r w:rsidR="00CF65E4">
              <w:rPr>
                <w:lang w:val="en-GB"/>
              </w:rPr>
              <w:t>open for no fewer than 384 half-</w:t>
            </w:r>
            <w:r w:rsidRPr="00355567">
              <w:rPr>
                <w:lang w:val="en-GB"/>
              </w:rPr>
              <w:t>days.</w:t>
            </w:r>
          </w:p>
        </w:tc>
      </w:tr>
    </w:tbl>
    <w:p w:rsidR="004D42E7" w:rsidRPr="0060013A" w:rsidRDefault="004D42E7" w:rsidP="00C64A08">
      <w:pPr>
        <w:pStyle w:val="TableFootnote"/>
        <w:spacing w:after="40"/>
        <w:rPr>
          <w:bCs w:val="0"/>
          <w:highlight w:val="yellow"/>
        </w:rPr>
      </w:pPr>
    </w:p>
    <w:p w:rsidR="008C6023" w:rsidRPr="00A35688" w:rsidRDefault="008C6023" w:rsidP="008C6023">
      <w:pPr>
        <w:pStyle w:val="Heading4"/>
        <w:rPr>
          <w:rFonts w:cs="Arial"/>
        </w:rPr>
      </w:pPr>
      <w:r w:rsidRPr="00A35688">
        <w:rPr>
          <w:rFonts w:cs="Arial"/>
        </w:rPr>
        <w:t xml:space="preserve">Results </w:t>
      </w:r>
      <w:r w:rsidR="00EF4FB7">
        <w:rPr>
          <w:rFonts w:cs="Arial"/>
        </w:rPr>
        <w:t>―</w:t>
      </w:r>
      <w:r w:rsidRPr="00A35688">
        <w:rPr>
          <w:rFonts w:cs="Arial"/>
        </w:rPr>
        <w:t xml:space="preserve"> Financial</w:t>
      </w:r>
    </w:p>
    <w:tbl>
      <w:tblPr>
        <w:tblW w:w="895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1E0"/>
      </w:tblPr>
      <w:tblGrid>
        <w:gridCol w:w="2549"/>
        <w:gridCol w:w="1604"/>
        <w:gridCol w:w="1604"/>
        <w:gridCol w:w="1604"/>
        <w:gridCol w:w="1598"/>
      </w:tblGrid>
      <w:tr w:rsidR="008C6023" w:rsidRPr="0060013A" w:rsidTr="009901AD">
        <w:trPr>
          <w:trHeight w:val="246"/>
        </w:trPr>
        <w:tc>
          <w:tcPr>
            <w:tcW w:w="1423" w:type="pct"/>
            <w:tcBorders>
              <w:bottom w:val="single" w:sz="4" w:space="0" w:color="FFFFFF"/>
            </w:tcBorders>
            <w:shd w:val="clear" w:color="auto" w:fill="DBE2D1"/>
          </w:tcPr>
          <w:p w:rsidR="008C6023" w:rsidRPr="00A35688" w:rsidRDefault="008C6023" w:rsidP="003E21CF">
            <w:pPr>
              <w:pStyle w:val="AppendixTableText"/>
              <w:rPr>
                <w:b/>
                <w:bCs/>
                <w:sz w:val="14"/>
              </w:rPr>
            </w:pPr>
            <w:r w:rsidRPr="00A35688">
              <w:rPr>
                <w:b/>
                <w:bCs/>
                <w:sz w:val="14"/>
              </w:rPr>
              <w:t>Expenses</w:t>
            </w:r>
          </w:p>
        </w:tc>
        <w:tc>
          <w:tcPr>
            <w:tcW w:w="895" w:type="pct"/>
            <w:tcBorders>
              <w:bottom w:val="single" w:sz="4" w:space="0" w:color="FFFFFF"/>
            </w:tcBorders>
            <w:shd w:val="clear" w:color="auto" w:fill="DBE2D1"/>
          </w:tcPr>
          <w:p w:rsidR="003E21CF" w:rsidRPr="003731AA" w:rsidRDefault="00A35688" w:rsidP="003731AA">
            <w:pPr>
              <w:pStyle w:val="TableTextAppendices"/>
              <w:jc w:val="center"/>
              <w:rPr>
                <w:b/>
              </w:rPr>
            </w:pPr>
            <w:r w:rsidRPr="003731AA">
              <w:rPr>
                <w:b/>
              </w:rPr>
              <w:t>2011/12</w:t>
            </w:r>
          </w:p>
          <w:p w:rsidR="008C6023" w:rsidRPr="003731AA" w:rsidRDefault="003E21CF" w:rsidP="003731AA">
            <w:pPr>
              <w:pStyle w:val="TableTextAppendices"/>
              <w:jc w:val="center"/>
              <w:rPr>
                <w:b/>
              </w:rPr>
            </w:pPr>
            <w:r w:rsidRPr="003731AA">
              <w:rPr>
                <w:b/>
              </w:rPr>
              <w:t>Actual</w:t>
            </w:r>
            <w:r w:rsidR="00B2132D" w:rsidRPr="003731AA">
              <w:rPr>
                <w:b/>
              </w:rPr>
              <w:br/>
            </w:r>
            <w:r w:rsidR="00B2132D" w:rsidRPr="003731AA">
              <w:rPr>
                <w:b/>
              </w:rPr>
              <w:br/>
            </w:r>
            <w:r w:rsidRPr="003731AA">
              <w:rPr>
                <w:b/>
              </w:rPr>
              <w:t>$000</w:t>
            </w:r>
          </w:p>
        </w:tc>
        <w:tc>
          <w:tcPr>
            <w:tcW w:w="895" w:type="pct"/>
            <w:tcBorders>
              <w:bottom w:val="single" w:sz="4" w:space="0" w:color="FFFFFF"/>
            </w:tcBorders>
            <w:shd w:val="clear" w:color="auto" w:fill="DBE2D1"/>
          </w:tcPr>
          <w:p w:rsidR="003E21CF" w:rsidRPr="003731AA" w:rsidRDefault="00A35688" w:rsidP="003731AA">
            <w:pPr>
              <w:pStyle w:val="TableTextAppendices"/>
              <w:jc w:val="center"/>
              <w:rPr>
                <w:b/>
              </w:rPr>
            </w:pPr>
            <w:r w:rsidRPr="003731AA">
              <w:rPr>
                <w:b/>
              </w:rPr>
              <w:t>2012/13</w:t>
            </w:r>
          </w:p>
          <w:p w:rsidR="008C6023" w:rsidRPr="003731AA" w:rsidRDefault="003E21CF" w:rsidP="003731AA">
            <w:pPr>
              <w:pStyle w:val="TableTextAppendices"/>
              <w:jc w:val="center"/>
              <w:rPr>
                <w:b/>
              </w:rPr>
            </w:pPr>
            <w:r w:rsidRPr="003731AA">
              <w:rPr>
                <w:b/>
              </w:rPr>
              <w:t>Estimates</w:t>
            </w:r>
            <w:r w:rsidR="00B2132D" w:rsidRPr="003731AA">
              <w:rPr>
                <w:b/>
              </w:rPr>
              <w:br/>
            </w:r>
            <w:r w:rsidR="00B2132D" w:rsidRPr="003731AA">
              <w:rPr>
                <w:b/>
              </w:rPr>
              <w:br/>
            </w:r>
            <w:r w:rsidRPr="003731AA">
              <w:rPr>
                <w:b/>
              </w:rPr>
              <w:t>$000</w:t>
            </w:r>
          </w:p>
        </w:tc>
        <w:tc>
          <w:tcPr>
            <w:tcW w:w="895" w:type="pct"/>
            <w:tcBorders>
              <w:bottom w:val="single" w:sz="4" w:space="0" w:color="FFFFFF"/>
            </w:tcBorders>
            <w:shd w:val="clear" w:color="auto" w:fill="DBE2D1"/>
          </w:tcPr>
          <w:p w:rsidR="003E21CF" w:rsidRPr="003731AA" w:rsidRDefault="00A35688" w:rsidP="003731AA">
            <w:pPr>
              <w:pStyle w:val="TableTextAppendices"/>
              <w:jc w:val="center"/>
              <w:rPr>
                <w:b/>
              </w:rPr>
            </w:pPr>
            <w:r w:rsidRPr="003731AA">
              <w:rPr>
                <w:b/>
              </w:rPr>
              <w:t>2012/13</w:t>
            </w:r>
          </w:p>
          <w:p w:rsidR="008C6023" w:rsidRPr="003731AA" w:rsidRDefault="003E21CF" w:rsidP="003731AA">
            <w:pPr>
              <w:pStyle w:val="TableTextAppendices"/>
              <w:jc w:val="center"/>
              <w:rPr>
                <w:b/>
              </w:rPr>
            </w:pPr>
            <w:r w:rsidRPr="003731AA">
              <w:rPr>
                <w:b/>
              </w:rPr>
              <w:t>Supp Estimates</w:t>
            </w:r>
            <w:r w:rsidR="00B2132D" w:rsidRPr="003731AA">
              <w:rPr>
                <w:b/>
              </w:rPr>
              <w:br/>
            </w:r>
            <w:r w:rsidR="00B2132D" w:rsidRPr="003731AA">
              <w:rPr>
                <w:b/>
              </w:rPr>
              <w:br/>
            </w:r>
            <w:r w:rsidRPr="003731AA">
              <w:rPr>
                <w:b/>
              </w:rPr>
              <w:t>$000</w:t>
            </w:r>
          </w:p>
        </w:tc>
        <w:tc>
          <w:tcPr>
            <w:tcW w:w="892" w:type="pct"/>
            <w:tcBorders>
              <w:bottom w:val="single" w:sz="4" w:space="0" w:color="FFFFFF"/>
            </w:tcBorders>
            <w:shd w:val="clear" w:color="auto" w:fill="DBE2D1"/>
          </w:tcPr>
          <w:p w:rsidR="003E21CF" w:rsidRPr="003731AA" w:rsidRDefault="00A35688" w:rsidP="003731AA">
            <w:pPr>
              <w:pStyle w:val="TableTextAppendices"/>
              <w:jc w:val="center"/>
              <w:rPr>
                <w:b/>
              </w:rPr>
            </w:pPr>
            <w:r w:rsidRPr="003731AA">
              <w:rPr>
                <w:b/>
              </w:rPr>
              <w:t>2012/13</w:t>
            </w:r>
          </w:p>
          <w:p w:rsidR="008C6023" w:rsidRPr="003731AA" w:rsidRDefault="003E21CF" w:rsidP="003731AA">
            <w:pPr>
              <w:pStyle w:val="TableTextAppendices"/>
              <w:jc w:val="center"/>
              <w:rPr>
                <w:b/>
              </w:rPr>
            </w:pPr>
            <w:r w:rsidRPr="003731AA">
              <w:rPr>
                <w:b/>
              </w:rPr>
              <w:t>Actual</w:t>
            </w:r>
            <w:r w:rsidR="00B2132D" w:rsidRPr="003731AA">
              <w:rPr>
                <w:b/>
              </w:rPr>
              <w:br/>
            </w:r>
            <w:r w:rsidR="00B2132D" w:rsidRPr="003731AA">
              <w:rPr>
                <w:b/>
              </w:rPr>
              <w:br/>
            </w:r>
            <w:r w:rsidRPr="003731AA">
              <w:rPr>
                <w:b/>
              </w:rPr>
              <w:t>$000</w:t>
            </w:r>
          </w:p>
        </w:tc>
      </w:tr>
      <w:tr w:rsidR="000D783A" w:rsidRPr="0060013A" w:rsidTr="009901AD">
        <w:tc>
          <w:tcPr>
            <w:tcW w:w="1423" w:type="pct"/>
            <w:shd w:val="clear" w:color="auto" w:fill="EDF0E7"/>
          </w:tcPr>
          <w:p w:rsidR="000D783A" w:rsidRPr="007D3A9F" w:rsidRDefault="000D783A" w:rsidP="00793B84">
            <w:pPr>
              <w:pStyle w:val="TableTextAppendices"/>
            </w:pPr>
            <w:r w:rsidRPr="007D3A9F">
              <w:t>Total Appropriation</w:t>
            </w:r>
          </w:p>
        </w:tc>
        <w:tc>
          <w:tcPr>
            <w:tcW w:w="895" w:type="pct"/>
            <w:shd w:val="clear" w:color="auto" w:fill="EDF0E7"/>
          </w:tcPr>
          <w:p w:rsidR="000D783A" w:rsidRPr="007D3A9F" w:rsidRDefault="000D783A" w:rsidP="00CF65E4">
            <w:pPr>
              <w:pStyle w:val="TableTextAppendices"/>
              <w:jc w:val="right"/>
            </w:pPr>
            <w:r w:rsidRPr="007D3A9F">
              <w:t>2,696,374</w:t>
            </w:r>
          </w:p>
        </w:tc>
        <w:tc>
          <w:tcPr>
            <w:tcW w:w="895" w:type="pct"/>
            <w:shd w:val="clear" w:color="auto" w:fill="EDF0E7"/>
          </w:tcPr>
          <w:p w:rsidR="000D783A" w:rsidRPr="00A35688" w:rsidRDefault="000D783A" w:rsidP="00CF65E4">
            <w:pPr>
              <w:pStyle w:val="TableTextAppendices"/>
              <w:jc w:val="right"/>
              <w:rPr>
                <w:szCs w:val="14"/>
              </w:rPr>
            </w:pPr>
            <w:r w:rsidRPr="00A35688">
              <w:rPr>
                <w:szCs w:val="14"/>
              </w:rPr>
              <w:t>2,814,406</w:t>
            </w:r>
          </w:p>
        </w:tc>
        <w:tc>
          <w:tcPr>
            <w:tcW w:w="895" w:type="pct"/>
            <w:shd w:val="clear" w:color="auto" w:fill="EDF0E7"/>
          </w:tcPr>
          <w:p w:rsidR="000D783A" w:rsidRPr="007D3A9F" w:rsidRDefault="000D783A" w:rsidP="00CF65E4">
            <w:pPr>
              <w:pStyle w:val="TableTextAppendices"/>
              <w:jc w:val="right"/>
              <w:rPr>
                <w:szCs w:val="14"/>
              </w:rPr>
            </w:pPr>
            <w:r w:rsidRPr="007D3A9F">
              <w:rPr>
                <w:szCs w:val="14"/>
              </w:rPr>
              <w:t>2,785,758</w:t>
            </w:r>
          </w:p>
        </w:tc>
        <w:tc>
          <w:tcPr>
            <w:tcW w:w="892" w:type="pct"/>
            <w:shd w:val="clear" w:color="auto" w:fill="EDF0E7"/>
          </w:tcPr>
          <w:p w:rsidR="000D783A" w:rsidRPr="00DD429F" w:rsidRDefault="000D783A" w:rsidP="00CF65E4">
            <w:pPr>
              <w:pStyle w:val="TableTextAppendices"/>
              <w:jc w:val="right"/>
            </w:pPr>
            <w:r w:rsidRPr="00DD429F">
              <w:t>2,774,189</w:t>
            </w:r>
          </w:p>
        </w:tc>
      </w:tr>
      <w:tr w:rsidR="000D783A" w:rsidRPr="0060013A" w:rsidTr="009901AD">
        <w:tc>
          <w:tcPr>
            <w:tcW w:w="1423" w:type="pct"/>
            <w:shd w:val="clear" w:color="auto" w:fill="EDF0E7"/>
          </w:tcPr>
          <w:p w:rsidR="000D783A" w:rsidRPr="007D3A9F" w:rsidRDefault="000D783A" w:rsidP="00793B84">
            <w:pPr>
              <w:pStyle w:val="TableTextAppendices"/>
            </w:pPr>
            <w:r w:rsidRPr="007D3A9F">
              <w:t>Salaries Funding</w:t>
            </w:r>
          </w:p>
        </w:tc>
        <w:tc>
          <w:tcPr>
            <w:tcW w:w="895" w:type="pct"/>
            <w:shd w:val="clear" w:color="auto" w:fill="EDF0E7"/>
          </w:tcPr>
          <w:p w:rsidR="000D783A" w:rsidRPr="007D3A9F" w:rsidRDefault="000D783A" w:rsidP="00CF65E4">
            <w:pPr>
              <w:pStyle w:val="TableTextAppendices"/>
              <w:jc w:val="right"/>
              <w:rPr>
                <w:szCs w:val="14"/>
              </w:rPr>
            </w:pPr>
            <w:r w:rsidRPr="007D3A9F">
              <w:rPr>
                <w:szCs w:val="14"/>
              </w:rPr>
              <w:t>2,020,431</w:t>
            </w:r>
          </w:p>
        </w:tc>
        <w:tc>
          <w:tcPr>
            <w:tcW w:w="895" w:type="pct"/>
            <w:shd w:val="clear" w:color="auto" w:fill="EDF0E7"/>
          </w:tcPr>
          <w:p w:rsidR="000D783A" w:rsidRPr="00A35688" w:rsidRDefault="000D783A" w:rsidP="00CF65E4">
            <w:pPr>
              <w:pStyle w:val="TableTextAppendices"/>
              <w:jc w:val="right"/>
              <w:rPr>
                <w:szCs w:val="14"/>
              </w:rPr>
            </w:pPr>
            <w:r w:rsidRPr="00A35688">
              <w:rPr>
                <w:szCs w:val="14"/>
              </w:rPr>
              <w:t>2,103,150</w:t>
            </w:r>
          </w:p>
        </w:tc>
        <w:tc>
          <w:tcPr>
            <w:tcW w:w="895" w:type="pct"/>
            <w:shd w:val="clear" w:color="auto" w:fill="EDF0E7"/>
          </w:tcPr>
          <w:p w:rsidR="000D783A" w:rsidRPr="007D3A9F" w:rsidRDefault="000D783A" w:rsidP="00CF65E4">
            <w:pPr>
              <w:pStyle w:val="TableTextAppendices"/>
              <w:jc w:val="right"/>
              <w:rPr>
                <w:szCs w:val="14"/>
              </w:rPr>
            </w:pPr>
            <w:r w:rsidRPr="007D3A9F">
              <w:rPr>
                <w:szCs w:val="14"/>
              </w:rPr>
              <w:t>2,053,132</w:t>
            </w:r>
          </w:p>
        </w:tc>
        <w:tc>
          <w:tcPr>
            <w:tcW w:w="892" w:type="pct"/>
            <w:shd w:val="clear" w:color="auto" w:fill="EDF0E7"/>
          </w:tcPr>
          <w:p w:rsidR="000D783A" w:rsidRPr="00DD429F" w:rsidRDefault="000D783A" w:rsidP="00CF65E4">
            <w:pPr>
              <w:pStyle w:val="TableTextAppendices"/>
              <w:jc w:val="right"/>
            </w:pPr>
            <w:r w:rsidRPr="00DD429F">
              <w:t>2,054,617</w:t>
            </w:r>
          </w:p>
        </w:tc>
      </w:tr>
      <w:tr w:rsidR="000D783A" w:rsidRPr="0060013A" w:rsidTr="009901AD">
        <w:trPr>
          <w:trHeight w:val="60"/>
        </w:trPr>
        <w:tc>
          <w:tcPr>
            <w:tcW w:w="1423" w:type="pct"/>
            <w:shd w:val="clear" w:color="auto" w:fill="EDF0E7"/>
          </w:tcPr>
          <w:p w:rsidR="000D783A" w:rsidRPr="007D3A9F" w:rsidRDefault="000D783A" w:rsidP="00793B84">
            <w:pPr>
              <w:pStyle w:val="TableTextAppendices"/>
            </w:pPr>
            <w:r w:rsidRPr="007D3A9F">
              <w:t>Operations and Other Funding</w:t>
            </w:r>
          </w:p>
        </w:tc>
        <w:tc>
          <w:tcPr>
            <w:tcW w:w="895" w:type="pct"/>
            <w:shd w:val="clear" w:color="auto" w:fill="EDF0E7"/>
          </w:tcPr>
          <w:p w:rsidR="000D783A" w:rsidRPr="007D3A9F" w:rsidRDefault="000D783A" w:rsidP="00CF65E4">
            <w:pPr>
              <w:pStyle w:val="TableTextAppendices"/>
              <w:jc w:val="right"/>
            </w:pPr>
            <w:r w:rsidRPr="007D3A9F">
              <w:t>675,943</w:t>
            </w:r>
          </w:p>
        </w:tc>
        <w:tc>
          <w:tcPr>
            <w:tcW w:w="895" w:type="pct"/>
            <w:shd w:val="clear" w:color="auto" w:fill="EDF0E7"/>
          </w:tcPr>
          <w:p w:rsidR="000D783A" w:rsidRPr="00A35688" w:rsidRDefault="000D783A" w:rsidP="00CF65E4">
            <w:pPr>
              <w:pStyle w:val="TableTextAppendices"/>
              <w:jc w:val="right"/>
              <w:rPr>
                <w:szCs w:val="14"/>
              </w:rPr>
            </w:pPr>
            <w:r w:rsidRPr="00A35688">
              <w:rPr>
                <w:szCs w:val="14"/>
              </w:rPr>
              <w:t>711,256</w:t>
            </w:r>
          </w:p>
        </w:tc>
        <w:tc>
          <w:tcPr>
            <w:tcW w:w="895" w:type="pct"/>
            <w:shd w:val="clear" w:color="auto" w:fill="EDF0E7"/>
          </w:tcPr>
          <w:p w:rsidR="000D783A" w:rsidRPr="007D3A9F" w:rsidRDefault="000D783A" w:rsidP="00CF65E4">
            <w:pPr>
              <w:pStyle w:val="TableTextAppendices"/>
              <w:jc w:val="right"/>
              <w:rPr>
                <w:szCs w:val="14"/>
              </w:rPr>
            </w:pPr>
            <w:r w:rsidRPr="007D3A9F">
              <w:rPr>
                <w:szCs w:val="14"/>
              </w:rPr>
              <w:t>732,626</w:t>
            </w:r>
          </w:p>
        </w:tc>
        <w:tc>
          <w:tcPr>
            <w:tcW w:w="892" w:type="pct"/>
            <w:shd w:val="clear" w:color="auto" w:fill="EDF0E7"/>
          </w:tcPr>
          <w:p w:rsidR="000D783A" w:rsidRPr="00DD429F" w:rsidRDefault="000D783A" w:rsidP="00CF65E4">
            <w:pPr>
              <w:pStyle w:val="TableTextAppendices"/>
              <w:jc w:val="right"/>
            </w:pPr>
            <w:r w:rsidRPr="00DD429F">
              <w:t>719,572</w:t>
            </w:r>
          </w:p>
        </w:tc>
      </w:tr>
    </w:tbl>
    <w:p w:rsidR="004D42E7" w:rsidRPr="0060013A" w:rsidRDefault="004D42E7" w:rsidP="00C64A08">
      <w:pPr>
        <w:pStyle w:val="TableFootnote"/>
        <w:spacing w:after="40"/>
        <w:rPr>
          <w:bCs w:val="0"/>
          <w:highlight w:val="yellow"/>
        </w:rPr>
      </w:pPr>
    </w:p>
    <w:p w:rsidR="003E21CF" w:rsidRPr="007D3A9F" w:rsidRDefault="00750F5B" w:rsidP="00750F5B">
      <w:pPr>
        <w:pStyle w:val="BodyText"/>
        <w:rPr>
          <w:lang w:val="en-AU"/>
        </w:rPr>
      </w:pPr>
      <w:r w:rsidRPr="0060013A">
        <w:rPr>
          <w:highlight w:val="yellow"/>
          <w:lang w:val="en-AU"/>
        </w:rPr>
        <w:br w:type="page"/>
      </w:r>
      <w:r w:rsidR="003E21CF" w:rsidRPr="007D3A9F">
        <w:rPr>
          <w:lang w:val="en-AU"/>
        </w:rPr>
        <w:t>The in</w:t>
      </w:r>
      <w:r w:rsidR="007D3A9F" w:rsidRPr="007D3A9F">
        <w:rPr>
          <w:lang w:val="en-AU"/>
        </w:rPr>
        <w:t>crease in appropriation for 2012/13 compared to 2011/12</w:t>
      </w:r>
      <w:r w:rsidR="003E21CF" w:rsidRPr="007D3A9F">
        <w:rPr>
          <w:lang w:val="en-AU"/>
        </w:rPr>
        <w:t xml:space="preserve"> was mainly owing to a combination of:</w:t>
      </w:r>
    </w:p>
    <w:p w:rsidR="007D3A9F" w:rsidRPr="007D3A9F" w:rsidRDefault="007D3A9F" w:rsidP="00571CBB">
      <w:pPr>
        <w:pStyle w:val="BodyTextBullets"/>
        <w:rPr>
          <w:lang w:val="en-AU"/>
        </w:rPr>
      </w:pPr>
      <w:r w:rsidRPr="007D3A9F">
        <w:rPr>
          <w:lang w:val="en-AU"/>
        </w:rPr>
        <w:t>higher number of full-time teacher equivalents</w:t>
      </w:r>
    </w:p>
    <w:p w:rsidR="007D3A9F" w:rsidRPr="007D3A9F" w:rsidRDefault="007D3A9F" w:rsidP="00571CBB">
      <w:pPr>
        <w:pStyle w:val="BodyTextBullets"/>
        <w:rPr>
          <w:lang w:val="en-AU"/>
        </w:rPr>
      </w:pPr>
      <w:r w:rsidRPr="007D3A9F">
        <w:rPr>
          <w:lang w:val="en-AU"/>
        </w:rPr>
        <w:t>changes to school operations grants as approved in Budget 2012 and previous Budgets</w:t>
      </w:r>
    </w:p>
    <w:p w:rsidR="007D3A9F" w:rsidRPr="007D3A9F" w:rsidRDefault="007D3A9F" w:rsidP="00571CBB">
      <w:pPr>
        <w:pStyle w:val="BodyTextBullets"/>
        <w:rPr>
          <w:lang w:val="en-AU"/>
        </w:rPr>
      </w:pPr>
      <w:r w:rsidRPr="007D3A9F">
        <w:rPr>
          <w:lang w:val="en-AU"/>
        </w:rPr>
        <w:t>increased effective average rates for teachers and principals and expected incremental creep</w:t>
      </w:r>
    </w:p>
    <w:p w:rsidR="007D3A9F" w:rsidRPr="007D3A9F" w:rsidRDefault="007D3A9F" w:rsidP="00571CBB">
      <w:pPr>
        <w:pStyle w:val="BodyTextBullets"/>
        <w:rPr>
          <w:lang w:val="en-AU"/>
        </w:rPr>
      </w:pPr>
      <w:r w:rsidRPr="007D3A9F">
        <w:rPr>
          <w:lang w:val="en-AU"/>
        </w:rPr>
        <w:t>redistribution of salaries funding over the non-departmental other expense appropriations for Primary Education, Secondary Education and Special Needs Support</w:t>
      </w:r>
    </w:p>
    <w:p w:rsidR="007D3A9F" w:rsidRPr="007D3A9F" w:rsidRDefault="007D3A9F" w:rsidP="00571CBB">
      <w:pPr>
        <w:pStyle w:val="BodyTextBullets"/>
        <w:rPr>
          <w:lang w:val="en-AU"/>
        </w:rPr>
      </w:pPr>
      <w:r w:rsidRPr="007D3A9F">
        <w:rPr>
          <w:lang w:val="en-AU"/>
        </w:rPr>
        <w:t>increased uptake of KiwiSaver and an increase in the KiwiSaver subsidy rate from 2013</w:t>
      </w:r>
    </w:p>
    <w:p w:rsidR="007D3A9F" w:rsidRPr="007D3A9F" w:rsidRDefault="007D3A9F" w:rsidP="00571CBB">
      <w:pPr>
        <w:pStyle w:val="BodyTextBullets"/>
        <w:rPr>
          <w:lang w:val="en-AU"/>
        </w:rPr>
      </w:pPr>
      <w:r w:rsidRPr="007D3A9F">
        <w:rPr>
          <w:lang w:val="en-AU"/>
        </w:rPr>
        <w:t>funding for running boards of trustees elections</w:t>
      </w:r>
    </w:p>
    <w:p w:rsidR="007D3A9F" w:rsidRPr="007D3A9F" w:rsidRDefault="007D3A9F" w:rsidP="00571CBB">
      <w:pPr>
        <w:pStyle w:val="BodyTextBullets"/>
        <w:rPr>
          <w:lang w:val="en-AU"/>
        </w:rPr>
      </w:pPr>
      <w:r w:rsidRPr="007D3A9F">
        <w:rPr>
          <w:lang w:val="en-AU"/>
        </w:rPr>
        <w:t>ongoing support for students to meet literacy and numeracy standards</w:t>
      </w:r>
    </w:p>
    <w:p w:rsidR="007D3A9F" w:rsidRPr="007D3A9F" w:rsidRDefault="007D3A9F" w:rsidP="00030453">
      <w:pPr>
        <w:pStyle w:val="BodyTextBulletslast"/>
        <w:rPr>
          <w:lang w:val="en-AU"/>
        </w:rPr>
      </w:pPr>
      <w:r w:rsidRPr="007D3A9F">
        <w:rPr>
          <w:lang w:val="en-AU"/>
        </w:rPr>
        <w:t>changes to the number of days included in each financial year as determined by respective term dates.</w:t>
      </w:r>
    </w:p>
    <w:p w:rsidR="003E21CF" w:rsidRPr="007D3A9F" w:rsidRDefault="003E21CF" w:rsidP="00750F5B">
      <w:pPr>
        <w:pStyle w:val="BodyText"/>
        <w:rPr>
          <w:lang w:val="en-AU"/>
        </w:rPr>
      </w:pPr>
      <w:r w:rsidRPr="007D3A9F">
        <w:rPr>
          <w:lang w:val="en-AU"/>
        </w:rPr>
        <w:t>The</w:t>
      </w:r>
      <w:r w:rsidR="007D3A9F" w:rsidRPr="007D3A9F">
        <w:rPr>
          <w:lang w:val="en-AU"/>
        </w:rPr>
        <w:t xml:space="preserve"> decrease in funding during 2012/13</w:t>
      </w:r>
      <w:r w:rsidRPr="007D3A9F">
        <w:rPr>
          <w:lang w:val="en-AU"/>
        </w:rPr>
        <w:t xml:space="preserve"> was mainly owing to a combination of:</w:t>
      </w:r>
    </w:p>
    <w:p w:rsidR="007D3A9F" w:rsidRPr="007D3A9F" w:rsidRDefault="007D3A9F" w:rsidP="00571CBB">
      <w:pPr>
        <w:pStyle w:val="BodyTextBullets"/>
        <w:rPr>
          <w:lang w:val="en-AU"/>
        </w:rPr>
      </w:pPr>
      <w:r w:rsidRPr="007D3A9F">
        <w:rPr>
          <w:lang w:val="en-AU"/>
        </w:rPr>
        <w:t>lower than expected national school roll projections</w:t>
      </w:r>
    </w:p>
    <w:p w:rsidR="007D3A9F" w:rsidRPr="007D3A9F" w:rsidRDefault="007D3A9F" w:rsidP="00571CBB">
      <w:pPr>
        <w:pStyle w:val="BodyTextBullets"/>
        <w:rPr>
          <w:lang w:val="en-AU"/>
        </w:rPr>
      </w:pPr>
      <w:r w:rsidRPr="007D3A9F">
        <w:rPr>
          <w:lang w:val="en-AU"/>
        </w:rPr>
        <w:t>reduced Accident Compensation Corporation rates from 1 July 2012 and savings achieved from the previous year</w:t>
      </w:r>
    </w:p>
    <w:p w:rsidR="007D3A9F" w:rsidRPr="007D3A9F" w:rsidRDefault="007D3A9F" w:rsidP="00571CBB">
      <w:pPr>
        <w:pStyle w:val="BodyTextBullets"/>
        <w:rPr>
          <w:lang w:val="en-AU"/>
        </w:rPr>
      </w:pPr>
      <w:r w:rsidRPr="007D3A9F">
        <w:rPr>
          <w:lang w:val="en-AU"/>
        </w:rPr>
        <w:t>lower than expected subsidies for KiwiSaver</w:t>
      </w:r>
    </w:p>
    <w:p w:rsidR="007D3A9F" w:rsidRPr="007D3A9F" w:rsidRDefault="007D3A9F" w:rsidP="00571CBB">
      <w:pPr>
        <w:pStyle w:val="BodyTextBullets"/>
        <w:rPr>
          <w:lang w:val="en-AU"/>
        </w:rPr>
      </w:pPr>
      <w:r w:rsidRPr="007D3A9F">
        <w:rPr>
          <w:lang w:val="en-AU"/>
        </w:rPr>
        <w:t>savings against support for students to meet literacy and numeracy standards reallocated to departmental output expense Support and Resources for Education Providers to support implementation of Novopay</w:t>
      </w:r>
    </w:p>
    <w:p w:rsidR="007D3A9F" w:rsidRPr="007D3A9F" w:rsidRDefault="007D3A9F" w:rsidP="00571CBB">
      <w:pPr>
        <w:pStyle w:val="BodyTextBullets"/>
        <w:rPr>
          <w:lang w:val="en-AU"/>
        </w:rPr>
      </w:pPr>
      <w:r w:rsidRPr="007D3A9F">
        <w:rPr>
          <w:lang w:val="en-AU"/>
        </w:rPr>
        <w:t>provision for Novopay school support package</w:t>
      </w:r>
    </w:p>
    <w:p w:rsidR="007D3A9F" w:rsidRPr="007D3A9F" w:rsidRDefault="007D3A9F" w:rsidP="00571CBB">
      <w:pPr>
        <w:pStyle w:val="BodyTextBullets"/>
        <w:rPr>
          <w:lang w:val="en-AU"/>
        </w:rPr>
      </w:pPr>
      <w:r w:rsidRPr="007D3A9F">
        <w:rPr>
          <w:lang w:val="en-AU"/>
        </w:rPr>
        <w:t>higher than expected average teacher salary rates</w:t>
      </w:r>
    </w:p>
    <w:p w:rsidR="007D3A9F" w:rsidRPr="007D3A9F" w:rsidRDefault="007D3A9F" w:rsidP="00030453">
      <w:pPr>
        <w:pStyle w:val="BodyTextBulletslast"/>
        <w:rPr>
          <w:lang w:val="en-AU"/>
        </w:rPr>
      </w:pPr>
      <w:r w:rsidRPr="007D3A9F">
        <w:rPr>
          <w:lang w:val="en-AU"/>
        </w:rPr>
        <w:t>additional support for the recovery of the education sector in Christchurch, Waimakariri and Selwyn from the impact of the Christchurch earthquakes.</w:t>
      </w:r>
    </w:p>
    <w:p w:rsidR="000D783A" w:rsidRPr="00DC1402" w:rsidRDefault="003E21CF" w:rsidP="000D783A">
      <w:pPr>
        <w:pStyle w:val="BodyTextBulletslast"/>
        <w:numPr>
          <w:ilvl w:val="0"/>
          <w:numId w:val="0"/>
        </w:numPr>
        <w:tabs>
          <w:tab w:val="clear" w:pos="567"/>
          <w:tab w:val="left" w:pos="0"/>
        </w:tabs>
      </w:pPr>
      <w:r w:rsidRPr="007D3A9F">
        <w:rPr>
          <w:lang w:val="en-AU"/>
        </w:rPr>
        <w:t>Expenditur</w:t>
      </w:r>
      <w:r w:rsidR="007D3A9F" w:rsidRPr="007D3A9F">
        <w:rPr>
          <w:lang w:val="en-AU"/>
        </w:rPr>
        <w:t>e at the end of 2012/13</w:t>
      </w:r>
      <w:r w:rsidRPr="007D3A9F">
        <w:rPr>
          <w:lang w:val="en-AU"/>
        </w:rPr>
        <w:t xml:space="preserve"> </w:t>
      </w:r>
      <w:r w:rsidR="000D783A">
        <w:rPr>
          <w:lang w:val="en-AU"/>
        </w:rPr>
        <w:t xml:space="preserve">was </w:t>
      </w:r>
      <w:r w:rsidR="000D783A" w:rsidRPr="00DC1402">
        <w:t>less than budget mainly due to:</w:t>
      </w:r>
    </w:p>
    <w:p w:rsidR="000D783A" w:rsidRDefault="000D783A" w:rsidP="00E0656F">
      <w:pPr>
        <w:pStyle w:val="BodyTextBullets"/>
      </w:pPr>
      <w:r w:rsidRPr="006450ED">
        <w:t>bulk operating grant with provisions such as network conti</w:t>
      </w:r>
      <w:r>
        <w:t>ngency being under-utilised</w:t>
      </w:r>
    </w:p>
    <w:p w:rsidR="000D783A" w:rsidRPr="006450ED" w:rsidRDefault="000D783A" w:rsidP="000D783A">
      <w:pPr>
        <w:pStyle w:val="BodyTextBulletslast"/>
      </w:pPr>
      <w:r>
        <w:rPr>
          <w:rFonts w:cs="Arial"/>
        </w:rPr>
        <w:t>demand-</w:t>
      </w:r>
      <w:r w:rsidRPr="006450ED">
        <w:rPr>
          <w:rFonts w:cs="Arial"/>
        </w:rPr>
        <w:t>driven programmes, such as Relief Initiatives and Relieving Central Fund, being under-utilised.</w:t>
      </w:r>
    </w:p>
    <w:p w:rsidR="004D42E7" w:rsidRPr="002A3D06" w:rsidRDefault="003E21CF" w:rsidP="000D783A">
      <w:pPr>
        <w:pStyle w:val="Heading3"/>
      </w:pPr>
      <w:r w:rsidRPr="0060013A">
        <w:rPr>
          <w:rStyle w:val="BodyTextChar"/>
          <w:highlight w:val="yellow"/>
        </w:rPr>
        <w:br w:type="page"/>
      </w:r>
      <w:r w:rsidR="00361420" w:rsidRPr="002A3D06">
        <w:t>Secon</w:t>
      </w:r>
      <w:r w:rsidR="00CF65E4">
        <w:t>dary E</w:t>
      </w:r>
      <w:r w:rsidR="00361420" w:rsidRPr="002A3D06">
        <w:t>ducation</w:t>
      </w:r>
    </w:p>
    <w:p w:rsidR="004D42E7" w:rsidRPr="002A3D06" w:rsidRDefault="004D42E7" w:rsidP="00361420">
      <w:pPr>
        <w:pStyle w:val="Heading4"/>
      </w:pPr>
      <w:r w:rsidRPr="002A3D06">
        <w:t xml:space="preserve">Scope of </w:t>
      </w:r>
      <w:r w:rsidR="00361420" w:rsidRPr="002A3D06">
        <w:t>a</w:t>
      </w:r>
      <w:r w:rsidRPr="002A3D06">
        <w:t>ppropriation</w:t>
      </w:r>
    </w:p>
    <w:p w:rsidR="00750F5B" w:rsidRPr="002A3D06" w:rsidRDefault="00750F5B" w:rsidP="00DE3405">
      <w:pPr>
        <w:pStyle w:val="BodyText"/>
      </w:pPr>
      <w:r w:rsidRPr="002A3D06">
        <w:t xml:space="preserve">Delivering the curriculum for </w:t>
      </w:r>
      <w:r w:rsidR="00E0656F">
        <w:t>y</w:t>
      </w:r>
      <w:r w:rsidRPr="002A3D06">
        <w:t>ears 9</w:t>
      </w:r>
      <w:r w:rsidR="00E0656F">
        <w:rPr>
          <w:rFonts w:cs="Arial"/>
        </w:rPr>
        <w:t>–</w:t>
      </w:r>
      <w:r w:rsidRPr="002A3D06">
        <w:t>13 (</w:t>
      </w:r>
      <w:r w:rsidR="00E0656F">
        <w:t>f</w:t>
      </w:r>
      <w:r w:rsidRPr="002A3D06">
        <w:t>orms 3</w:t>
      </w:r>
      <w:r w:rsidR="00E0656F">
        <w:rPr>
          <w:rFonts w:cs="Arial"/>
        </w:rPr>
        <w:t>–</w:t>
      </w:r>
      <w:r w:rsidRPr="002A3D06">
        <w:t>7) to pupils of State, integrated, private schools and The Correspondence School.</w:t>
      </w:r>
      <w:r w:rsidR="00235FD2">
        <w:t xml:space="preserve"> </w:t>
      </w:r>
      <w:r w:rsidRPr="002A3D06">
        <w:t>Provides roll-based operations funding to schools, teacher and management salaries, support costs and supplementary funding programmes.</w:t>
      </w:r>
    </w:p>
    <w:p w:rsidR="004D42E7" w:rsidRPr="002A3D06" w:rsidRDefault="004D42E7" w:rsidP="00361420">
      <w:pPr>
        <w:pStyle w:val="Heading4"/>
      </w:pPr>
      <w:r w:rsidRPr="002A3D06">
        <w:t xml:space="preserve">Intended </w:t>
      </w:r>
      <w:r w:rsidR="00361420" w:rsidRPr="002A3D06">
        <w:t>i</w:t>
      </w:r>
      <w:r w:rsidRPr="002A3D06">
        <w:t xml:space="preserve">mpacts, </w:t>
      </w:r>
      <w:r w:rsidR="00361420" w:rsidRPr="002A3D06">
        <w:t>o</w:t>
      </w:r>
      <w:r w:rsidRPr="002A3D06">
        <w:t xml:space="preserve">utcomes or </w:t>
      </w:r>
      <w:r w:rsidR="00361420" w:rsidRPr="002A3D06">
        <w:t>o</w:t>
      </w:r>
      <w:r w:rsidRPr="002A3D06">
        <w:t>bjectives</w:t>
      </w:r>
    </w:p>
    <w:p w:rsidR="002A3D06" w:rsidRPr="002A3D06" w:rsidRDefault="002A3D06" w:rsidP="000813F7">
      <w:pPr>
        <w:pStyle w:val="BodyText"/>
      </w:pPr>
      <w:r>
        <w:t>Attainment of useful qualifications.</w:t>
      </w:r>
    </w:p>
    <w:p w:rsidR="004D42E7" w:rsidRPr="002A3D06" w:rsidRDefault="004D42E7" w:rsidP="00361420">
      <w:pPr>
        <w:pStyle w:val="Heading4"/>
      </w:pPr>
      <w:r w:rsidRPr="002A3D06">
        <w:t>Description of Activities</w:t>
      </w:r>
    </w:p>
    <w:p w:rsidR="00750F5B" w:rsidRPr="002A3D06" w:rsidRDefault="00750F5B" w:rsidP="00750F5B">
      <w:r w:rsidRPr="002A3D06">
        <w:t>These expenses include the number of students and teachers in the secondary education sector, the quality of the management and governance of the schools in the sector, the timeliness of their operations, and their financial expenses.</w:t>
      </w:r>
    </w:p>
    <w:p w:rsidR="00361420" w:rsidRPr="002A3D06" w:rsidRDefault="004D42E7" w:rsidP="00361420">
      <w:pPr>
        <w:pStyle w:val="Heading4"/>
      </w:pPr>
      <w:r w:rsidRPr="002A3D06">
        <w:rPr>
          <w:szCs w:val="22"/>
        </w:rPr>
        <w:t>Results</w:t>
      </w:r>
      <w:r w:rsidR="00361420" w:rsidRPr="002A3D06">
        <w:t xml:space="preserve"> </w:t>
      </w:r>
      <w:r w:rsidR="00E0656F">
        <w:rPr>
          <w:rFonts w:cs="Arial"/>
        </w:rPr>
        <w:t>―</w:t>
      </w:r>
      <w:r w:rsidR="00361420" w:rsidRPr="002A3D06">
        <w:t xml:space="preserve"> Non-financial</w:t>
      </w:r>
    </w:p>
    <w:tbl>
      <w:tblPr>
        <w:tblW w:w="8845"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1E0"/>
      </w:tblPr>
      <w:tblGrid>
        <w:gridCol w:w="3398"/>
        <w:gridCol w:w="1823"/>
        <w:gridCol w:w="1808"/>
        <w:gridCol w:w="1816"/>
      </w:tblGrid>
      <w:tr w:rsidR="00361420" w:rsidRPr="0060013A" w:rsidTr="009901AD">
        <w:trPr>
          <w:trHeight w:val="90"/>
          <w:tblHeader/>
        </w:trPr>
        <w:tc>
          <w:tcPr>
            <w:tcW w:w="3398" w:type="dxa"/>
            <w:tcBorders>
              <w:bottom w:val="single" w:sz="4" w:space="0" w:color="FFFFFF"/>
            </w:tcBorders>
            <w:shd w:val="clear" w:color="auto" w:fill="DBE2D1"/>
          </w:tcPr>
          <w:p w:rsidR="00361420" w:rsidRPr="004278C3" w:rsidRDefault="00361420" w:rsidP="004278C3">
            <w:pPr>
              <w:pStyle w:val="TableText"/>
              <w:rPr>
                <w:b/>
              </w:rPr>
            </w:pPr>
            <w:r w:rsidRPr="004278C3">
              <w:rPr>
                <w:b/>
              </w:rPr>
              <w:t>Results</w:t>
            </w:r>
          </w:p>
        </w:tc>
        <w:tc>
          <w:tcPr>
            <w:tcW w:w="1823" w:type="dxa"/>
            <w:tcBorders>
              <w:bottom w:val="single" w:sz="4" w:space="0" w:color="FFFFFF"/>
            </w:tcBorders>
            <w:shd w:val="clear" w:color="auto" w:fill="DBE2D1"/>
          </w:tcPr>
          <w:p w:rsidR="00750F5B" w:rsidRPr="004278C3" w:rsidRDefault="002A3D06" w:rsidP="004278C3">
            <w:pPr>
              <w:pStyle w:val="TableText"/>
              <w:rPr>
                <w:b/>
              </w:rPr>
            </w:pPr>
            <w:r w:rsidRPr="004278C3">
              <w:rPr>
                <w:b/>
              </w:rPr>
              <w:t>2011/12</w:t>
            </w:r>
          </w:p>
          <w:p w:rsidR="00361420" w:rsidRPr="004278C3" w:rsidRDefault="00750F5B" w:rsidP="004278C3">
            <w:pPr>
              <w:pStyle w:val="TableText"/>
              <w:rPr>
                <w:b/>
              </w:rPr>
            </w:pPr>
            <w:r w:rsidRPr="004278C3">
              <w:rPr>
                <w:b/>
              </w:rPr>
              <w:t>Actual</w:t>
            </w:r>
            <w:r w:rsidRPr="004278C3">
              <w:rPr>
                <w:b/>
              </w:rPr>
              <w:br/>
              <w:t>Standard</w:t>
            </w:r>
          </w:p>
        </w:tc>
        <w:tc>
          <w:tcPr>
            <w:tcW w:w="1808" w:type="dxa"/>
            <w:tcBorders>
              <w:bottom w:val="single" w:sz="4" w:space="0" w:color="FFFFFF"/>
            </w:tcBorders>
            <w:shd w:val="clear" w:color="auto" w:fill="DBE2D1"/>
          </w:tcPr>
          <w:p w:rsidR="00750F5B" w:rsidRPr="004278C3" w:rsidRDefault="002A3D06" w:rsidP="004278C3">
            <w:pPr>
              <w:pStyle w:val="TableText"/>
              <w:rPr>
                <w:b/>
              </w:rPr>
            </w:pPr>
            <w:r w:rsidRPr="004278C3">
              <w:rPr>
                <w:b/>
              </w:rPr>
              <w:t>2012/13</w:t>
            </w:r>
          </w:p>
          <w:p w:rsidR="00361420" w:rsidRPr="004278C3" w:rsidRDefault="00750F5B" w:rsidP="004278C3">
            <w:pPr>
              <w:pStyle w:val="TableText"/>
              <w:rPr>
                <w:b/>
              </w:rPr>
            </w:pPr>
            <w:r w:rsidRPr="004278C3">
              <w:rPr>
                <w:b/>
              </w:rPr>
              <w:t>Budgeted</w:t>
            </w:r>
            <w:r w:rsidRPr="004278C3">
              <w:rPr>
                <w:b/>
              </w:rPr>
              <w:br/>
              <w:t>Standard</w:t>
            </w:r>
          </w:p>
        </w:tc>
        <w:tc>
          <w:tcPr>
            <w:tcW w:w="1816" w:type="dxa"/>
            <w:tcBorders>
              <w:bottom w:val="single" w:sz="4" w:space="0" w:color="FFFFFF"/>
            </w:tcBorders>
            <w:shd w:val="clear" w:color="auto" w:fill="DBE2D1"/>
          </w:tcPr>
          <w:p w:rsidR="00750F5B" w:rsidRPr="004278C3" w:rsidRDefault="002A3D06" w:rsidP="004278C3">
            <w:pPr>
              <w:pStyle w:val="TableText"/>
              <w:rPr>
                <w:b/>
              </w:rPr>
            </w:pPr>
            <w:r w:rsidRPr="004278C3">
              <w:rPr>
                <w:b/>
              </w:rPr>
              <w:t>2012/13</w:t>
            </w:r>
          </w:p>
          <w:p w:rsidR="00361420" w:rsidRPr="004278C3" w:rsidRDefault="00750F5B" w:rsidP="004278C3">
            <w:pPr>
              <w:pStyle w:val="TableText"/>
              <w:rPr>
                <w:b/>
              </w:rPr>
            </w:pPr>
            <w:r w:rsidRPr="004278C3">
              <w:rPr>
                <w:b/>
              </w:rPr>
              <w:t>Actual</w:t>
            </w:r>
            <w:r w:rsidRPr="004278C3">
              <w:rPr>
                <w:b/>
              </w:rPr>
              <w:br/>
              <w:t>Standard</w:t>
            </w:r>
          </w:p>
        </w:tc>
      </w:tr>
      <w:tr w:rsidR="00361420" w:rsidRPr="0060013A" w:rsidTr="009901AD">
        <w:trPr>
          <w:trHeight w:val="129"/>
        </w:trPr>
        <w:tc>
          <w:tcPr>
            <w:tcW w:w="8845" w:type="dxa"/>
            <w:gridSpan w:val="4"/>
            <w:shd w:val="clear" w:color="auto" w:fill="EDF0E7"/>
          </w:tcPr>
          <w:p w:rsidR="00361420" w:rsidRPr="004278C3" w:rsidRDefault="00361420" w:rsidP="004278C3">
            <w:pPr>
              <w:pStyle w:val="TableText"/>
              <w:rPr>
                <w:b/>
              </w:rPr>
            </w:pPr>
            <w:r w:rsidRPr="004278C3">
              <w:rPr>
                <w:b/>
              </w:rPr>
              <w:t>Quantity</w:t>
            </w:r>
          </w:p>
        </w:tc>
      </w:tr>
      <w:tr w:rsidR="008429FD" w:rsidRPr="0060013A" w:rsidTr="009901AD">
        <w:tc>
          <w:tcPr>
            <w:tcW w:w="3398" w:type="dxa"/>
            <w:shd w:val="clear" w:color="auto" w:fill="EDF0E7"/>
          </w:tcPr>
          <w:p w:rsidR="008429FD" w:rsidRPr="002A3D06" w:rsidRDefault="008429FD" w:rsidP="004278C3">
            <w:pPr>
              <w:pStyle w:val="TableText"/>
            </w:pPr>
            <w:r w:rsidRPr="002A3D06">
              <w:t>Number of students to receive the curricul</w:t>
            </w:r>
            <w:r>
              <w:t>um as at census date of 1 March</w:t>
            </w:r>
            <w:r w:rsidR="007545A3">
              <w:t>.</w:t>
            </w:r>
          </w:p>
        </w:tc>
        <w:tc>
          <w:tcPr>
            <w:tcW w:w="1823" w:type="dxa"/>
            <w:shd w:val="clear" w:color="auto" w:fill="EDF0E7"/>
          </w:tcPr>
          <w:p w:rsidR="008429FD" w:rsidRPr="002A3D06" w:rsidRDefault="008429FD" w:rsidP="004278C3">
            <w:pPr>
              <w:pStyle w:val="TableText"/>
            </w:pPr>
            <w:r w:rsidRPr="002A3D06">
              <w:t>286,408</w:t>
            </w:r>
          </w:p>
          <w:p w:rsidR="008429FD" w:rsidRPr="002A3D06" w:rsidRDefault="008429FD" w:rsidP="004278C3">
            <w:pPr>
              <w:pStyle w:val="TableText"/>
            </w:pPr>
          </w:p>
        </w:tc>
        <w:tc>
          <w:tcPr>
            <w:tcW w:w="1808" w:type="dxa"/>
            <w:shd w:val="clear" w:color="auto" w:fill="EDF0E7"/>
          </w:tcPr>
          <w:p w:rsidR="008429FD" w:rsidRPr="002A3D06" w:rsidRDefault="008429FD" w:rsidP="004278C3">
            <w:pPr>
              <w:pStyle w:val="TableText"/>
            </w:pPr>
            <w:r>
              <w:t>276,000 – 277,000</w:t>
            </w:r>
          </w:p>
        </w:tc>
        <w:tc>
          <w:tcPr>
            <w:tcW w:w="1816" w:type="dxa"/>
            <w:shd w:val="clear" w:color="auto" w:fill="EDF0E7"/>
          </w:tcPr>
          <w:p w:rsidR="008429FD" w:rsidRPr="00784DDA" w:rsidRDefault="00C117D3" w:rsidP="00C117D3">
            <w:pPr>
              <w:pStyle w:val="TableText"/>
              <w:rPr>
                <w:highlight w:val="yellow"/>
              </w:rPr>
            </w:pPr>
            <w:r w:rsidRPr="00C117D3">
              <w:t>285,854</w:t>
            </w:r>
          </w:p>
        </w:tc>
      </w:tr>
      <w:tr w:rsidR="008429FD" w:rsidRPr="0060013A" w:rsidTr="009901AD">
        <w:tc>
          <w:tcPr>
            <w:tcW w:w="3398" w:type="dxa"/>
            <w:shd w:val="clear" w:color="auto" w:fill="EDF0E7"/>
          </w:tcPr>
          <w:p w:rsidR="008429FD" w:rsidRPr="0060013A" w:rsidRDefault="008429FD" w:rsidP="004278C3">
            <w:pPr>
              <w:pStyle w:val="TableText"/>
              <w:rPr>
                <w:highlight w:val="yellow"/>
              </w:rPr>
            </w:pPr>
            <w:r w:rsidRPr="002A3D06">
              <w:t>Number of Full-time Teacher Equivalents teaching in secondary schools (excluding The Correspondence School</w:t>
            </w:r>
            <w:r w:rsidR="007545A3">
              <w:t xml:space="preserve"> and private schools</w:t>
            </w:r>
            <w:r w:rsidRPr="002A3D06">
              <w:t>)</w:t>
            </w:r>
            <w:r w:rsidR="007545A3">
              <w:t>.</w:t>
            </w:r>
          </w:p>
        </w:tc>
        <w:tc>
          <w:tcPr>
            <w:tcW w:w="1823" w:type="dxa"/>
            <w:shd w:val="clear" w:color="auto" w:fill="EDF0E7"/>
          </w:tcPr>
          <w:p w:rsidR="008429FD" w:rsidRPr="002A3D06" w:rsidRDefault="008429FD" w:rsidP="004278C3">
            <w:pPr>
              <w:pStyle w:val="TableText"/>
            </w:pPr>
            <w:r w:rsidRPr="002A3D06">
              <w:t>19,659</w:t>
            </w:r>
          </w:p>
          <w:p w:rsidR="008429FD" w:rsidRPr="002A3D06" w:rsidRDefault="008429FD" w:rsidP="004278C3">
            <w:pPr>
              <w:pStyle w:val="TableText"/>
            </w:pPr>
          </w:p>
          <w:p w:rsidR="008429FD" w:rsidRPr="002A3D06" w:rsidRDefault="008429FD" w:rsidP="004278C3">
            <w:pPr>
              <w:pStyle w:val="TableText"/>
            </w:pPr>
          </w:p>
        </w:tc>
        <w:tc>
          <w:tcPr>
            <w:tcW w:w="1808" w:type="dxa"/>
            <w:shd w:val="clear" w:color="auto" w:fill="EDF0E7"/>
          </w:tcPr>
          <w:p w:rsidR="008429FD" w:rsidRPr="002A3D06" w:rsidRDefault="008429FD" w:rsidP="004278C3">
            <w:pPr>
              <w:pStyle w:val="TableText"/>
            </w:pPr>
            <w:r w:rsidRPr="002A3D06">
              <w:t>20,400</w:t>
            </w:r>
          </w:p>
        </w:tc>
        <w:tc>
          <w:tcPr>
            <w:tcW w:w="1816" w:type="dxa"/>
            <w:shd w:val="clear" w:color="auto" w:fill="EDF0E7"/>
          </w:tcPr>
          <w:p w:rsidR="008429FD" w:rsidRPr="003C2783" w:rsidRDefault="008429FD" w:rsidP="008429FD">
            <w:pPr>
              <w:pStyle w:val="TableTextAppendices"/>
            </w:pPr>
            <w:r w:rsidRPr="003C2783">
              <w:t>19,388</w:t>
            </w:r>
          </w:p>
          <w:p w:rsidR="008429FD" w:rsidRPr="00F37CED" w:rsidRDefault="008429FD" w:rsidP="008429FD">
            <w:pPr>
              <w:pStyle w:val="TableTextAppendices"/>
              <w:rPr>
                <w:highlight w:val="yellow"/>
              </w:rPr>
            </w:pPr>
          </w:p>
        </w:tc>
      </w:tr>
      <w:tr w:rsidR="008429FD" w:rsidRPr="0060013A" w:rsidTr="009901AD">
        <w:tc>
          <w:tcPr>
            <w:tcW w:w="8845" w:type="dxa"/>
            <w:gridSpan w:val="4"/>
            <w:shd w:val="clear" w:color="auto" w:fill="EDF0E7"/>
          </w:tcPr>
          <w:p w:rsidR="008429FD" w:rsidRPr="004278C3" w:rsidRDefault="008429FD" w:rsidP="004278C3">
            <w:pPr>
              <w:pStyle w:val="TableText"/>
              <w:rPr>
                <w:b/>
              </w:rPr>
            </w:pPr>
            <w:r w:rsidRPr="004278C3">
              <w:rPr>
                <w:b/>
              </w:rPr>
              <w:t>Quality</w:t>
            </w:r>
          </w:p>
        </w:tc>
      </w:tr>
      <w:tr w:rsidR="008429FD" w:rsidRPr="0060013A" w:rsidTr="009901AD">
        <w:tc>
          <w:tcPr>
            <w:tcW w:w="3398" w:type="dxa"/>
            <w:shd w:val="clear" w:color="auto" w:fill="EDF0E7"/>
          </w:tcPr>
          <w:p w:rsidR="008429FD" w:rsidRPr="004278C3" w:rsidRDefault="008429FD" w:rsidP="004278C3">
            <w:pPr>
              <w:pStyle w:val="TableText"/>
            </w:pPr>
            <w:r w:rsidRPr="004278C3">
              <w:t>Percentage of State and integrated schools that meet legislative requirements of performance and standards required by the Education Act 1989 by:</w:t>
            </w:r>
          </w:p>
        </w:tc>
        <w:tc>
          <w:tcPr>
            <w:tcW w:w="1823" w:type="dxa"/>
            <w:shd w:val="clear" w:color="auto" w:fill="EDF0E7"/>
          </w:tcPr>
          <w:p w:rsidR="008429FD" w:rsidRPr="004278C3" w:rsidRDefault="008429FD" w:rsidP="004278C3">
            <w:pPr>
              <w:pStyle w:val="TableText"/>
              <w:rPr>
                <w:highlight w:val="yellow"/>
              </w:rPr>
            </w:pPr>
          </w:p>
        </w:tc>
        <w:tc>
          <w:tcPr>
            <w:tcW w:w="1808" w:type="dxa"/>
            <w:shd w:val="clear" w:color="auto" w:fill="EDF0E7"/>
          </w:tcPr>
          <w:p w:rsidR="008429FD" w:rsidRPr="004278C3" w:rsidRDefault="008429FD" w:rsidP="004278C3">
            <w:pPr>
              <w:pStyle w:val="TableText"/>
              <w:rPr>
                <w:highlight w:val="yellow"/>
              </w:rPr>
            </w:pPr>
          </w:p>
        </w:tc>
        <w:tc>
          <w:tcPr>
            <w:tcW w:w="1816" w:type="dxa"/>
            <w:shd w:val="clear" w:color="auto" w:fill="EDF0E7"/>
          </w:tcPr>
          <w:p w:rsidR="008429FD" w:rsidRPr="004278C3" w:rsidRDefault="008429FD" w:rsidP="004278C3">
            <w:pPr>
              <w:pStyle w:val="TableText"/>
              <w:rPr>
                <w:highlight w:val="yellow"/>
              </w:rPr>
            </w:pPr>
          </w:p>
        </w:tc>
      </w:tr>
      <w:tr w:rsidR="008429FD" w:rsidRPr="0060013A" w:rsidTr="009901AD">
        <w:trPr>
          <w:trHeight w:val="972"/>
        </w:trPr>
        <w:tc>
          <w:tcPr>
            <w:tcW w:w="3398" w:type="dxa"/>
            <w:shd w:val="clear" w:color="auto" w:fill="EDF0E7"/>
          </w:tcPr>
          <w:p w:rsidR="008429FD" w:rsidRPr="00D827C6" w:rsidRDefault="008429FD" w:rsidP="004278C3">
            <w:pPr>
              <w:pStyle w:val="TableTextAppendicesBullet"/>
            </w:pPr>
            <w:r w:rsidRPr="00D827C6">
              <w:rPr>
                <w:lang w:val="en-AU"/>
              </w:rPr>
              <w:t>having a charter in effect prepared under section 61 of the Act</w:t>
            </w:r>
            <w:r w:rsidR="007545A3">
              <w:rPr>
                <w:lang w:val="en-AU"/>
              </w:rPr>
              <w:t>.</w:t>
            </w:r>
          </w:p>
        </w:tc>
        <w:tc>
          <w:tcPr>
            <w:tcW w:w="1823" w:type="dxa"/>
            <w:shd w:val="clear" w:color="auto" w:fill="EDF0E7"/>
          </w:tcPr>
          <w:p w:rsidR="008429FD" w:rsidRPr="002A3D06" w:rsidRDefault="008429FD" w:rsidP="002A3D06">
            <w:pPr>
              <w:pStyle w:val="AppendixTableText"/>
              <w:rPr>
                <w:b/>
                <w:bCs/>
                <w:sz w:val="14"/>
              </w:rPr>
            </w:pPr>
            <w:r>
              <w:rPr>
                <w:b/>
                <w:bCs/>
                <w:sz w:val="14"/>
              </w:rPr>
              <w:t>2012 Calendar year</w:t>
            </w:r>
          </w:p>
          <w:p w:rsidR="008429FD" w:rsidRPr="0060013A" w:rsidRDefault="008429FD" w:rsidP="003731AA">
            <w:pPr>
              <w:pStyle w:val="TableTextAppendices"/>
              <w:rPr>
                <w:highlight w:val="yellow"/>
              </w:rPr>
            </w:pPr>
            <w:r w:rsidRPr="002A3D06">
              <w:t>21 schools failed to meet the standard as at 6 September (95.5% met the standard).</w:t>
            </w:r>
            <w:r w:rsidRPr="002A3D06">
              <w:rPr>
                <w:rStyle w:val="FootnoteReference"/>
                <w:sz w:val="14"/>
              </w:rPr>
              <w:footnoteReference w:id="34"/>
            </w:r>
          </w:p>
        </w:tc>
        <w:tc>
          <w:tcPr>
            <w:tcW w:w="1808" w:type="dxa"/>
            <w:shd w:val="clear" w:color="auto" w:fill="EDF0E7"/>
          </w:tcPr>
          <w:p w:rsidR="008429FD" w:rsidRPr="0060013A" w:rsidRDefault="008429FD" w:rsidP="004278C3">
            <w:pPr>
              <w:pStyle w:val="TableText"/>
              <w:rPr>
                <w:highlight w:val="yellow"/>
              </w:rPr>
            </w:pPr>
            <w:r w:rsidRPr="00292E09">
              <w:t>99.5% of registered State and integrated schools have such a charter or are working with the Ministry to meet the requirements of the Act</w:t>
            </w:r>
            <w:r w:rsidR="007545A3">
              <w:t>.</w:t>
            </w:r>
          </w:p>
        </w:tc>
        <w:tc>
          <w:tcPr>
            <w:tcW w:w="1816" w:type="dxa"/>
            <w:shd w:val="clear" w:color="auto" w:fill="EDF0E7"/>
          </w:tcPr>
          <w:p w:rsidR="008429FD" w:rsidRPr="008429FD" w:rsidRDefault="008429FD" w:rsidP="008429FD">
            <w:pPr>
              <w:pStyle w:val="TableTextAppendices"/>
              <w:rPr>
                <w:b/>
              </w:rPr>
            </w:pPr>
            <w:r w:rsidRPr="008429FD">
              <w:rPr>
                <w:b/>
              </w:rPr>
              <w:t>2013 Calendar year</w:t>
            </w:r>
          </w:p>
          <w:p w:rsidR="008429FD" w:rsidRPr="009351CD" w:rsidRDefault="008429FD" w:rsidP="008429FD">
            <w:pPr>
              <w:pStyle w:val="TableTextAppendices"/>
              <w:rPr>
                <w:highlight w:val="yellow"/>
              </w:rPr>
            </w:pPr>
            <w:r>
              <w:t>12 schools failed to meet the standard as at 4 September (97.5% met the standard).</w:t>
            </w:r>
          </w:p>
        </w:tc>
      </w:tr>
      <w:tr w:rsidR="008429FD" w:rsidRPr="0060013A" w:rsidTr="009901AD">
        <w:tc>
          <w:tcPr>
            <w:tcW w:w="3398" w:type="dxa"/>
            <w:shd w:val="clear" w:color="auto" w:fill="EDF0E7"/>
          </w:tcPr>
          <w:p w:rsidR="008429FD" w:rsidRPr="00D827C6" w:rsidRDefault="008429FD" w:rsidP="00571CBB">
            <w:pPr>
              <w:pStyle w:val="TableTextAppendicesBullet"/>
            </w:pPr>
            <w:r w:rsidRPr="00D827C6">
              <w:t>being governed by boards of trustees</w:t>
            </w:r>
            <w:r w:rsidR="007545A3">
              <w:t>.</w:t>
            </w:r>
          </w:p>
        </w:tc>
        <w:tc>
          <w:tcPr>
            <w:tcW w:w="1823" w:type="dxa"/>
            <w:shd w:val="clear" w:color="auto" w:fill="EDF0E7"/>
          </w:tcPr>
          <w:p w:rsidR="008429FD" w:rsidRPr="00D827C6" w:rsidRDefault="008429FD" w:rsidP="003731AA">
            <w:pPr>
              <w:pStyle w:val="TableTextAppendices"/>
            </w:pPr>
            <w:r w:rsidRPr="003731AA">
              <w:t>98.6% of all registered State and integrated schools</w:t>
            </w:r>
            <w:r w:rsidRPr="00D827C6">
              <w:rPr>
                <w:rStyle w:val="FootnoteReference"/>
                <w:sz w:val="14"/>
              </w:rPr>
              <w:footnoteReference w:id="35"/>
            </w:r>
            <w:r w:rsidRPr="00D827C6">
              <w:t xml:space="preserve"> were governed by boards of trustees.</w:t>
            </w:r>
          </w:p>
        </w:tc>
        <w:tc>
          <w:tcPr>
            <w:tcW w:w="1808" w:type="dxa"/>
            <w:shd w:val="clear" w:color="auto" w:fill="EDF0E7"/>
          </w:tcPr>
          <w:p w:rsidR="008429FD" w:rsidRPr="00D827C6" w:rsidRDefault="008429FD" w:rsidP="004278C3">
            <w:pPr>
              <w:pStyle w:val="TableText"/>
            </w:pPr>
            <w:r w:rsidRPr="00D827C6">
              <w:t>Less than 0.5% of registered State and integrated schools will have a Commissioner appointed to manage the school under Section 78N of the Act</w:t>
            </w:r>
            <w:r w:rsidR="007545A3">
              <w:t>.</w:t>
            </w:r>
          </w:p>
        </w:tc>
        <w:tc>
          <w:tcPr>
            <w:tcW w:w="1816" w:type="dxa"/>
            <w:shd w:val="clear" w:color="auto" w:fill="EDF0E7"/>
          </w:tcPr>
          <w:p w:rsidR="008429FD" w:rsidRPr="00F37CED" w:rsidRDefault="008429FD" w:rsidP="008429FD">
            <w:pPr>
              <w:pStyle w:val="TableTextAppendices"/>
              <w:rPr>
                <w:highlight w:val="yellow"/>
              </w:rPr>
            </w:pPr>
            <w:r>
              <w:t>99.4</w:t>
            </w:r>
            <w:r w:rsidRPr="00ED5077">
              <w:t>% of all registered State and integrated schools</w:t>
            </w:r>
            <w:r>
              <w:rPr>
                <w:rStyle w:val="FootnoteReference"/>
                <w:szCs w:val="13"/>
                <w:lang w:val="en-GB"/>
              </w:rPr>
              <w:footnoteReference w:id="36"/>
            </w:r>
            <w:r w:rsidRPr="00ED5077">
              <w:t xml:space="preserve"> were governed by boards of trustees.</w:t>
            </w:r>
          </w:p>
        </w:tc>
      </w:tr>
      <w:tr w:rsidR="008429FD" w:rsidRPr="0060013A" w:rsidTr="009901AD">
        <w:trPr>
          <w:trHeight w:val="75"/>
        </w:trPr>
        <w:tc>
          <w:tcPr>
            <w:tcW w:w="3398" w:type="dxa"/>
            <w:tcBorders>
              <w:bottom w:val="single" w:sz="4" w:space="0" w:color="FFFFFF"/>
            </w:tcBorders>
            <w:shd w:val="clear" w:color="auto" w:fill="EDF0E7"/>
          </w:tcPr>
          <w:p w:rsidR="008429FD" w:rsidRPr="00D827C6" w:rsidRDefault="008429FD" w:rsidP="003731AA">
            <w:pPr>
              <w:pStyle w:val="TableTextAppendices"/>
            </w:pPr>
            <w:r w:rsidRPr="00D827C6">
              <w:t>Percentage of Māori and Pasifika youth aged between 15 and 19 years not in education or work will reduce in comparison to the current percentage.</w:t>
            </w:r>
            <w:r w:rsidRPr="00D827C6">
              <w:rPr>
                <w:rStyle w:val="FootnoteReference"/>
                <w:sz w:val="14"/>
              </w:rPr>
              <w:footnoteReference w:id="37"/>
            </w:r>
          </w:p>
        </w:tc>
        <w:tc>
          <w:tcPr>
            <w:tcW w:w="1823" w:type="dxa"/>
            <w:tcBorders>
              <w:bottom w:val="single" w:sz="4" w:space="0" w:color="FFFFFF"/>
            </w:tcBorders>
            <w:shd w:val="clear" w:color="auto" w:fill="EDF0E7"/>
          </w:tcPr>
          <w:p w:rsidR="008429FD" w:rsidRPr="00D827C6" w:rsidRDefault="008429FD" w:rsidP="003731AA">
            <w:pPr>
              <w:pStyle w:val="TableTextAppendices"/>
            </w:pPr>
            <w:r w:rsidRPr="00D827C6">
              <w:t>Māori =</w:t>
            </w:r>
            <w:r w:rsidR="007545A3">
              <w:t xml:space="preserve"> </w:t>
            </w:r>
            <w:r w:rsidRPr="00D827C6">
              <w:t>16.0%</w:t>
            </w:r>
          </w:p>
          <w:p w:rsidR="008429FD" w:rsidRPr="00D827C6" w:rsidRDefault="008429FD" w:rsidP="003731AA">
            <w:pPr>
              <w:pStyle w:val="TableTextAppendices"/>
            </w:pPr>
            <w:r w:rsidRPr="00D827C6">
              <w:t>Pasifika =</w:t>
            </w:r>
            <w:r w:rsidR="007545A3">
              <w:t xml:space="preserve"> </w:t>
            </w:r>
            <w:r w:rsidRPr="00D827C6">
              <w:t>9.8%</w:t>
            </w:r>
          </w:p>
          <w:p w:rsidR="008429FD" w:rsidRPr="00D827C6" w:rsidRDefault="008429FD" w:rsidP="00235FD2">
            <w:pPr>
              <w:pStyle w:val="TableTextAppendices"/>
            </w:pPr>
            <w:r w:rsidRPr="00D827C6">
              <w:t>September quarter 2011 (most recent available)</w:t>
            </w:r>
          </w:p>
        </w:tc>
        <w:tc>
          <w:tcPr>
            <w:tcW w:w="1808" w:type="dxa"/>
            <w:tcBorders>
              <w:bottom w:val="single" w:sz="4" w:space="0" w:color="FFFFFF"/>
            </w:tcBorders>
            <w:shd w:val="clear" w:color="auto" w:fill="EDF0E7"/>
          </w:tcPr>
          <w:p w:rsidR="008429FD" w:rsidRPr="00D827C6" w:rsidRDefault="008429FD" w:rsidP="003731AA">
            <w:pPr>
              <w:pStyle w:val="TableTextAppendices"/>
            </w:pPr>
            <w:r w:rsidRPr="00D827C6">
              <w:t>&lt;10%</w:t>
            </w:r>
          </w:p>
        </w:tc>
        <w:tc>
          <w:tcPr>
            <w:tcW w:w="1816" w:type="dxa"/>
            <w:tcBorders>
              <w:bottom w:val="single" w:sz="4" w:space="0" w:color="FFFFFF"/>
            </w:tcBorders>
            <w:shd w:val="clear" w:color="auto" w:fill="EDF0E7"/>
          </w:tcPr>
          <w:p w:rsidR="008429FD" w:rsidRPr="00355567" w:rsidRDefault="008429FD" w:rsidP="008429FD">
            <w:pPr>
              <w:pStyle w:val="TableTextAppendices"/>
            </w:pPr>
            <w:r w:rsidRPr="00355567">
              <w:t>15-to-24-year-olds</w:t>
            </w:r>
            <w:r>
              <w:rPr>
                <w:rStyle w:val="FootnoteReference"/>
                <w:szCs w:val="13"/>
                <w:lang w:val="en-GB"/>
              </w:rPr>
              <w:footnoteReference w:id="38"/>
            </w:r>
            <w:r w:rsidRPr="00355567">
              <w:t>:</w:t>
            </w:r>
          </w:p>
          <w:p w:rsidR="008429FD" w:rsidRPr="00355567" w:rsidRDefault="008429FD" w:rsidP="008429FD">
            <w:pPr>
              <w:pStyle w:val="TableTextAppendices"/>
            </w:pPr>
            <w:r w:rsidRPr="00355567">
              <w:t>Māori = 21.1%</w:t>
            </w:r>
          </w:p>
          <w:p w:rsidR="008429FD" w:rsidRPr="00355567" w:rsidRDefault="008429FD" w:rsidP="008429FD">
            <w:pPr>
              <w:pStyle w:val="TableTextAppendices"/>
            </w:pPr>
            <w:r w:rsidRPr="00355567">
              <w:t>Pasifika = 17.8%</w:t>
            </w:r>
          </w:p>
          <w:p w:rsidR="008429FD" w:rsidRDefault="008429FD" w:rsidP="008429FD">
            <w:pPr>
              <w:pStyle w:val="TableTextAppendices"/>
            </w:pPr>
            <w:r w:rsidRPr="000F0288">
              <w:t>June quarter 2013</w:t>
            </w:r>
          </w:p>
          <w:p w:rsidR="008429FD" w:rsidRPr="00F37CED" w:rsidRDefault="008429FD" w:rsidP="008429FD">
            <w:pPr>
              <w:pStyle w:val="TableTextAppendices"/>
              <w:rPr>
                <w:highlight w:val="yellow"/>
              </w:rPr>
            </w:pPr>
          </w:p>
        </w:tc>
      </w:tr>
      <w:tr w:rsidR="008429FD" w:rsidRPr="0060013A" w:rsidTr="009901AD">
        <w:tc>
          <w:tcPr>
            <w:tcW w:w="3398" w:type="dxa"/>
            <w:shd w:val="clear" w:color="auto" w:fill="EDF0E7"/>
          </w:tcPr>
          <w:p w:rsidR="008429FD" w:rsidRPr="00D827C6" w:rsidRDefault="008429FD" w:rsidP="004278C3">
            <w:pPr>
              <w:pStyle w:val="TableText"/>
            </w:pPr>
            <w:r w:rsidRPr="00D827C6">
              <w:t>Percentage of Māori and Pasifika students leaving school with NCEA Level 2</w:t>
            </w:r>
            <w:r w:rsidRPr="00D827C6">
              <w:rPr>
                <w:rStyle w:val="FootnoteReference"/>
                <w:sz w:val="14"/>
              </w:rPr>
              <w:footnoteReference w:id="39"/>
            </w:r>
            <w:r w:rsidRPr="00D827C6">
              <w:t xml:space="preserve"> or above will increase in comparison to the current percentage.</w:t>
            </w:r>
          </w:p>
        </w:tc>
        <w:tc>
          <w:tcPr>
            <w:tcW w:w="1823" w:type="dxa"/>
            <w:shd w:val="clear" w:color="auto" w:fill="EDF0E7"/>
          </w:tcPr>
          <w:p w:rsidR="008429FD" w:rsidRPr="00D827C6" w:rsidRDefault="008429FD" w:rsidP="004278C3">
            <w:pPr>
              <w:pStyle w:val="TableText"/>
            </w:pPr>
            <w:r w:rsidRPr="00D827C6">
              <w:t xml:space="preserve">Māori = </w:t>
            </w:r>
            <w:r w:rsidR="00CB2B58">
              <w:t>52.2%</w:t>
            </w:r>
          </w:p>
          <w:p w:rsidR="008429FD" w:rsidRPr="00D827C6" w:rsidRDefault="00CB2B58" w:rsidP="004278C3">
            <w:pPr>
              <w:pStyle w:val="TableText"/>
            </w:pPr>
            <w:r>
              <w:t>Pasifika = 63.6</w:t>
            </w:r>
            <w:r w:rsidR="008429FD" w:rsidRPr="00D827C6">
              <w:t>%</w:t>
            </w:r>
          </w:p>
        </w:tc>
        <w:tc>
          <w:tcPr>
            <w:tcW w:w="1808" w:type="dxa"/>
            <w:shd w:val="clear" w:color="auto" w:fill="EDF0E7"/>
          </w:tcPr>
          <w:p w:rsidR="008429FD" w:rsidRPr="00D827C6" w:rsidRDefault="008429FD" w:rsidP="004278C3">
            <w:pPr>
              <w:pStyle w:val="TableText"/>
            </w:pPr>
            <w:r w:rsidRPr="00D827C6">
              <w:t>Māori &gt;55%</w:t>
            </w:r>
          </w:p>
          <w:p w:rsidR="008429FD" w:rsidRPr="00D827C6" w:rsidRDefault="008429FD" w:rsidP="004278C3">
            <w:pPr>
              <w:pStyle w:val="TableText"/>
            </w:pPr>
            <w:r w:rsidRPr="00D827C6">
              <w:t>Pasifika &gt;75%</w:t>
            </w:r>
          </w:p>
        </w:tc>
        <w:tc>
          <w:tcPr>
            <w:tcW w:w="1816" w:type="dxa"/>
            <w:shd w:val="clear" w:color="auto" w:fill="EDF0E7"/>
          </w:tcPr>
          <w:p w:rsidR="008429FD" w:rsidRPr="00CB2B58" w:rsidRDefault="00CB2B58" w:rsidP="004278C3">
            <w:pPr>
              <w:pStyle w:val="TableText"/>
            </w:pPr>
            <w:r w:rsidRPr="00CB2B58">
              <w:t>Māori = 54.6%</w:t>
            </w:r>
          </w:p>
          <w:p w:rsidR="00CB2B58" w:rsidRPr="0060013A" w:rsidRDefault="00CB2B58" w:rsidP="004278C3">
            <w:pPr>
              <w:pStyle w:val="TableText"/>
              <w:rPr>
                <w:highlight w:val="yellow"/>
              </w:rPr>
            </w:pPr>
            <w:r w:rsidRPr="00CB2B58">
              <w:t>Pasifika = 64.8%</w:t>
            </w:r>
          </w:p>
        </w:tc>
      </w:tr>
      <w:tr w:rsidR="008429FD" w:rsidRPr="0060013A" w:rsidTr="009901AD">
        <w:tc>
          <w:tcPr>
            <w:tcW w:w="8845" w:type="dxa"/>
            <w:gridSpan w:val="4"/>
            <w:shd w:val="clear" w:color="auto" w:fill="EDF0E7"/>
          </w:tcPr>
          <w:p w:rsidR="008429FD" w:rsidRPr="004278C3" w:rsidRDefault="008429FD" w:rsidP="004278C3">
            <w:pPr>
              <w:pStyle w:val="TableText"/>
              <w:rPr>
                <w:b/>
              </w:rPr>
            </w:pPr>
            <w:r w:rsidRPr="004278C3">
              <w:rPr>
                <w:b/>
              </w:rPr>
              <w:t>Timeliness</w:t>
            </w:r>
          </w:p>
        </w:tc>
      </w:tr>
      <w:tr w:rsidR="008429FD" w:rsidRPr="0060013A" w:rsidTr="009901AD">
        <w:tc>
          <w:tcPr>
            <w:tcW w:w="3398" w:type="dxa"/>
            <w:shd w:val="clear" w:color="auto" w:fill="EDF0E7"/>
          </w:tcPr>
          <w:p w:rsidR="008429FD" w:rsidRPr="004278C3" w:rsidRDefault="008429FD" w:rsidP="004278C3">
            <w:pPr>
              <w:pStyle w:val="TableText"/>
            </w:pPr>
            <w:r w:rsidRPr="004278C3">
              <w:t>Schools to remain open for the delivery of the curriculum in terms of the National Education Guidelines</w:t>
            </w:r>
            <w:r w:rsidR="007545A3">
              <w:t>.</w:t>
            </w:r>
          </w:p>
        </w:tc>
        <w:tc>
          <w:tcPr>
            <w:tcW w:w="1823" w:type="dxa"/>
            <w:shd w:val="clear" w:color="auto" w:fill="EDF0E7"/>
          </w:tcPr>
          <w:p w:rsidR="007545A3" w:rsidRDefault="008429FD" w:rsidP="004278C3">
            <w:pPr>
              <w:pStyle w:val="TableText"/>
            </w:pPr>
            <w:r w:rsidRPr="004278C3">
              <w:t xml:space="preserve">With the exception of schools affected by the Canterbury earthquakes, in 2011 no schools were open for fewer than 380 half-days. The 2012 year is yet to finish. </w:t>
            </w:r>
          </w:p>
          <w:p w:rsidR="008429FD" w:rsidRPr="004278C3" w:rsidRDefault="008429FD" w:rsidP="004278C3">
            <w:pPr>
              <w:pStyle w:val="TableText"/>
            </w:pPr>
            <w:r w:rsidRPr="004278C3">
              <w:t xml:space="preserve">At this stage all schools are on track to </w:t>
            </w:r>
            <w:r w:rsidR="007545A3">
              <w:t>open for no fewer than 380 half-</w:t>
            </w:r>
            <w:r w:rsidRPr="004278C3">
              <w:t>days.</w:t>
            </w:r>
          </w:p>
        </w:tc>
        <w:tc>
          <w:tcPr>
            <w:tcW w:w="1808" w:type="dxa"/>
            <w:shd w:val="clear" w:color="auto" w:fill="EDF0E7"/>
          </w:tcPr>
          <w:p w:rsidR="008429FD" w:rsidRPr="004278C3" w:rsidRDefault="008429FD" w:rsidP="004278C3">
            <w:pPr>
              <w:pStyle w:val="TableText"/>
            </w:pPr>
            <w:r w:rsidRPr="004278C3">
              <w:t>No fewer than 380 half-days in 2012 and 380 half-days in 2013</w:t>
            </w:r>
            <w:r w:rsidR="007545A3">
              <w:t>.</w:t>
            </w:r>
          </w:p>
        </w:tc>
        <w:tc>
          <w:tcPr>
            <w:tcW w:w="1816" w:type="dxa"/>
            <w:shd w:val="clear" w:color="auto" w:fill="EDF0E7"/>
          </w:tcPr>
          <w:p w:rsidR="007545A3" w:rsidRDefault="008429FD" w:rsidP="008429FD">
            <w:pPr>
              <w:pStyle w:val="TableTextAppendices"/>
            </w:pPr>
            <w:r w:rsidRPr="00355567">
              <w:t>With the exception of Christchurch schools that were granted a teacher only day during the consultation process for closure and merger proposals, in 2012 no schools were open for fewer than 380 half- days.</w:t>
            </w:r>
          </w:p>
          <w:p w:rsidR="008429FD" w:rsidRPr="004278C3" w:rsidRDefault="008429FD" w:rsidP="008429FD">
            <w:pPr>
              <w:pStyle w:val="TableTextAppendices"/>
            </w:pPr>
            <w:r w:rsidRPr="00355567">
              <w:rPr>
                <w:lang w:val="en-GB"/>
              </w:rPr>
              <w:t xml:space="preserve">The 2013 year is yet to finish. At this stage all schools are on track to </w:t>
            </w:r>
            <w:r w:rsidR="007545A3">
              <w:rPr>
                <w:lang w:val="en-GB"/>
              </w:rPr>
              <w:t>open for no fewer than 380 half-</w:t>
            </w:r>
            <w:r w:rsidRPr="00355567">
              <w:rPr>
                <w:lang w:val="en-GB"/>
              </w:rPr>
              <w:t>days.</w:t>
            </w:r>
          </w:p>
        </w:tc>
      </w:tr>
    </w:tbl>
    <w:p w:rsidR="002A1C02" w:rsidRPr="004103B0" w:rsidRDefault="002A1C02" w:rsidP="004103B0">
      <w:pPr>
        <w:pStyle w:val="TableFootnote"/>
        <w:spacing w:after="40"/>
        <w:rPr>
          <w:bCs w:val="0"/>
          <w:szCs w:val="22"/>
          <w:highlight w:val="yellow"/>
        </w:rPr>
      </w:pPr>
    </w:p>
    <w:p w:rsidR="000F1311" w:rsidRPr="002830F2" w:rsidRDefault="000F1311" w:rsidP="000F1311">
      <w:pPr>
        <w:pStyle w:val="Heading4"/>
      </w:pPr>
      <w:r w:rsidRPr="002830F2">
        <w:rPr>
          <w:szCs w:val="22"/>
        </w:rPr>
        <w:t>Results</w:t>
      </w:r>
      <w:r w:rsidRPr="002830F2">
        <w:t xml:space="preserve"> </w:t>
      </w:r>
      <w:r w:rsidR="00E0656F">
        <w:rPr>
          <w:rFonts w:cs="Arial"/>
        </w:rPr>
        <w:t>―</w:t>
      </w:r>
      <w:r w:rsidRPr="002830F2">
        <w:t xml:space="preserve"> Financial</w:t>
      </w:r>
    </w:p>
    <w:tbl>
      <w:tblPr>
        <w:tblW w:w="895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1E0"/>
      </w:tblPr>
      <w:tblGrid>
        <w:gridCol w:w="2549"/>
        <w:gridCol w:w="1604"/>
        <w:gridCol w:w="1604"/>
        <w:gridCol w:w="1604"/>
        <w:gridCol w:w="1598"/>
      </w:tblGrid>
      <w:tr w:rsidR="00B2132D" w:rsidRPr="0060013A" w:rsidTr="009901AD">
        <w:trPr>
          <w:trHeight w:val="167"/>
        </w:trPr>
        <w:tc>
          <w:tcPr>
            <w:tcW w:w="1423" w:type="pct"/>
            <w:tcBorders>
              <w:bottom w:val="single" w:sz="4" w:space="0" w:color="FFFFFF"/>
            </w:tcBorders>
            <w:shd w:val="clear" w:color="auto" w:fill="DBE2D1"/>
          </w:tcPr>
          <w:p w:rsidR="00B2132D" w:rsidRPr="003731AA" w:rsidRDefault="00B2132D" w:rsidP="003731AA">
            <w:pPr>
              <w:pStyle w:val="TableTextAppendices"/>
              <w:jc w:val="center"/>
              <w:rPr>
                <w:b/>
              </w:rPr>
            </w:pPr>
            <w:r w:rsidRPr="003731AA">
              <w:rPr>
                <w:b/>
              </w:rPr>
              <w:t>Expenses</w:t>
            </w:r>
          </w:p>
        </w:tc>
        <w:tc>
          <w:tcPr>
            <w:tcW w:w="895" w:type="pct"/>
            <w:tcBorders>
              <w:bottom w:val="single" w:sz="4" w:space="0" w:color="FFFFFF"/>
            </w:tcBorders>
            <w:shd w:val="clear" w:color="auto" w:fill="DBE2D1"/>
          </w:tcPr>
          <w:p w:rsidR="00B2132D" w:rsidRPr="003731AA" w:rsidRDefault="002830F2" w:rsidP="003731AA">
            <w:pPr>
              <w:pStyle w:val="TableTextAppendices"/>
              <w:jc w:val="center"/>
              <w:rPr>
                <w:b/>
              </w:rPr>
            </w:pPr>
            <w:r w:rsidRPr="003731AA">
              <w:rPr>
                <w:b/>
              </w:rPr>
              <w:t>2011/12</w:t>
            </w:r>
          </w:p>
          <w:p w:rsidR="00B2132D" w:rsidRPr="003731AA" w:rsidRDefault="00B2132D" w:rsidP="003731AA">
            <w:pPr>
              <w:pStyle w:val="TableTextAppendices"/>
              <w:jc w:val="center"/>
              <w:rPr>
                <w:b/>
              </w:rPr>
            </w:pPr>
            <w:r w:rsidRPr="003731AA">
              <w:rPr>
                <w:b/>
              </w:rPr>
              <w:t>Actual</w:t>
            </w:r>
            <w:r w:rsidRPr="003731AA">
              <w:rPr>
                <w:b/>
              </w:rPr>
              <w:br/>
            </w:r>
            <w:r w:rsidRPr="003731AA">
              <w:rPr>
                <w:b/>
              </w:rPr>
              <w:br/>
              <w:t>$000</w:t>
            </w:r>
          </w:p>
        </w:tc>
        <w:tc>
          <w:tcPr>
            <w:tcW w:w="895" w:type="pct"/>
            <w:tcBorders>
              <w:bottom w:val="single" w:sz="4" w:space="0" w:color="FFFFFF"/>
            </w:tcBorders>
            <w:shd w:val="clear" w:color="auto" w:fill="DBE2D1"/>
          </w:tcPr>
          <w:p w:rsidR="00B2132D" w:rsidRPr="003731AA" w:rsidRDefault="002830F2" w:rsidP="003731AA">
            <w:pPr>
              <w:pStyle w:val="TableTextAppendices"/>
              <w:jc w:val="center"/>
              <w:rPr>
                <w:b/>
              </w:rPr>
            </w:pPr>
            <w:r w:rsidRPr="003731AA">
              <w:rPr>
                <w:b/>
              </w:rPr>
              <w:t>2012/13</w:t>
            </w:r>
          </w:p>
          <w:p w:rsidR="00B2132D" w:rsidRPr="003731AA" w:rsidRDefault="00B2132D" w:rsidP="003731AA">
            <w:pPr>
              <w:pStyle w:val="TableTextAppendices"/>
              <w:jc w:val="center"/>
              <w:rPr>
                <w:b/>
              </w:rPr>
            </w:pPr>
            <w:r w:rsidRPr="003731AA">
              <w:rPr>
                <w:b/>
              </w:rPr>
              <w:t>Estimates</w:t>
            </w:r>
            <w:r w:rsidRPr="003731AA">
              <w:rPr>
                <w:b/>
              </w:rPr>
              <w:br/>
            </w:r>
            <w:r w:rsidRPr="003731AA">
              <w:rPr>
                <w:b/>
              </w:rPr>
              <w:br/>
              <w:t>$000</w:t>
            </w:r>
          </w:p>
        </w:tc>
        <w:tc>
          <w:tcPr>
            <w:tcW w:w="895" w:type="pct"/>
            <w:tcBorders>
              <w:bottom w:val="single" w:sz="4" w:space="0" w:color="FFFFFF"/>
            </w:tcBorders>
            <w:shd w:val="clear" w:color="auto" w:fill="DBE2D1"/>
          </w:tcPr>
          <w:p w:rsidR="00B2132D" w:rsidRPr="003731AA" w:rsidRDefault="002830F2" w:rsidP="003731AA">
            <w:pPr>
              <w:pStyle w:val="TableTextAppendices"/>
              <w:jc w:val="center"/>
              <w:rPr>
                <w:b/>
              </w:rPr>
            </w:pPr>
            <w:r w:rsidRPr="003731AA">
              <w:rPr>
                <w:b/>
              </w:rPr>
              <w:t>2012/13</w:t>
            </w:r>
          </w:p>
          <w:p w:rsidR="00B2132D" w:rsidRPr="003731AA" w:rsidRDefault="00B2132D" w:rsidP="003731AA">
            <w:pPr>
              <w:pStyle w:val="TableTextAppendices"/>
              <w:jc w:val="center"/>
              <w:rPr>
                <w:b/>
              </w:rPr>
            </w:pPr>
            <w:r w:rsidRPr="003731AA">
              <w:rPr>
                <w:b/>
              </w:rPr>
              <w:t>Supp Estimates</w:t>
            </w:r>
            <w:r w:rsidRPr="003731AA">
              <w:rPr>
                <w:b/>
              </w:rPr>
              <w:br/>
            </w:r>
            <w:r w:rsidRPr="003731AA">
              <w:rPr>
                <w:b/>
              </w:rPr>
              <w:br/>
              <w:t>$000</w:t>
            </w:r>
          </w:p>
        </w:tc>
        <w:tc>
          <w:tcPr>
            <w:tcW w:w="892" w:type="pct"/>
            <w:tcBorders>
              <w:bottom w:val="single" w:sz="4" w:space="0" w:color="FFFFFF"/>
            </w:tcBorders>
            <w:shd w:val="clear" w:color="auto" w:fill="DBE2D1"/>
          </w:tcPr>
          <w:p w:rsidR="00B2132D" w:rsidRPr="003731AA" w:rsidRDefault="002830F2" w:rsidP="003731AA">
            <w:pPr>
              <w:pStyle w:val="TableTextAppendices"/>
              <w:jc w:val="center"/>
              <w:rPr>
                <w:b/>
              </w:rPr>
            </w:pPr>
            <w:r w:rsidRPr="003731AA">
              <w:rPr>
                <w:b/>
              </w:rPr>
              <w:t>2012/13</w:t>
            </w:r>
          </w:p>
          <w:p w:rsidR="00B2132D" w:rsidRPr="003731AA" w:rsidRDefault="00B2132D" w:rsidP="003731AA">
            <w:pPr>
              <w:pStyle w:val="TableTextAppendices"/>
              <w:jc w:val="center"/>
              <w:rPr>
                <w:b/>
              </w:rPr>
            </w:pPr>
            <w:r w:rsidRPr="003731AA">
              <w:rPr>
                <w:b/>
              </w:rPr>
              <w:t>Actual</w:t>
            </w:r>
            <w:r w:rsidRPr="003731AA">
              <w:rPr>
                <w:b/>
              </w:rPr>
              <w:br/>
            </w:r>
            <w:r w:rsidRPr="003731AA">
              <w:rPr>
                <w:b/>
              </w:rPr>
              <w:br/>
              <w:t>$000</w:t>
            </w:r>
          </w:p>
        </w:tc>
      </w:tr>
      <w:tr w:rsidR="008429FD" w:rsidRPr="0060013A" w:rsidTr="009901AD">
        <w:tc>
          <w:tcPr>
            <w:tcW w:w="1423" w:type="pct"/>
            <w:shd w:val="clear" w:color="auto" w:fill="EDF0E7"/>
          </w:tcPr>
          <w:p w:rsidR="008429FD" w:rsidRPr="002830F2" w:rsidRDefault="008429FD" w:rsidP="003731AA">
            <w:pPr>
              <w:pStyle w:val="TableTextAppendices"/>
            </w:pPr>
            <w:r w:rsidRPr="002830F2">
              <w:t>Total Appropriation</w:t>
            </w:r>
          </w:p>
        </w:tc>
        <w:tc>
          <w:tcPr>
            <w:tcW w:w="895" w:type="pct"/>
            <w:shd w:val="clear" w:color="auto" w:fill="EDF0E7"/>
          </w:tcPr>
          <w:p w:rsidR="008429FD" w:rsidRPr="002830F2" w:rsidRDefault="008429FD" w:rsidP="007545A3">
            <w:pPr>
              <w:pStyle w:val="TableTextAppendices"/>
              <w:jc w:val="right"/>
            </w:pPr>
            <w:r w:rsidRPr="002830F2">
              <w:t>2,005,760</w:t>
            </w:r>
          </w:p>
        </w:tc>
        <w:tc>
          <w:tcPr>
            <w:tcW w:w="895" w:type="pct"/>
            <w:shd w:val="clear" w:color="auto" w:fill="EDF0E7"/>
          </w:tcPr>
          <w:p w:rsidR="008429FD" w:rsidRPr="002830F2" w:rsidRDefault="008429FD" w:rsidP="007545A3">
            <w:pPr>
              <w:pStyle w:val="TableTextAppendices"/>
              <w:jc w:val="right"/>
            </w:pPr>
            <w:r w:rsidRPr="002830F2">
              <w:t>2,066,366</w:t>
            </w:r>
          </w:p>
        </w:tc>
        <w:tc>
          <w:tcPr>
            <w:tcW w:w="895" w:type="pct"/>
            <w:shd w:val="clear" w:color="auto" w:fill="EDF0E7"/>
          </w:tcPr>
          <w:p w:rsidR="008429FD" w:rsidRPr="002830F2" w:rsidRDefault="008429FD" w:rsidP="007545A3">
            <w:pPr>
              <w:pStyle w:val="TableTextAppendices"/>
              <w:jc w:val="right"/>
            </w:pPr>
            <w:r w:rsidRPr="002830F2">
              <w:t>2,056,493</w:t>
            </w:r>
          </w:p>
        </w:tc>
        <w:tc>
          <w:tcPr>
            <w:tcW w:w="892" w:type="pct"/>
            <w:shd w:val="clear" w:color="auto" w:fill="EDF0E7"/>
          </w:tcPr>
          <w:p w:rsidR="008429FD" w:rsidRPr="004717D2" w:rsidRDefault="008429FD" w:rsidP="007545A3">
            <w:pPr>
              <w:pStyle w:val="TableTextAppendices"/>
              <w:jc w:val="right"/>
            </w:pPr>
            <w:r w:rsidRPr="004717D2">
              <w:t>2,049,588</w:t>
            </w:r>
          </w:p>
        </w:tc>
      </w:tr>
      <w:tr w:rsidR="008429FD" w:rsidRPr="0060013A" w:rsidTr="009901AD">
        <w:tc>
          <w:tcPr>
            <w:tcW w:w="1423" w:type="pct"/>
            <w:shd w:val="clear" w:color="auto" w:fill="EDF0E7"/>
          </w:tcPr>
          <w:p w:rsidR="008429FD" w:rsidRPr="002830F2" w:rsidRDefault="008429FD" w:rsidP="003731AA">
            <w:pPr>
              <w:pStyle w:val="TableTextAppendices"/>
            </w:pPr>
            <w:r w:rsidRPr="002830F2">
              <w:t>Salaries Funding</w:t>
            </w:r>
          </w:p>
        </w:tc>
        <w:tc>
          <w:tcPr>
            <w:tcW w:w="895" w:type="pct"/>
            <w:shd w:val="clear" w:color="auto" w:fill="EDF0E7"/>
          </w:tcPr>
          <w:p w:rsidR="008429FD" w:rsidRPr="002830F2" w:rsidRDefault="008429FD" w:rsidP="007545A3">
            <w:pPr>
              <w:pStyle w:val="TableTextAppendices"/>
              <w:jc w:val="right"/>
            </w:pPr>
            <w:r w:rsidRPr="002830F2">
              <w:t>1,461,745</w:t>
            </w:r>
          </w:p>
        </w:tc>
        <w:tc>
          <w:tcPr>
            <w:tcW w:w="895" w:type="pct"/>
            <w:shd w:val="clear" w:color="auto" w:fill="EDF0E7"/>
          </w:tcPr>
          <w:p w:rsidR="008429FD" w:rsidRPr="002830F2" w:rsidRDefault="008429FD" w:rsidP="007545A3">
            <w:pPr>
              <w:pStyle w:val="TableTextAppendices"/>
              <w:jc w:val="right"/>
            </w:pPr>
            <w:r w:rsidRPr="002830F2">
              <w:t>1,492,401</w:t>
            </w:r>
          </w:p>
        </w:tc>
        <w:tc>
          <w:tcPr>
            <w:tcW w:w="895" w:type="pct"/>
            <w:shd w:val="clear" w:color="auto" w:fill="EDF0E7"/>
          </w:tcPr>
          <w:p w:rsidR="008429FD" w:rsidRPr="002830F2" w:rsidRDefault="008429FD" w:rsidP="007545A3">
            <w:pPr>
              <w:pStyle w:val="TableTextAppendices"/>
              <w:jc w:val="right"/>
            </w:pPr>
            <w:r w:rsidRPr="002830F2">
              <w:t>1,478,946</w:t>
            </w:r>
          </w:p>
        </w:tc>
        <w:tc>
          <w:tcPr>
            <w:tcW w:w="892" w:type="pct"/>
            <w:shd w:val="clear" w:color="auto" w:fill="EDF0E7"/>
          </w:tcPr>
          <w:p w:rsidR="008429FD" w:rsidRPr="004717D2" w:rsidRDefault="008429FD" w:rsidP="007545A3">
            <w:pPr>
              <w:pStyle w:val="TableTextAppendices"/>
              <w:jc w:val="right"/>
            </w:pPr>
            <w:r w:rsidRPr="004717D2">
              <w:t>1,483,581</w:t>
            </w:r>
          </w:p>
        </w:tc>
      </w:tr>
      <w:tr w:rsidR="008429FD" w:rsidRPr="0060013A" w:rsidTr="009901AD">
        <w:tc>
          <w:tcPr>
            <w:tcW w:w="1423" w:type="pct"/>
            <w:shd w:val="clear" w:color="auto" w:fill="EDF0E7"/>
          </w:tcPr>
          <w:p w:rsidR="008429FD" w:rsidRPr="002830F2" w:rsidRDefault="008429FD" w:rsidP="003731AA">
            <w:pPr>
              <w:pStyle w:val="TableTextAppendices"/>
            </w:pPr>
            <w:r w:rsidRPr="002830F2">
              <w:t>Operations and Other Funding</w:t>
            </w:r>
          </w:p>
        </w:tc>
        <w:tc>
          <w:tcPr>
            <w:tcW w:w="895" w:type="pct"/>
            <w:shd w:val="clear" w:color="auto" w:fill="EDF0E7"/>
          </w:tcPr>
          <w:p w:rsidR="008429FD" w:rsidRPr="002830F2" w:rsidRDefault="008429FD" w:rsidP="007545A3">
            <w:pPr>
              <w:pStyle w:val="TableTextAppendices"/>
              <w:jc w:val="right"/>
            </w:pPr>
            <w:r w:rsidRPr="002830F2">
              <w:t>544,015</w:t>
            </w:r>
          </w:p>
        </w:tc>
        <w:tc>
          <w:tcPr>
            <w:tcW w:w="895" w:type="pct"/>
            <w:shd w:val="clear" w:color="auto" w:fill="EDF0E7"/>
          </w:tcPr>
          <w:p w:rsidR="008429FD" w:rsidRPr="002830F2" w:rsidRDefault="008429FD" w:rsidP="007545A3">
            <w:pPr>
              <w:pStyle w:val="TableTextAppendices"/>
              <w:jc w:val="right"/>
            </w:pPr>
            <w:r w:rsidRPr="002830F2">
              <w:t>573,935</w:t>
            </w:r>
          </w:p>
        </w:tc>
        <w:tc>
          <w:tcPr>
            <w:tcW w:w="895" w:type="pct"/>
            <w:shd w:val="clear" w:color="auto" w:fill="EDF0E7"/>
          </w:tcPr>
          <w:p w:rsidR="008429FD" w:rsidRPr="002830F2" w:rsidRDefault="008429FD" w:rsidP="007545A3">
            <w:pPr>
              <w:pStyle w:val="TableTextAppendices"/>
              <w:jc w:val="right"/>
            </w:pPr>
            <w:r w:rsidRPr="002830F2">
              <w:t>577,547</w:t>
            </w:r>
          </w:p>
        </w:tc>
        <w:tc>
          <w:tcPr>
            <w:tcW w:w="892" w:type="pct"/>
            <w:shd w:val="clear" w:color="auto" w:fill="EDF0E7"/>
          </w:tcPr>
          <w:p w:rsidR="008429FD" w:rsidRPr="004717D2" w:rsidRDefault="008429FD" w:rsidP="007545A3">
            <w:pPr>
              <w:pStyle w:val="TableTextAppendices"/>
              <w:jc w:val="right"/>
            </w:pPr>
            <w:r w:rsidRPr="004717D2">
              <w:t>566,007</w:t>
            </w:r>
          </w:p>
        </w:tc>
      </w:tr>
    </w:tbl>
    <w:p w:rsidR="004D42E7" w:rsidRPr="004103B0" w:rsidRDefault="004D42E7" w:rsidP="004103B0">
      <w:pPr>
        <w:pStyle w:val="TableFootnote"/>
        <w:spacing w:after="40"/>
        <w:rPr>
          <w:bCs w:val="0"/>
          <w:highlight w:val="yellow"/>
        </w:rPr>
      </w:pPr>
    </w:p>
    <w:p w:rsidR="00B2132D" w:rsidRPr="00314E1F" w:rsidRDefault="00B2132D" w:rsidP="00B2132D">
      <w:r w:rsidRPr="00314E1F">
        <w:t>The in</w:t>
      </w:r>
      <w:r w:rsidR="002830F2" w:rsidRPr="00314E1F">
        <w:t>crease in appropriation for 2012/13 compared to 2011/12</w:t>
      </w:r>
      <w:r w:rsidRPr="00314E1F">
        <w:t xml:space="preserve"> was mainly owing to a combination of:</w:t>
      </w:r>
    </w:p>
    <w:p w:rsidR="00314E1F" w:rsidRPr="00314E1F" w:rsidRDefault="00314E1F" w:rsidP="00CF1F50">
      <w:pPr>
        <w:pStyle w:val="BodyTextBullets"/>
        <w:rPr>
          <w:lang w:val="en-AU"/>
        </w:rPr>
      </w:pPr>
      <w:r w:rsidRPr="00314E1F">
        <w:rPr>
          <w:lang w:val="en-AU"/>
        </w:rPr>
        <w:t>changes to school operations grants as approved in Budget 2012 and previous</w:t>
      </w:r>
      <w:r w:rsidR="00E0656F">
        <w:rPr>
          <w:lang w:val="en-AU"/>
        </w:rPr>
        <w:t xml:space="preserve"> </w:t>
      </w:r>
      <w:r w:rsidRPr="00314E1F">
        <w:rPr>
          <w:lang w:val="en-AU"/>
        </w:rPr>
        <w:t>Budgets</w:t>
      </w:r>
    </w:p>
    <w:p w:rsidR="00314E1F" w:rsidRPr="00314E1F" w:rsidRDefault="00314E1F" w:rsidP="00CF1F50">
      <w:pPr>
        <w:pStyle w:val="BodyTextBullets"/>
        <w:rPr>
          <w:lang w:val="en-AU"/>
        </w:rPr>
      </w:pPr>
      <w:r w:rsidRPr="00314E1F">
        <w:rPr>
          <w:lang w:val="en-AU"/>
        </w:rPr>
        <w:t>changes to the number of days included in each financial year as determined by respective term dates</w:t>
      </w:r>
    </w:p>
    <w:p w:rsidR="00314E1F" w:rsidRPr="00314E1F" w:rsidRDefault="00314E1F" w:rsidP="00CF1F50">
      <w:pPr>
        <w:pStyle w:val="BodyTextBullets"/>
        <w:rPr>
          <w:lang w:val="en-AU"/>
        </w:rPr>
      </w:pPr>
      <w:r w:rsidRPr="00314E1F">
        <w:rPr>
          <w:lang w:val="en-AU"/>
        </w:rPr>
        <w:t>higher number of full-time teacher equivalents</w:t>
      </w:r>
    </w:p>
    <w:p w:rsidR="00314E1F" w:rsidRPr="00314E1F" w:rsidRDefault="00314E1F" w:rsidP="00CF1F50">
      <w:pPr>
        <w:pStyle w:val="BodyTextBullets"/>
        <w:rPr>
          <w:lang w:val="en-AU"/>
        </w:rPr>
      </w:pPr>
      <w:r w:rsidRPr="00314E1F">
        <w:rPr>
          <w:lang w:val="en-AU"/>
        </w:rPr>
        <w:t>additional costs arising from recent settlements of collective agreements</w:t>
      </w:r>
    </w:p>
    <w:p w:rsidR="00314E1F" w:rsidRPr="00314E1F" w:rsidRDefault="00314E1F" w:rsidP="00CF1F50">
      <w:pPr>
        <w:pStyle w:val="BodyTextBullets"/>
        <w:rPr>
          <w:lang w:val="en-AU"/>
        </w:rPr>
      </w:pPr>
      <w:r w:rsidRPr="00314E1F">
        <w:rPr>
          <w:lang w:val="en-AU"/>
        </w:rPr>
        <w:t>increased uptake of KiwiSaver and an increase in the KiwiSaver subsidy rate from 2013</w:t>
      </w:r>
    </w:p>
    <w:p w:rsidR="00314E1F" w:rsidRPr="007545A3" w:rsidRDefault="00314E1F" w:rsidP="007545A3">
      <w:pPr>
        <w:pStyle w:val="BodyTextBullets"/>
        <w:rPr>
          <w:lang w:val="en-AU"/>
        </w:rPr>
      </w:pPr>
      <w:r w:rsidRPr="00314E1F">
        <w:rPr>
          <w:lang w:val="en-AU"/>
        </w:rPr>
        <w:t>increased effective average rates for teachers and principals and expected incremental creep</w:t>
      </w:r>
      <w:r w:rsidR="007545A3">
        <w:rPr>
          <w:lang w:val="en-AU"/>
        </w:rPr>
        <w:t xml:space="preserve"> </w:t>
      </w:r>
      <w:r w:rsidRPr="007545A3">
        <w:rPr>
          <w:lang w:val="en-AU"/>
        </w:rPr>
        <w:t>funding for runni</w:t>
      </w:r>
      <w:r w:rsidR="007545A3">
        <w:rPr>
          <w:lang w:val="en-AU"/>
        </w:rPr>
        <w:t>ng boards of trustees elections</w:t>
      </w:r>
    </w:p>
    <w:p w:rsidR="00314E1F" w:rsidRPr="00314E1F" w:rsidRDefault="00314E1F" w:rsidP="00CF1F50">
      <w:pPr>
        <w:pStyle w:val="BodyTextBullets"/>
        <w:rPr>
          <w:lang w:val="en-AU"/>
        </w:rPr>
      </w:pPr>
      <w:r w:rsidRPr="00314E1F">
        <w:rPr>
          <w:lang w:val="en-AU"/>
        </w:rPr>
        <w:t>redistribution of salaries funding over the non-departmental other expense appropriations for Primary Education, Secondary Education and Special Needs Support</w:t>
      </w:r>
    </w:p>
    <w:p w:rsidR="00314E1F" w:rsidRPr="00314E1F" w:rsidRDefault="00314E1F" w:rsidP="00030453">
      <w:pPr>
        <w:pStyle w:val="BodyTextBulletslast"/>
        <w:rPr>
          <w:lang w:val="en-AU"/>
        </w:rPr>
      </w:pPr>
      <w:r w:rsidRPr="00314E1F">
        <w:rPr>
          <w:lang w:val="en-AU"/>
        </w:rPr>
        <w:t>forecast reductions in student rolls.</w:t>
      </w:r>
    </w:p>
    <w:p w:rsidR="00B2132D" w:rsidRPr="0060013A" w:rsidRDefault="00B2132D" w:rsidP="00B2132D">
      <w:pPr>
        <w:rPr>
          <w:highlight w:val="yellow"/>
        </w:rPr>
      </w:pPr>
      <w:r w:rsidRPr="00314E1F">
        <w:t xml:space="preserve">The </w:t>
      </w:r>
      <w:r w:rsidR="00314E1F" w:rsidRPr="00314E1F">
        <w:t>decrease in funding during 2012/13</w:t>
      </w:r>
      <w:r w:rsidRPr="00314E1F">
        <w:t xml:space="preserve"> was mainly owing to a combination of:</w:t>
      </w:r>
    </w:p>
    <w:p w:rsidR="00314E1F" w:rsidRPr="00314E1F" w:rsidRDefault="00314E1F" w:rsidP="00CF1F50">
      <w:pPr>
        <w:pStyle w:val="BodyTextBullets"/>
        <w:rPr>
          <w:lang w:val="en-AU"/>
        </w:rPr>
      </w:pPr>
      <w:r w:rsidRPr="00314E1F">
        <w:rPr>
          <w:lang w:val="en-AU"/>
        </w:rPr>
        <w:t xml:space="preserve">a transfer to a new non-departmental output expense appropriation Secondary-Tertiary Interface to implement a single cash-based resourcing model for secondary-tertiary programmes that will better </w:t>
      </w:r>
      <w:r w:rsidR="00D53436">
        <w:rPr>
          <w:lang w:val="en-AU"/>
        </w:rPr>
        <w:t>enable funding to follow student</w:t>
      </w:r>
      <w:r w:rsidRPr="00314E1F">
        <w:rPr>
          <w:lang w:val="en-AU"/>
        </w:rPr>
        <w:t xml:space="preserve">s </w:t>
      </w:r>
    </w:p>
    <w:p w:rsidR="00314E1F" w:rsidRPr="00314E1F" w:rsidRDefault="00314E1F" w:rsidP="00CF1F50">
      <w:pPr>
        <w:pStyle w:val="BodyTextBullets"/>
        <w:rPr>
          <w:lang w:val="en-AU"/>
        </w:rPr>
      </w:pPr>
      <w:r w:rsidRPr="00314E1F">
        <w:rPr>
          <w:lang w:val="en-AU"/>
        </w:rPr>
        <w:t>provision for settlement of the 2013-2015 Secondary Teachers' Collective Agreement</w:t>
      </w:r>
    </w:p>
    <w:p w:rsidR="00314E1F" w:rsidRPr="00314E1F" w:rsidRDefault="00314E1F" w:rsidP="00CF1F50">
      <w:pPr>
        <w:pStyle w:val="BodyTextBullets"/>
        <w:rPr>
          <w:lang w:val="en-AU"/>
        </w:rPr>
      </w:pPr>
      <w:r w:rsidRPr="00314E1F">
        <w:rPr>
          <w:lang w:val="en-AU"/>
        </w:rPr>
        <w:t>provision for Novopay school support package</w:t>
      </w:r>
    </w:p>
    <w:p w:rsidR="00314E1F" w:rsidRPr="00314E1F" w:rsidRDefault="00314E1F" w:rsidP="00030453">
      <w:pPr>
        <w:pStyle w:val="BodyTextBulletslast"/>
        <w:rPr>
          <w:lang w:val="en-AU"/>
        </w:rPr>
      </w:pPr>
      <w:r w:rsidRPr="00314E1F">
        <w:rPr>
          <w:lang w:val="en-AU"/>
        </w:rPr>
        <w:t>additional support for the recovery of the education sector in Christchurch, Waimakariri and Selwyn from the impact of the Christchurch earthquakes.</w:t>
      </w:r>
    </w:p>
    <w:p w:rsidR="008429FD" w:rsidRPr="00F37CED" w:rsidRDefault="008429FD" w:rsidP="008429FD">
      <w:pPr>
        <w:pStyle w:val="BodyTextBulletslast"/>
        <w:numPr>
          <w:ilvl w:val="0"/>
          <w:numId w:val="0"/>
        </w:numPr>
        <w:rPr>
          <w:highlight w:val="yellow"/>
        </w:rPr>
      </w:pPr>
      <w:r w:rsidRPr="00F37CED">
        <w:t>Expenditure at the end of 2012/</w:t>
      </w:r>
      <w:r w:rsidRPr="004717D2">
        <w:t>13 was less than budget mainly due to:</w:t>
      </w:r>
    </w:p>
    <w:p w:rsidR="008429FD" w:rsidRPr="004717D2" w:rsidRDefault="008429FD" w:rsidP="00E0656F">
      <w:pPr>
        <w:pStyle w:val="BodyTextBullets"/>
      </w:pPr>
      <w:r w:rsidRPr="004717D2">
        <w:t>no set up grants being required for new schools</w:t>
      </w:r>
    </w:p>
    <w:p w:rsidR="008429FD" w:rsidRPr="004717D2" w:rsidRDefault="008429FD" w:rsidP="008429FD">
      <w:pPr>
        <w:pStyle w:val="BodyTextBulletslast"/>
      </w:pPr>
      <w:r w:rsidRPr="004717D2">
        <w:t>provisions such as network contingency within operation funding being under-utilised.</w:t>
      </w:r>
    </w:p>
    <w:p w:rsidR="004D42E7" w:rsidRPr="00314E1F" w:rsidRDefault="002E4955" w:rsidP="002E741F">
      <w:pPr>
        <w:pStyle w:val="Heading3"/>
      </w:pPr>
      <w:r>
        <w:t>Special Needs S</w:t>
      </w:r>
      <w:r w:rsidR="000F1311" w:rsidRPr="00314E1F">
        <w:t>upport</w:t>
      </w:r>
    </w:p>
    <w:p w:rsidR="004D42E7" w:rsidRPr="00314E1F" w:rsidRDefault="004D42E7" w:rsidP="000F1311">
      <w:pPr>
        <w:pStyle w:val="Heading4"/>
      </w:pPr>
      <w:r w:rsidRPr="00314E1F">
        <w:t xml:space="preserve">Scope of </w:t>
      </w:r>
      <w:r w:rsidR="000F1311" w:rsidRPr="00314E1F">
        <w:t>a</w:t>
      </w:r>
      <w:r w:rsidRPr="00314E1F">
        <w:t>ppropriation</w:t>
      </w:r>
    </w:p>
    <w:p w:rsidR="00DE3405" w:rsidRPr="00314E1F" w:rsidRDefault="00DE3405" w:rsidP="008C6D61">
      <w:pPr>
        <w:pStyle w:val="BodyText"/>
      </w:pPr>
      <w:r w:rsidRPr="00314E1F">
        <w:t>Providing additional resources to enable students with special education needs to participate in education including supplementary resources for special education needs, residential services, English for Speakers of Other Languages and alternative education programmes.</w:t>
      </w:r>
    </w:p>
    <w:p w:rsidR="004D42E7" w:rsidRPr="00314E1F" w:rsidRDefault="000F1311" w:rsidP="000F1311">
      <w:pPr>
        <w:pStyle w:val="Heading4"/>
      </w:pPr>
      <w:r w:rsidRPr="00314E1F">
        <w:t>Intended impacts, outcomes or objectives</w:t>
      </w:r>
    </w:p>
    <w:p w:rsidR="00314E1F" w:rsidRPr="008C6D61" w:rsidRDefault="00314E1F" w:rsidP="00E0656F">
      <w:pPr>
        <w:pStyle w:val="BodyTextBullets"/>
      </w:pPr>
      <w:r w:rsidRPr="008C6D61">
        <w:t>Increased and sustained participation in high-quality early childhood education</w:t>
      </w:r>
    </w:p>
    <w:p w:rsidR="00314E1F" w:rsidRPr="008C6D61" w:rsidRDefault="00314E1F" w:rsidP="00E0656F">
      <w:pPr>
        <w:pStyle w:val="BodyTextBullets"/>
      </w:pPr>
      <w:r w:rsidRPr="008C6D61">
        <w:t>Early achievement of core skills</w:t>
      </w:r>
    </w:p>
    <w:p w:rsidR="00314E1F" w:rsidRPr="008A6837" w:rsidRDefault="00314E1F" w:rsidP="00A842B1">
      <w:pPr>
        <w:pStyle w:val="BodyTextBulletslast"/>
      </w:pPr>
      <w:r w:rsidRPr="008C6D61">
        <w:t>Attainment of useful qualifications</w:t>
      </w:r>
    </w:p>
    <w:p w:rsidR="004D42E7" w:rsidRPr="00314E1F" w:rsidRDefault="000F1311" w:rsidP="0098450B">
      <w:pPr>
        <w:pStyle w:val="Heading4"/>
      </w:pPr>
      <w:r w:rsidRPr="00314E1F">
        <w:t>Description of a</w:t>
      </w:r>
      <w:r w:rsidR="004D42E7" w:rsidRPr="00314E1F">
        <w:t>ctivities</w:t>
      </w:r>
    </w:p>
    <w:p w:rsidR="00DE3405" w:rsidRPr="00314E1F" w:rsidRDefault="00DE3405" w:rsidP="00DE3405">
      <w:r w:rsidRPr="00314E1F">
        <w:rPr>
          <w:rStyle w:val="BodyTextChar"/>
        </w:rPr>
        <w:t>These expenses include the quantity and quality of various special needs support services, the timeliness with which these support services are delivered, and the financial expenses relating to the services</w:t>
      </w:r>
      <w:r w:rsidRPr="00314E1F">
        <w:t>.</w:t>
      </w:r>
    </w:p>
    <w:p w:rsidR="000F1311" w:rsidRPr="00314E1F" w:rsidRDefault="000F1311" w:rsidP="000F1311">
      <w:pPr>
        <w:pStyle w:val="Heading4"/>
      </w:pPr>
      <w:r w:rsidRPr="00314E1F">
        <w:rPr>
          <w:szCs w:val="22"/>
        </w:rPr>
        <w:t>Results</w:t>
      </w:r>
      <w:r w:rsidRPr="00314E1F">
        <w:t xml:space="preserve"> </w:t>
      </w:r>
      <w:r w:rsidR="00E0656F">
        <w:rPr>
          <w:rFonts w:cs="Arial"/>
        </w:rPr>
        <w:t>―</w:t>
      </w:r>
      <w:r w:rsidRPr="00314E1F">
        <w:t xml:space="preserve"> Non-financial</w:t>
      </w:r>
    </w:p>
    <w:tbl>
      <w:tblPr>
        <w:tblW w:w="895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1E0"/>
      </w:tblPr>
      <w:tblGrid>
        <w:gridCol w:w="3468"/>
        <w:gridCol w:w="2068"/>
        <w:gridCol w:w="1730"/>
        <w:gridCol w:w="1693"/>
      </w:tblGrid>
      <w:tr w:rsidR="0098450B" w:rsidRPr="00314E1F" w:rsidTr="009901AD">
        <w:trPr>
          <w:trHeight w:val="369"/>
          <w:tblHeader/>
        </w:trPr>
        <w:tc>
          <w:tcPr>
            <w:tcW w:w="3468" w:type="dxa"/>
            <w:tcBorders>
              <w:bottom w:val="single" w:sz="4" w:space="0" w:color="FFFFFF"/>
            </w:tcBorders>
            <w:shd w:val="clear" w:color="auto" w:fill="DBE2D1"/>
          </w:tcPr>
          <w:p w:rsidR="0098450B" w:rsidRPr="004278C3" w:rsidRDefault="0098450B" w:rsidP="004278C3">
            <w:pPr>
              <w:pStyle w:val="TableText"/>
              <w:rPr>
                <w:b/>
              </w:rPr>
            </w:pPr>
            <w:r w:rsidRPr="004278C3">
              <w:rPr>
                <w:b/>
              </w:rPr>
              <w:t>Results</w:t>
            </w:r>
          </w:p>
        </w:tc>
        <w:tc>
          <w:tcPr>
            <w:tcW w:w="2068" w:type="dxa"/>
            <w:tcBorders>
              <w:bottom w:val="single" w:sz="4" w:space="0" w:color="FFFFFF"/>
            </w:tcBorders>
            <w:shd w:val="clear" w:color="auto" w:fill="DBE2D1"/>
          </w:tcPr>
          <w:p w:rsidR="00DE3405" w:rsidRPr="004278C3" w:rsidRDefault="00314E1F" w:rsidP="004278C3">
            <w:pPr>
              <w:pStyle w:val="TableText"/>
              <w:rPr>
                <w:b/>
              </w:rPr>
            </w:pPr>
            <w:r w:rsidRPr="004278C3">
              <w:rPr>
                <w:b/>
              </w:rPr>
              <w:t>2011/12</w:t>
            </w:r>
          </w:p>
          <w:p w:rsidR="0098450B" w:rsidRPr="004278C3" w:rsidRDefault="00DE3405" w:rsidP="004278C3">
            <w:pPr>
              <w:pStyle w:val="TableText"/>
              <w:rPr>
                <w:b/>
              </w:rPr>
            </w:pPr>
            <w:r w:rsidRPr="004278C3">
              <w:rPr>
                <w:b/>
              </w:rPr>
              <w:t>Actual</w:t>
            </w:r>
            <w:r w:rsidR="001E6C53" w:rsidRPr="004278C3">
              <w:rPr>
                <w:b/>
              </w:rPr>
              <w:br/>
            </w:r>
            <w:r w:rsidRPr="004278C3">
              <w:rPr>
                <w:b/>
              </w:rPr>
              <w:t>Standard</w:t>
            </w:r>
          </w:p>
        </w:tc>
        <w:tc>
          <w:tcPr>
            <w:tcW w:w="1730" w:type="dxa"/>
            <w:tcBorders>
              <w:bottom w:val="single" w:sz="4" w:space="0" w:color="FFFFFF"/>
            </w:tcBorders>
            <w:shd w:val="clear" w:color="auto" w:fill="DBE2D1"/>
          </w:tcPr>
          <w:p w:rsidR="001E6C53" w:rsidRPr="004278C3" w:rsidRDefault="00314E1F" w:rsidP="004278C3">
            <w:pPr>
              <w:pStyle w:val="TableText"/>
              <w:rPr>
                <w:b/>
              </w:rPr>
            </w:pPr>
            <w:r w:rsidRPr="004278C3">
              <w:rPr>
                <w:b/>
              </w:rPr>
              <w:t>2012/13</w:t>
            </w:r>
          </w:p>
          <w:p w:rsidR="0098450B" w:rsidRPr="004278C3" w:rsidRDefault="001E6C53" w:rsidP="004278C3">
            <w:pPr>
              <w:pStyle w:val="TableText"/>
              <w:rPr>
                <w:b/>
              </w:rPr>
            </w:pPr>
            <w:r w:rsidRPr="004278C3">
              <w:rPr>
                <w:b/>
              </w:rPr>
              <w:t>Budgeted</w:t>
            </w:r>
            <w:r w:rsidRPr="004278C3">
              <w:rPr>
                <w:b/>
              </w:rPr>
              <w:br/>
              <w:t>Standard</w:t>
            </w:r>
          </w:p>
        </w:tc>
        <w:tc>
          <w:tcPr>
            <w:tcW w:w="1693" w:type="dxa"/>
            <w:tcBorders>
              <w:bottom w:val="single" w:sz="4" w:space="0" w:color="FFFFFF"/>
            </w:tcBorders>
            <w:shd w:val="clear" w:color="auto" w:fill="DBE2D1"/>
          </w:tcPr>
          <w:p w:rsidR="001E6C53" w:rsidRPr="004278C3" w:rsidRDefault="00314E1F" w:rsidP="004278C3">
            <w:pPr>
              <w:pStyle w:val="TableText"/>
              <w:rPr>
                <w:b/>
              </w:rPr>
            </w:pPr>
            <w:r w:rsidRPr="004278C3">
              <w:rPr>
                <w:b/>
              </w:rPr>
              <w:t>2012/13</w:t>
            </w:r>
          </w:p>
          <w:p w:rsidR="0098450B" w:rsidRPr="004278C3" w:rsidRDefault="001E6C53" w:rsidP="004278C3">
            <w:pPr>
              <w:pStyle w:val="TableText"/>
              <w:rPr>
                <w:b/>
              </w:rPr>
            </w:pPr>
            <w:r w:rsidRPr="004278C3">
              <w:rPr>
                <w:b/>
              </w:rPr>
              <w:t>Actual</w:t>
            </w:r>
            <w:r w:rsidRPr="004278C3">
              <w:rPr>
                <w:b/>
              </w:rPr>
              <w:br/>
              <w:t>Standard</w:t>
            </w:r>
          </w:p>
        </w:tc>
      </w:tr>
      <w:tr w:rsidR="0098450B" w:rsidRPr="00314E1F" w:rsidTr="009901AD">
        <w:tc>
          <w:tcPr>
            <w:tcW w:w="8959" w:type="dxa"/>
            <w:gridSpan w:val="4"/>
            <w:shd w:val="clear" w:color="auto" w:fill="EDF0E7"/>
          </w:tcPr>
          <w:p w:rsidR="0098450B" w:rsidRPr="004278C3" w:rsidRDefault="0098450B" w:rsidP="004278C3">
            <w:pPr>
              <w:pStyle w:val="TableText"/>
              <w:rPr>
                <w:b/>
              </w:rPr>
            </w:pPr>
            <w:r w:rsidRPr="004278C3">
              <w:rPr>
                <w:b/>
              </w:rPr>
              <w:t>Quantity</w:t>
            </w:r>
          </w:p>
        </w:tc>
      </w:tr>
      <w:tr w:rsidR="008429FD" w:rsidRPr="0060013A" w:rsidTr="009901AD">
        <w:tc>
          <w:tcPr>
            <w:tcW w:w="3468" w:type="dxa"/>
            <w:shd w:val="clear" w:color="auto" w:fill="EDF0E7"/>
          </w:tcPr>
          <w:p w:rsidR="008429FD" w:rsidRPr="00314E1F" w:rsidRDefault="008429FD" w:rsidP="004103B0">
            <w:pPr>
              <w:pStyle w:val="TableTextAppendices"/>
            </w:pPr>
            <w:r w:rsidRPr="00314E1F">
              <w:t>Numbers of Resource T</w:t>
            </w:r>
            <w:r>
              <w:t>eachers: Learning and Behaviour</w:t>
            </w:r>
            <w:r w:rsidR="00A842B1">
              <w:t>.</w:t>
            </w:r>
          </w:p>
        </w:tc>
        <w:tc>
          <w:tcPr>
            <w:tcW w:w="2068" w:type="dxa"/>
            <w:shd w:val="clear" w:color="auto" w:fill="EDF0E7"/>
          </w:tcPr>
          <w:p w:rsidR="008429FD" w:rsidRPr="00314E1F" w:rsidRDefault="008429FD" w:rsidP="004103B0">
            <w:pPr>
              <w:pStyle w:val="TableTextAppendices"/>
            </w:pPr>
            <w:r w:rsidRPr="00314E1F">
              <w:t>709 headcount</w:t>
            </w:r>
          </w:p>
        </w:tc>
        <w:tc>
          <w:tcPr>
            <w:tcW w:w="1730" w:type="dxa"/>
            <w:shd w:val="clear" w:color="auto" w:fill="EDF0E7"/>
          </w:tcPr>
          <w:p w:rsidR="008429FD" w:rsidRPr="00314E1F" w:rsidRDefault="008429FD" w:rsidP="004103B0">
            <w:pPr>
              <w:pStyle w:val="TableTextAppendices"/>
            </w:pPr>
            <w:r w:rsidRPr="00314E1F">
              <w:t>700 - 800</w:t>
            </w:r>
          </w:p>
        </w:tc>
        <w:tc>
          <w:tcPr>
            <w:tcW w:w="1693" w:type="dxa"/>
            <w:shd w:val="clear" w:color="auto" w:fill="EDF0E7"/>
          </w:tcPr>
          <w:p w:rsidR="008429FD" w:rsidRDefault="008429FD" w:rsidP="008429FD">
            <w:pPr>
              <w:pStyle w:val="TableTextAppendices"/>
            </w:pPr>
            <w:r>
              <w:t>878 headcount</w:t>
            </w:r>
          </w:p>
          <w:p w:rsidR="008429FD" w:rsidRPr="00F37CED" w:rsidRDefault="008429FD" w:rsidP="008429FD">
            <w:pPr>
              <w:pStyle w:val="TableTextAppendices"/>
            </w:pPr>
            <w:r>
              <w:t>862.2 FTTE</w:t>
            </w:r>
          </w:p>
        </w:tc>
      </w:tr>
      <w:tr w:rsidR="008429FD" w:rsidRPr="0060013A" w:rsidTr="009901AD">
        <w:tc>
          <w:tcPr>
            <w:tcW w:w="3468" w:type="dxa"/>
            <w:shd w:val="clear" w:color="auto" w:fill="EDF0E7"/>
          </w:tcPr>
          <w:p w:rsidR="008429FD" w:rsidRPr="0060013A" w:rsidRDefault="008429FD" w:rsidP="004103B0">
            <w:pPr>
              <w:pStyle w:val="TableTextAppendices"/>
              <w:rPr>
                <w:highlight w:val="yellow"/>
              </w:rPr>
            </w:pPr>
            <w:r w:rsidRPr="00314E1F">
              <w:t>Numbers of students in residential care</w:t>
            </w:r>
            <w:r w:rsidR="00A842B1">
              <w:t>.</w:t>
            </w:r>
          </w:p>
        </w:tc>
        <w:tc>
          <w:tcPr>
            <w:tcW w:w="2068" w:type="dxa"/>
            <w:shd w:val="clear" w:color="auto" w:fill="EDF0E7"/>
          </w:tcPr>
          <w:p w:rsidR="008429FD" w:rsidRPr="00876704" w:rsidRDefault="00876704" w:rsidP="00876704">
            <w:pPr>
              <w:pStyle w:val="TableTextAppendices"/>
            </w:pPr>
            <w:r w:rsidRPr="00876704">
              <w:t>268</w:t>
            </w:r>
            <w:r w:rsidR="008429FD" w:rsidRPr="00876704">
              <w:t xml:space="preserve"> students</w:t>
            </w:r>
          </w:p>
        </w:tc>
        <w:tc>
          <w:tcPr>
            <w:tcW w:w="1730" w:type="dxa"/>
            <w:shd w:val="clear" w:color="auto" w:fill="EDF0E7"/>
          </w:tcPr>
          <w:p w:rsidR="008429FD" w:rsidRPr="00876704" w:rsidRDefault="008429FD" w:rsidP="004103B0">
            <w:pPr>
              <w:pStyle w:val="TableTextAppendices"/>
            </w:pPr>
            <w:r w:rsidRPr="00876704">
              <w:t>300 - 400</w:t>
            </w:r>
          </w:p>
        </w:tc>
        <w:tc>
          <w:tcPr>
            <w:tcW w:w="1693" w:type="dxa"/>
            <w:shd w:val="clear" w:color="auto" w:fill="EDF0E7"/>
          </w:tcPr>
          <w:p w:rsidR="008429FD" w:rsidRPr="00876704" w:rsidRDefault="00876704" w:rsidP="008429FD">
            <w:pPr>
              <w:pStyle w:val="TableTextAppendices"/>
            </w:pPr>
            <w:r w:rsidRPr="00876704">
              <w:t>228 students</w:t>
            </w:r>
          </w:p>
        </w:tc>
      </w:tr>
      <w:tr w:rsidR="008429FD" w:rsidRPr="0060013A" w:rsidTr="009901AD">
        <w:tc>
          <w:tcPr>
            <w:tcW w:w="3468" w:type="dxa"/>
            <w:shd w:val="clear" w:color="auto" w:fill="EDF0E7"/>
          </w:tcPr>
          <w:p w:rsidR="008429FD" w:rsidRPr="00314E1F" w:rsidRDefault="008429FD" w:rsidP="004103B0">
            <w:pPr>
              <w:pStyle w:val="TableTextAppendices"/>
            </w:pPr>
            <w:r w:rsidRPr="00314E1F">
              <w:t xml:space="preserve">Number of English for Speakers of </w:t>
            </w:r>
            <w:r>
              <w:t>Other Languages student</w:t>
            </w:r>
            <w:r w:rsidRPr="00314E1F">
              <w:t>s funded</w:t>
            </w:r>
            <w:r w:rsidR="00A842B1">
              <w:t>.</w:t>
            </w:r>
          </w:p>
        </w:tc>
        <w:tc>
          <w:tcPr>
            <w:tcW w:w="2068" w:type="dxa"/>
            <w:shd w:val="clear" w:color="auto" w:fill="EDF0E7"/>
          </w:tcPr>
          <w:p w:rsidR="008429FD" w:rsidRPr="00314E1F" w:rsidRDefault="008429FD" w:rsidP="004103B0">
            <w:pPr>
              <w:pStyle w:val="TableTextAppendices"/>
            </w:pPr>
            <w:r w:rsidRPr="00314E1F">
              <w:t>32,487 (April 2012)</w:t>
            </w:r>
          </w:p>
        </w:tc>
        <w:tc>
          <w:tcPr>
            <w:tcW w:w="1730" w:type="dxa"/>
            <w:shd w:val="clear" w:color="auto" w:fill="EDF0E7"/>
          </w:tcPr>
          <w:p w:rsidR="008429FD" w:rsidRPr="00314E1F" w:rsidRDefault="008429FD" w:rsidP="004103B0">
            <w:pPr>
              <w:pStyle w:val="TableTextAppendices"/>
            </w:pPr>
            <w:r w:rsidRPr="00314E1F">
              <w:t>32,000 - 35,000</w:t>
            </w:r>
          </w:p>
        </w:tc>
        <w:tc>
          <w:tcPr>
            <w:tcW w:w="1693" w:type="dxa"/>
            <w:shd w:val="clear" w:color="auto" w:fill="EDF0E7"/>
          </w:tcPr>
          <w:p w:rsidR="008429FD" w:rsidRPr="00F37CED" w:rsidRDefault="008429FD" w:rsidP="008429FD">
            <w:pPr>
              <w:pStyle w:val="TableTextAppendices"/>
              <w:rPr>
                <w:highlight w:val="yellow"/>
              </w:rPr>
            </w:pPr>
            <w:r w:rsidRPr="00C40F77">
              <w:t>31,741 (April 2013)</w:t>
            </w:r>
          </w:p>
        </w:tc>
      </w:tr>
      <w:tr w:rsidR="008429FD" w:rsidRPr="0060013A" w:rsidTr="009901AD">
        <w:tc>
          <w:tcPr>
            <w:tcW w:w="3468" w:type="dxa"/>
            <w:shd w:val="clear" w:color="auto" w:fill="EDF0E7"/>
          </w:tcPr>
          <w:p w:rsidR="008429FD" w:rsidRPr="00314E1F" w:rsidRDefault="008429FD" w:rsidP="004103B0">
            <w:pPr>
              <w:pStyle w:val="TableTextAppendices"/>
            </w:pPr>
            <w:r w:rsidRPr="00314E1F">
              <w:t>Link alienated young people to alternative educational programmes.</w:t>
            </w:r>
          </w:p>
        </w:tc>
        <w:tc>
          <w:tcPr>
            <w:tcW w:w="2068" w:type="dxa"/>
            <w:shd w:val="clear" w:color="auto" w:fill="EDF0E7"/>
          </w:tcPr>
          <w:p w:rsidR="008429FD" w:rsidRPr="00314E1F" w:rsidRDefault="008429FD" w:rsidP="004103B0">
            <w:pPr>
              <w:pStyle w:val="TableTextAppendices"/>
            </w:pPr>
            <w:r w:rsidRPr="00314E1F">
              <w:t>3,667</w:t>
            </w:r>
          </w:p>
        </w:tc>
        <w:tc>
          <w:tcPr>
            <w:tcW w:w="1730" w:type="dxa"/>
            <w:shd w:val="clear" w:color="auto" w:fill="EDF0E7"/>
          </w:tcPr>
          <w:p w:rsidR="008429FD" w:rsidRPr="00314E1F" w:rsidRDefault="008429FD" w:rsidP="004103B0">
            <w:pPr>
              <w:pStyle w:val="TableTextAppendices"/>
            </w:pPr>
            <w:r w:rsidRPr="00314E1F">
              <w:t>2,500 - 4,000</w:t>
            </w:r>
          </w:p>
        </w:tc>
        <w:tc>
          <w:tcPr>
            <w:tcW w:w="1693" w:type="dxa"/>
            <w:shd w:val="clear" w:color="auto" w:fill="EDF0E7"/>
          </w:tcPr>
          <w:p w:rsidR="008429FD" w:rsidRPr="00F37CED" w:rsidRDefault="008429FD" w:rsidP="008429FD">
            <w:pPr>
              <w:pStyle w:val="TableTextAppendices"/>
              <w:rPr>
                <w:highlight w:val="yellow"/>
              </w:rPr>
            </w:pPr>
            <w:r w:rsidRPr="006C03E8">
              <w:t>3,368</w:t>
            </w:r>
          </w:p>
        </w:tc>
      </w:tr>
      <w:tr w:rsidR="008429FD" w:rsidRPr="0060013A" w:rsidTr="009901AD">
        <w:tc>
          <w:tcPr>
            <w:tcW w:w="3468" w:type="dxa"/>
            <w:shd w:val="clear" w:color="auto" w:fill="EDF0E7"/>
          </w:tcPr>
          <w:p w:rsidR="008429FD" w:rsidRPr="00314E1F" w:rsidRDefault="008429FD" w:rsidP="004103B0">
            <w:pPr>
              <w:pStyle w:val="TableTextAppendices"/>
            </w:pPr>
            <w:r w:rsidRPr="00314E1F">
              <w:t>Feedback from key Royal New Zealand Foundation for the Blind stakeholders is reflected in production and service improvements</w:t>
            </w:r>
            <w:r w:rsidR="00A842B1">
              <w:t>.</w:t>
            </w:r>
          </w:p>
        </w:tc>
        <w:tc>
          <w:tcPr>
            <w:tcW w:w="2068" w:type="dxa"/>
            <w:shd w:val="clear" w:color="auto" w:fill="EDF0E7"/>
          </w:tcPr>
          <w:p w:rsidR="008429FD" w:rsidRPr="00314E1F" w:rsidRDefault="008429FD" w:rsidP="004103B0">
            <w:pPr>
              <w:pStyle w:val="TableTextAppendices"/>
            </w:pPr>
            <w:r w:rsidRPr="00314E1F">
              <w:t>100%</w:t>
            </w:r>
          </w:p>
        </w:tc>
        <w:tc>
          <w:tcPr>
            <w:tcW w:w="1730" w:type="dxa"/>
            <w:shd w:val="clear" w:color="auto" w:fill="EDF0E7"/>
          </w:tcPr>
          <w:p w:rsidR="008429FD" w:rsidRPr="00314E1F" w:rsidRDefault="008429FD" w:rsidP="004103B0">
            <w:pPr>
              <w:pStyle w:val="TableTextAppendices"/>
            </w:pPr>
            <w:r w:rsidRPr="00314E1F">
              <w:t>100%</w:t>
            </w:r>
          </w:p>
        </w:tc>
        <w:tc>
          <w:tcPr>
            <w:tcW w:w="1693" w:type="dxa"/>
            <w:shd w:val="clear" w:color="auto" w:fill="EDF0E7"/>
          </w:tcPr>
          <w:p w:rsidR="008429FD" w:rsidRPr="00F37CED" w:rsidRDefault="008429FD" w:rsidP="008429FD">
            <w:pPr>
              <w:pStyle w:val="TableTextAppendices"/>
              <w:rPr>
                <w:highlight w:val="yellow"/>
              </w:rPr>
            </w:pPr>
            <w:r w:rsidRPr="00A2506A">
              <w:t>100%</w:t>
            </w:r>
          </w:p>
        </w:tc>
      </w:tr>
      <w:tr w:rsidR="008429FD" w:rsidRPr="0060013A" w:rsidTr="009901AD">
        <w:tc>
          <w:tcPr>
            <w:tcW w:w="3468" w:type="dxa"/>
            <w:shd w:val="clear" w:color="auto" w:fill="EDF0E7"/>
          </w:tcPr>
          <w:p w:rsidR="008429FD" w:rsidRPr="0060013A" w:rsidRDefault="008429FD" w:rsidP="004103B0">
            <w:pPr>
              <w:pStyle w:val="TableTextAppendices"/>
              <w:rPr>
                <w:highlight w:val="yellow"/>
              </w:rPr>
            </w:pPr>
            <w:r w:rsidRPr="0029150A">
              <w:t>Items requested by individuals are supplied by Royal New Zealand Foundation for the Blind within a month</w:t>
            </w:r>
            <w:r w:rsidR="00A842B1">
              <w:t>.</w:t>
            </w:r>
          </w:p>
        </w:tc>
        <w:tc>
          <w:tcPr>
            <w:tcW w:w="2068" w:type="dxa"/>
            <w:shd w:val="clear" w:color="auto" w:fill="EDF0E7"/>
          </w:tcPr>
          <w:p w:rsidR="008429FD" w:rsidRPr="0029150A" w:rsidRDefault="008429FD" w:rsidP="004103B0">
            <w:pPr>
              <w:pStyle w:val="TableTextAppendices"/>
            </w:pPr>
            <w:r w:rsidRPr="0029150A">
              <w:t>100%</w:t>
            </w:r>
          </w:p>
        </w:tc>
        <w:tc>
          <w:tcPr>
            <w:tcW w:w="1730" w:type="dxa"/>
            <w:shd w:val="clear" w:color="auto" w:fill="EDF0E7"/>
          </w:tcPr>
          <w:p w:rsidR="008429FD" w:rsidRPr="0029150A" w:rsidRDefault="008429FD" w:rsidP="004103B0">
            <w:pPr>
              <w:pStyle w:val="TableTextAppendices"/>
            </w:pPr>
            <w:r w:rsidRPr="0029150A">
              <w:t>100%</w:t>
            </w:r>
          </w:p>
        </w:tc>
        <w:tc>
          <w:tcPr>
            <w:tcW w:w="1693" w:type="dxa"/>
            <w:shd w:val="clear" w:color="auto" w:fill="EDF0E7"/>
          </w:tcPr>
          <w:p w:rsidR="008429FD" w:rsidRPr="00F37CED" w:rsidRDefault="008429FD" w:rsidP="008429FD">
            <w:pPr>
              <w:pStyle w:val="TableTextAppendices"/>
              <w:rPr>
                <w:highlight w:val="yellow"/>
              </w:rPr>
            </w:pPr>
            <w:r w:rsidRPr="00A2506A">
              <w:t>100%</w:t>
            </w:r>
          </w:p>
        </w:tc>
      </w:tr>
      <w:tr w:rsidR="008429FD" w:rsidRPr="0060013A" w:rsidTr="009901AD">
        <w:tc>
          <w:tcPr>
            <w:tcW w:w="3468" w:type="dxa"/>
            <w:shd w:val="clear" w:color="auto" w:fill="EDF0E7"/>
          </w:tcPr>
          <w:p w:rsidR="008429FD" w:rsidRPr="0060013A" w:rsidRDefault="008429FD" w:rsidP="004103B0">
            <w:pPr>
              <w:pStyle w:val="TableTextAppendices"/>
              <w:rPr>
                <w:highlight w:val="yellow"/>
              </w:rPr>
            </w:pPr>
            <w:r w:rsidRPr="0029150A">
              <w:t>Number of students supported through the Special Education Equipment Fund</w:t>
            </w:r>
            <w:r w:rsidR="00A842B1">
              <w:t>.</w:t>
            </w:r>
          </w:p>
        </w:tc>
        <w:tc>
          <w:tcPr>
            <w:tcW w:w="2068" w:type="dxa"/>
            <w:shd w:val="clear" w:color="auto" w:fill="EDF0E7"/>
          </w:tcPr>
          <w:p w:rsidR="008429FD" w:rsidRPr="0029150A" w:rsidRDefault="008429FD" w:rsidP="004103B0">
            <w:pPr>
              <w:pStyle w:val="TableTextAppendices"/>
            </w:pPr>
            <w:r w:rsidRPr="0029150A">
              <w:t>1,202</w:t>
            </w:r>
          </w:p>
        </w:tc>
        <w:tc>
          <w:tcPr>
            <w:tcW w:w="1730" w:type="dxa"/>
            <w:shd w:val="clear" w:color="auto" w:fill="EDF0E7"/>
          </w:tcPr>
          <w:p w:rsidR="008429FD" w:rsidRPr="0029150A" w:rsidRDefault="008429FD" w:rsidP="004103B0">
            <w:pPr>
              <w:pStyle w:val="TableTextAppendices"/>
            </w:pPr>
            <w:r w:rsidRPr="0029150A">
              <w:t>600 - 900</w:t>
            </w:r>
          </w:p>
        </w:tc>
        <w:tc>
          <w:tcPr>
            <w:tcW w:w="1693" w:type="dxa"/>
            <w:shd w:val="clear" w:color="auto" w:fill="EDF0E7"/>
          </w:tcPr>
          <w:p w:rsidR="008429FD" w:rsidRPr="00F37CED" w:rsidRDefault="008429FD" w:rsidP="008429FD">
            <w:pPr>
              <w:pStyle w:val="TableTextAppendices"/>
              <w:rPr>
                <w:highlight w:val="yellow"/>
              </w:rPr>
            </w:pPr>
            <w:r w:rsidRPr="001A3684">
              <w:t>1,498</w:t>
            </w:r>
          </w:p>
        </w:tc>
      </w:tr>
      <w:tr w:rsidR="008429FD" w:rsidRPr="0060013A" w:rsidTr="009901AD">
        <w:tc>
          <w:tcPr>
            <w:tcW w:w="3468" w:type="dxa"/>
            <w:shd w:val="clear" w:color="auto" w:fill="EDF0E7"/>
          </w:tcPr>
          <w:p w:rsidR="008429FD" w:rsidRPr="0029150A" w:rsidRDefault="008429FD" w:rsidP="00A842B1">
            <w:pPr>
              <w:pStyle w:val="TableTextAppendices"/>
            </w:pPr>
            <w:r w:rsidRPr="0029150A">
              <w:t xml:space="preserve">New schools participating in the school-wide </w:t>
            </w:r>
            <w:r w:rsidR="00A842B1">
              <w:t>framework.</w:t>
            </w:r>
          </w:p>
        </w:tc>
        <w:tc>
          <w:tcPr>
            <w:tcW w:w="2068" w:type="dxa"/>
            <w:shd w:val="clear" w:color="auto" w:fill="EDF0E7"/>
          </w:tcPr>
          <w:p w:rsidR="008429FD" w:rsidRPr="0029150A" w:rsidRDefault="008429FD" w:rsidP="004103B0">
            <w:pPr>
              <w:pStyle w:val="TableTextAppendices"/>
            </w:pPr>
            <w:r w:rsidRPr="0029150A">
              <w:t>89</w:t>
            </w:r>
          </w:p>
        </w:tc>
        <w:tc>
          <w:tcPr>
            <w:tcW w:w="1730" w:type="dxa"/>
            <w:shd w:val="clear" w:color="auto" w:fill="EDF0E7"/>
          </w:tcPr>
          <w:p w:rsidR="008429FD" w:rsidRPr="0029150A" w:rsidRDefault="008429FD" w:rsidP="004103B0">
            <w:pPr>
              <w:pStyle w:val="TableTextAppendices"/>
            </w:pPr>
            <w:r w:rsidRPr="0029150A">
              <w:t>120</w:t>
            </w:r>
          </w:p>
        </w:tc>
        <w:tc>
          <w:tcPr>
            <w:tcW w:w="1693" w:type="dxa"/>
            <w:shd w:val="clear" w:color="auto" w:fill="EDF0E7"/>
          </w:tcPr>
          <w:p w:rsidR="008429FD" w:rsidRPr="00F37CED" w:rsidRDefault="008429FD" w:rsidP="008429FD">
            <w:pPr>
              <w:pStyle w:val="TableTextAppendices"/>
              <w:rPr>
                <w:highlight w:val="yellow"/>
              </w:rPr>
            </w:pPr>
            <w:r w:rsidRPr="00F403D9">
              <w:t>119</w:t>
            </w:r>
          </w:p>
        </w:tc>
      </w:tr>
      <w:tr w:rsidR="008429FD" w:rsidRPr="0060013A" w:rsidTr="009901AD">
        <w:tc>
          <w:tcPr>
            <w:tcW w:w="3468" w:type="dxa"/>
            <w:shd w:val="clear" w:color="auto" w:fill="EDF0E7"/>
          </w:tcPr>
          <w:p w:rsidR="008429FD" w:rsidRPr="0029150A" w:rsidRDefault="008429FD" w:rsidP="004103B0">
            <w:pPr>
              <w:pStyle w:val="TableTextAppendices"/>
            </w:pPr>
            <w:r w:rsidRPr="0029150A">
              <w:t>Teachers participating in the Incredible Years teacher programmes</w:t>
            </w:r>
            <w:r w:rsidR="00A842B1">
              <w:t>.</w:t>
            </w:r>
          </w:p>
        </w:tc>
        <w:tc>
          <w:tcPr>
            <w:tcW w:w="2068" w:type="dxa"/>
            <w:shd w:val="clear" w:color="auto" w:fill="EDF0E7"/>
          </w:tcPr>
          <w:p w:rsidR="008429FD" w:rsidRPr="0029150A" w:rsidRDefault="008429FD" w:rsidP="004103B0">
            <w:pPr>
              <w:pStyle w:val="TableTextAppendices"/>
            </w:pPr>
            <w:r w:rsidRPr="0029150A">
              <w:t xml:space="preserve">2,277 </w:t>
            </w:r>
          </w:p>
        </w:tc>
        <w:tc>
          <w:tcPr>
            <w:tcW w:w="1730" w:type="dxa"/>
            <w:shd w:val="clear" w:color="auto" w:fill="EDF0E7"/>
          </w:tcPr>
          <w:p w:rsidR="008429FD" w:rsidRPr="0029150A" w:rsidRDefault="008429FD" w:rsidP="004103B0">
            <w:pPr>
              <w:pStyle w:val="TableTextAppendices"/>
            </w:pPr>
            <w:r w:rsidRPr="0029150A">
              <w:t>2,440</w:t>
            </w:r>
          </w:p>
        </w:tc>
        <w:tc>
          <w:tcPr>
            <w:tcW w:w="1693" w:type="dxa"/>
            <w:shd w:val="clear" w:color="auto" w:fill="EDF0E7"/>
          </w:tcPr>
          <w:p w:rsidR="008429FD" w:rsidRPr="00DF3D3D" w:rsidRDefault="008429FD" w:rsidP="008429FD">
            <w:pPr>
              <w:pStyle w:val="TableTextAppendices"/>
              <w:rPr>
                <w:highlight w:val="magenta"/>
              </w:rPr>
            </w:pPr>
            <w:r w:rsidRPr="00F403D9">
              <w:t>2,631</w:t>
            </w:r>
          </w:p>
        </w:tc>
      </w:tr>
      <w:tr w:rsidR="008429FD" w:rsidRPr="0060013A" w:rsidTr="009901AD">
        <w:tc>
          <w:tcPr>
            <w:tcW w:w="3468" w:type="dxa"/>
            <w:shd w:val="clear" w:color="auto" w:fill="EDF0E7"/>
          </w:tcPr>
          <w:p w:rsidR="008429FD" w:rsidRDefault="008429FD" w:rsidP="004103B0">
            <w:pPr>
              <w:pStyle w:val="TableTextAppendices"/>
            </w:pPr>
            <w:r w:rsidRPr="0029150A">
              <w:t>Number of students supported</w:t>
            </w:r>
            <w:r>
              <w:t xml:space="preserve"> through the wraparound service</w:t>
            </w:r>
            <w:r w:rsidR="00A842B1">
              <w:t>.</w:t>
            </w:r>
          </w:p>
          <w:p w:rsidR="008429FD" w:rsidRDefault="008429FD" w:rsidP="004103B0">
            <w:pPr>
              <w:pStyle w:val="TableTextAppendices"/>
            </w:pPr>
          </w:p>
          <w:p w:rsidR="008429FD" w:rsidRPr="0029150A" w:rsidRDefault="008429FD" w:rsidP="004103B0">
            <w:pPr>
              <w:pStyle w:val="TableTextAppendices"/>
            </w:pPr>
          </w:p>
        </w:tc>
        <w:tc>
          <w:tcPr>
            <w:tcW w:w="2068" w:type="dxa"/>
            <w:shd w:val="clear" w:color="auto" w:fill="EDF0E7"/>
          </w:tcPr>
          <w:p w:rsidR="008429FD" w:rsidRPr="0029150A" w:rsidRDefault="008429FD" w:rsidP="004103B0">
            <w:pPr>
              <w:pStyle w:val="TableTextAppendices"/>
            </w:pPr>
            <w:r w:rsidRPr="0029150A">
              <w:t xml:space="preserve">100 </w:t>
            </w:r>
          </w:p>
        </w:tc>
        <w:tc>
          <w:tcPr>
            <w:tcW w:w="1730" w:type="dxa"/>
            <w:shd w:val="clear" w:color="auto" w:fill="EDF0E7"/>
          </w:tcPr>
          <w:p w:rsidR="008429FD" w:rsidRPr="0029150A" w:rsidRDefault="008429FD" w:rsidP="004103B0">
            <w:pPr>
              <w:pStyle w:val="TableTextAppendices"/>
            </w:pPr>
            <w:r w:rsidRPr="0029150A">
              <w:t>75-100</w:t>
            </w:r>
          </w:p>
        </w:tc>
        <w:tc>
          <w:tcPr>
            <w:tcW w:w="1693" w:type="dxa"/>
            <w:shd w:val="clear" w:color="auto" w:fill="EDF0E7"/>
          </w:tcPr>
          <w:p w:rsidR="008429FD" w:rsidRPr="00DF3D3D" w:rsidRDefault="008429FD" w:rsidP="008429FD">
            <w:pPr>
              <w:pStyle w:val="TableTextAppendices"/>
              <w:rPr>
                <w:highlight w:val="magenta"/>
              </w:rPr>
            </w:pPr>
            <w:r w:rsidRPr="00F403D9">
              <w:t>196</w:t>
            </w:r>
          </w:p>
        </w:tc>
      </w:tr>
      <w:tr w:rsidR="008429FD" w:rsidRPr="0060013A" w:rsidTr="009901AD">
        <w:tc>
          <w:tcPr>
            <w:tcW w:w="8959" w:type="dxa"/>
            <w:gridSpan w:val="4"/>
            <w:tcBorders>
              <w:bottom w:val="single" w:sz="4" w:space="0" w:color="FFFFFF"/>
            </w:tcBorders>
            <w:shd w:val="clear" w:color="auto" w:fill="EDF0E7"/>
          </w:tcPr>
          <w:p w:rsidR="008429FD" w:rsidRPr="004278C3" w:rsidRDefault="008429FD" w:rsidP="004278C3">
            <w:pPr>
              <w:pStyle w:val="TableText"/>
              <w:rPr>
                <w:b/>
              </w:rPr>
            </w:pPr>
            <w:r w:rsidRPr="004278C3">
              <w:rPr>
                <w:b/>
              </w:rPr>
              <w:t>Quality</w:t>
            </w:r>
          </w:p>
        </w:tc>
      </w:tr>
      <w:tr w:rsidR="008429FD" w:rsidRPr="0060013A" w:rsidTr="009901AD">
        <w:tc>
          <w:tcPr>
            <w:tcW w:w="3468" w:type="dxa"/>
            <w:shd w:val="clear" w:color="auto" w:fill="EDF0E7"/>
          </w:tcPr>
          <w:p w:rsidR="008429FD" w:rsidRPr="0029150A" w:rsidRDefault="008429FD" w:rsidP="004103B0">
            <w:pPr>
              <w:pStyle w:val="TableTextAppendices"/>
            </w:pPr>
            <w:r w:rsidRPr="0029150A">
              <w:t>Resources targeted and delivered a</w:t>
            </w:r>
            <w:r>
              <w:t>ccording to documented criteria</w:t>
            </w:r>
            <w:r w:rsidR="00F67898">
              <w:t>.</w:t>
            </w:r>
          </w:p>
        </w:tc>
        <w:tc>
          <w:tcPr>
            <w:tcW w:w="2068" w:type="dxa"/>
            <w:shd w:val="clear" w:color="auto" w:fill="EDF0E7"/>
          </w:tcPr>
          <w:p w:rsidR="008429FD" w:rsidRPr="0029150A" w:rsidRDefault="008429FD" w:rsidP="004103B0">
            <w:pPr>
              <w:pStyle w:val="TableTextAppendices"/>
            </w:pPr>
            <w:r w:rsidRPr="0029150A">
              <w:t>100%</w:t>
            </w:r>
          </w:p>
        </w:tc>
        <w:tc>
          <w:tcPr>
            <w:tcW w:w="1730" w:type="dxa"/>
            <w:shd w:val="clear" w:color="auto" w:fill="EDF0E7"/>
          </w:tcPr>
          <w:p w:rsidR="008429FD" w:rsidRPr="0029150A" w:rsidRDefault="008429FD" w:rsidP="004103B0">
            <w:pPr>
              <w:pStyle w:val="TableTextAppendices"/>
            </w:pPr>
            <w:r w:rsidRPr="0029150A">
              <w:t>100%</w:t>
            </w:r>
          </w:p>
        </w:tc>
        <w:tc>
          <w:tcPr>
            <w:tcW w:w="1693" w:type="dxa"/>
            <w:shd w:val="clear" w:color="auto" w:fill="EDF0E7"/>
          </w:tcPr>
          <w:p w:rsidR="008429FD" w:rsidRPr="0029150A" w:rsidRDefault="00571678" w:rsidP="004103B0">
            <w:pPr>
              <w:pStyle w:val="TableTextAppendices"/>
            </w:pPr>
            <w:r>
              <w:t>100%</w:t>
            </w:r>
          </w:p>
        </w:tc>
      </w:tr>
      <w:tr w:rsidR="008429FD" w:rsidRPr="0060013A" w:rsidTr="009901AD">
        <w:tc>
          <w:tcPr>
            <w:tcW w:w="8959" w:type="dxa"/>
            <w:gridSpan w:val="4"/>
            <w:shd w:val="clear" w:color="auto" w:fill="EDF0E7"/>
          </w:tcPr>
          <w:p w:rsidR="008429FD" w:rsidRPr="004278C3" w:rsidRDefault="008429FD" w:rsidP="004278C3">
            <w:pPr>
              <w:pStyle w:val="TableText"/>
              <w:rPr>
                <w:b/>
              </w:rPr>
            </w:pPr>
            <w:r w:rsidRPr="004278C3">
              <w:rPr>
                <w:b/>
              </w:rPr>
              <w:t>Timeliness</w:t>
            </w:r>
          </w:p>
        </w:tc>
      </w:tr>
      <w:tr w:rsidR="008429FD" w:rsidRPr="0060013A" w:rsidTr="009901AD">
        <w:tc>
          <w:tcPr>
            <w:tcW w:w="3468" w:type="dxa"/>
            <w:shd w:val="clear" w:color="auto" w:fill="EDF0E7"/>
          </w:tcPr>
          <w:p w:rsidR="008429FD" w:rsidRPr="0060013A" w:rsidRDefault="008429FD" w:rsidP="004103B0">
            <w:pPr>
              <w:pStyle w:val="TableTextAppendices"/>
              <w:rPr>
                <w:highlight w:val="yellow"/>
              </w:rPr>
            </w:pPr>
            <w:r w:rsidRPr="0029150A">
              <w:t>Resources for services will be delivered according to documented timeframes</w:t>
            </w:r>
            <w:r w:rsidR="00F67898">
              <w:t>.</w:t>
            </w:r>
          </w:p>
        </w:tc>
        <w:tc>
          <w:tcPr>
            <w:tcW w:w="2068" w:type="dxa"/>
            <w:shd w:val="clear" w:color="auto" w:fill="EDF0E7"/>
          </w:tcPr>
          <w:p w:rsidR="008429FD" w:rsidRPr="0029150A" w:rsidRDefault="008429FD" w:rsidP="004103B0">
            <w:pPr>
              <w:pStyle w:val="TableTextAppendices"/>
            </w:pPr>
            <w:r w:rsidRPr="0029150A">
              <w:t>100%</w:t>
            </w:r>
            <w:r w:rsidR="00571678">
              <w:t xml:space="preserve"> </w:t>
            </w:r>
            <w:r w:rsidRPr="0029150A">
              <w:t>Compliance</w:t>
            </w:r>
            <w:r w:rsidRPr="0029150A" w:rsidDel="00D36E15">
              <w:t xml:space="preserve"> </w:t>
            </w:r>
          </w:p>
        </w:tc>
        <w:tc>
          <w:tcPr>
            <w:tcW w:w="1730" w:type="dxa"/>
            <w:shd w:val="clear" w:color="auto" w:fill="EDF0E7"/>
          </w:tcPr>
          <w:p w:rsidR="008429FD" w:rsidRPr="0029150A" w:rsidRDefault="008429FD" w:rsidP="004103B0">
            <w:pPr>
              <w:pStyle w:val="TableTextAppendices"/>
            </w:pPr>
            <w:r w:rsidRPr="0029150A">
              <w:t>100% Compliance</w:t>
            </w:r>
          </w:p>
        </w:tc>
        <w:tc>
          <w:tcPr>
            <w:tcW w:w="1693" w:type="dxa"/>
            <w:shd w:val="clear" w:color="auto" w:fill="EDF0E7"/>
          </w:tcPr>
          <w:p w:rsidR="008429FD" w:rsidRPr="0029150A" w:rsidRDefault="00571678" w:rsidP="004103B0">
            <w:pPr>
              <w:pStyle w:val="TableTextAppendices"/>
            </w:pPr>
            <w:r>
              <w:t>100% Compliance</w:t>
            </w:r>
          </w:p>
        </w:tc>
      </w:tr>
    </w:tbl>
    <w:p w:rsidR="0029150A" w:rsidRPr="004103B0" w:rsidRDefault="0029150A" w:rsidP="004103B0">
      <w:pPr>
        <w:pStyle w:val="TableFootnote"/>
        <w:spacing w:after="40"/>
        <w:rPr>
          <w:bCs w:val="0"/>
          <w:szCs w:val="22"/>
          <w:highlight w:val="yellow"/>
        </w:rPr>
      </w:pPr>
    </w:p>
    <w:p w:rsidR="0098450B" w:rsidRPr="0029150A" w:rsidRDefault="0098450B" w:rsidP="0098450B">
      <w:pPr>
        <w:pStyle w:val="Heading4"/>
      </w:pPr>
      <w:r w:rsidRPr="0029150A">
        <w:rPr>
          <w:szCs w:val="22"/>
        </w:rPr>
        <w:t>Results</w:t>
      </w:r>
      <w:r w:rsidRPr="0029150A">
        <w:t xml:space="preserve"> </w:t>
      </w:r>
      <w:r w:rsidR="00E0656F">
        <w:rPr>
          <w:rFonts w:cs="Arial"/>
        </w:rPr>
        <w:t>―</w:t>
      </w:r>
      <w:r w:rsidRPr="0029150A">
        <w:t xml:space="preserve"> Financial</w:t>
      </w:r>
    </w:p>
    <w:tbl>
      <w:tblPr>
        <w:tblW w:w="895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1E0"/>
      </w:tblPr>
      <w:tblGrid>
        <w:gridCol w:w="2549"/>
        <w:gridCol w:w="1604"/>
        <w:gridCol w:w="1604"/>
        <w:gridCol w:w="1604"/>
        <w:gridCol w:w="1598"/>
      </w:tblGrid>
      <w:tr w:rsidR="001E6C53" w:rsidRPr="0060013A" w:rsidTr="009901AD">
        <w:trPr>
          <w:trHeight w:val="428"/>
        </w:trPr>
        <w:tc>
          <w:tcPr>
            <w:tcW w:w="1423" w:type="pct"/>
            <w:tcBorders>
              <w:bottom w:val="single" w:sz="4" w:space="0" w:color="FFFFFF"/>
            </w:tcBorders>
            <w:shd w:val="clear" w:color="auto" w:fill="DBE2D1"/>
          </w:tcPr>
          <w:p w:rsidR="001E6C53" w:rsidRPr="004278C3" w:rsidRDefault="001E6C53" w:rsidP="004278C3">
            <w:pPr>
              <w:pStyle w:val="TableText"/>
              <w:rPr>
                <w:b/>
              </w:rPr>
            </w:pPr>
            <w:r w:rsidRPr="004278C3">
              <w:rPr>
                <w:b/>
              </w:rPr>
              <w:t>Expenses</w:t>
            </w:r>
          </w:p>
        </w:tc>
        <w:tc>
          <w:tcPr>
            <w:tcW w:w="895" w:type="pct"/>
            <w:tcBorders>
              <w:bottom w:val="single" w:sz="4" w:space="0" w:color="FFFFFF"/>
            </w:tcBorders>
            <w:shd w:val="clear" w:color="auto" w:fill="DBE2D1"/>
          </w:tcPr>
          <w:p w:rsidR="001E6C53" w:rsidRPr="003731AA" w:rsidRDefault="0029150A" w:rsidP="003731AA">
            <w:pPr>
              <w:pStyle w:val="TableTextAppendices"/>
              <w:jc w:val="center"/>
              <w:rPr>
                <w:b/>
              </w:rPr>
            </w:pPr>
            <w:r w:rsidRPr="003731AA">
              <w:rPr>
                <w:b/>
              </w:rPr>
              <w:t>2011/12</w:t>
            </w:r>
          </w:p>
          <w:p w:rsidR="001E6C53" w:rsidRPr="003731AA" w:rsidRDefault="001E6C53" w:rsidP="003731AA">
            <w:pPr>
              <w:pStyle w:val="TableTextAppendices"/>
              <w:jc w:val="center"/>
              <w:rPr>
                <w:b/>
              </w:rPr>
            </w:pPr>
            <w:r w:rsidRPr="003731AA">
              <w:rPr>
                <w:b/>
              </w:rPr>
              <w:t>Actual</w:t>
            </w:r>
            <w:r w:rsidRPr="003731AA">
              <w:rPr>
                <w:b/>
              </w:rPr>
              <w:br/>
            </w:r>
            <w:r w:rsidRPr="003731AA">
              <w:rPr>
                <w:b/>
              </w:rPr>
              <w:br/>
              <w:t>$000</w:t>
            </w:r>
          </w:p>
        </w:tc>
        <w:tc>
          <w:tcPr>
            <w:tcW w:w="895" w:type="pct"/>
            <w:tcBorders>
              <w:bottom w:val="single" w:sz="4" w:space="0" w:color="FFFFFF"/>
            </w:tcBorders>
            <w:shd w:val="clear" w:color="auto" w:fill="DBE2D1"/>
          </w:tcPr>
          <w:p w:rsidR="001E6C53" w:rsidRPr="003731AA" w:rsidRDefault="0029150A" w:rsidP="003731AA">
            <w:pPr>
              <w:pStyle w:val="TableTextAppendices"/>
              <w:jc w:val="center"/>
              <w:rPr>
                <w:b/>
              </w:rPr>
            </w:pPr>
            <w:r w:rsidRPr="003731AA">
              <w:rPr>
                <w:b/>
              </w:rPr>
              <w:t>2012/13</w:t>
            </w:r>
          </w:p>
          <w:p w:rsidR="001E6C53" w:rsidRPr="003731AA" w:rsidRDefault="001E6C53" w:rsidP="003731AA">
            <w:pPr>
              <w:pStyle w:val="TableTextAppendices"/>
              <w:jc w:val="center"/>
              <w:rPr>
                <w:b/>
              </w:rPr>
            </w:pPr>
            <w:r w:rsidRPr="003731AA">
              <w:rPr>
                <w:b/>
              </w:rPr>
              <w:t>Estimates</w:t>
            </w:r>
            <w:r w:rsidRPr="003731AA">
              <w:rPr>
                <w:b/>
              </w:rPr>
              <w:br/>
            </w:r>
            <w:r w:rsidRPr="003731AA">
              <w:rPr>
                <w:b/>
              </w:rPr>
              <w:br/>
              <w:t>$000</w:t>
            </w:r>
          </w:p>
        </w:tc>
        <w:tc>
          <w:tcPr>
            <w:tcW w:w="895" w:type="pct"/>
            <w:tcBorders>
              <w:bottom w:val="single" w:sz="4" w:space="0" w:color="FFFFFF"/>
            </w:tcBorders>
            <w:shd w:val="clear" w:color="auto" w:fill="DBE2D1"/>
          </w:tcPr>
          <w:p w:rsidR="001E6C53" w:rsidRPr="003731AA" w:rsidRDefault="0029150A" w:rsidP="003731AA">
            <w:pPr>
              <w:pStyle w:val="TableTextAppendices"/>
              <w:jc w:val="center"/>
              <w:rPr>
                <w:b/>
              </w:rPr>
            </w:pPr>
            <w:r w:rsidRPr="003731AA">
              <w:rPr>
                <w:b/>
              </w:rPr>
              <w:t>2012/13</w:t>
            </w:r>
          </w:p>
          <w:p w:rsidR="001E6C53" w:rsidRPr="003731AA" w:rsidRDefault="001E6C53" w:rsidP="003731AA">
            <w:pPr>
              <w:pStyle w:val="TableTextAppendices"/>
              <w:jc w:val="center"/>
              <w:rPr>
                <w:b/>
              </w:rPr>
            </w:pPr>
            <w:r w:rsidRPr="003731AA">
              <w:rPr>
                <w:b/>
              </w:rPr>
              <w:t>Supp Estimates</w:t>
            </w:r>
            <w:r w:rsidRPr="003731AA">
              <w:rPr>
                <w:b/>
              </w:rPr>
              <w:br/>
            </w:r>
            <w:r w:rsidRPr="003731AA">
              <w:rPr>
                <w:b/>
              </w:rPr>
              <w:br/>
              <w:t>$000</w:t>
            </w:r>
          </w:p>
        </w:tc>
        <w:tc>
          <w:tcPr>
            <w:tcW w:w="892" w:type="pct"/>
            <w:tcBorders>
              <w:bottom w:val="single" w:sz="4" w:space="0" w:color="FFFFFF"/>
            </w:tcBorders>
            <w:shd w:val="clear" w:color="auto" w:fill="DBE2D1"/>
          </w:tcPr>
          <w:p w:rsidR="001E6C53" w:rsidRPr="003731AA" w:rsidRDefault="0029150A" w:rsidP="003731AA">
            <w:pPr>
              <w:pStyle w:val="TableTextAppendices"/>
              <w:jc w:val="center"/>
              <w:rPr>
                <w:b/>
              </w:rPr>
            </w:pPr>
            <w:r w:rsidRPr="003731AA">
              <w:rPr>
                <w:b/>
              </w:rPr>
              <w:t>2012/13</w:t>
            </w:r>
          </w:p>
          <w:p w:rsidR="001E6C53" w:rsidRPr="003731AA" w:rsidRDefault="001E6C53" w:rsidP="003731AA">
            <w:pPr>
              <w:pStyle w:val="TableTextAppendices"/>
              <w:jc w:val="center"/>
              <w:rPr>
                <w:b/>
              </w:rPr>
            </w:pPr>
            <w:r w:rsidRPr="003731AA">
              <w:rPr>
                <w:b/>
              </w:rPr>
              <w:t>Actual</w:t>
            </w:r>
            <w:r w:rsidRPr="003731AA">
              <w:rPr>
                <w:b/>
              </w:rPr>
              <w:br/>
            </w:r>
            <w:r w:rsidRPr="003731AA">
              <w:rPr>
                <w:b/>
              </w:rPr>
              <w:br/>
              <w:t>$000</w:t>
            </w:r>
          </w:p>
        </w:tc>
      </w:tr>
      <w:tr w:rsidR="008429FD" w:rsidRPr="0060013A" w:rsidTr="009901AD">
        <w:tc>
          <w:tcPr>
            <w:tcW w:w="1423" w:type="pct"/>
            <w:shd w:val="clear" w:color="auto" w:fill="EDF0E7"/>
          </w:tcPr>
          <w:p w:rsidR="008429FD" w:rsidRPr="0029150A" w:rsidRDefault="008429FD" w:rsidP="003731AA">
            <w:pPr>
              <w:pStyle w:val="TableTextAppendices"/>
            </w:pPr>
            <w:r w:rsidRPr="0029150A">
              <w:t>Total Appropriation</w:t>
            </w:r>
          </w:p>
        </w:tc>
        <w:tc>
          <w:tcPr>
            <w:tcW w:w="895" w:type="pct"/>
            <w:shd w:val="clear" w:color="auto" w:fill="EDF0E7"/>
          </w:tcPr>
          <w:p w:rsidR="008429FD" w:rsidRPr="0029150A" w:rsidRDefault="008429FD" w:rsidP="00F67898">
            <w:pPr>
              <w:pStyle w:val="TableTextAppendices"/>
              <w:jc w:val="right"/>
            </w:pPr>
            <w:r w:rsidRPr="0029150A">
              <w:t>323,226</w:t>
            </w:r>
          </w:p>
        </w:tc>
        <w:tc>
          <w:tcPr>
            <w:tcW w:w="895" w:type="pct"/>
            <w:shd w:val="clear" w:color="auto" w:fill="EDF0E7"/>
          </w:tcPr>
          <w:p w:rsidR="008429FD" w:rsidRPr="0029150A" w:rsidRDefault="008429FD" w:rsidP="00F67898">
            <w:pPr>
              <w:pStyle w:val="TableTextAppendices"/>
              <w:jc w:val="right"/>
            </w:pPr>
            <w:r w:rsidRPr="0029150A">
              <w:t>338,221</w:t>
            </w:r>
          </w:p>
        </w:tc>
        <w:tc>
          <w:tcPr>
            <w:tcW w:w="895" w:type="pct"/>
            <w:shd w:val="clear" w:color="auto" w:fill="EDF0E7"/>
          </w:tcPr>
          <w:p w:rsidR="008429FD" w:rsidRPr="0029150A" w:rsidRDefault="008429FD" w:rsidP="00F67898">
            <w:pPr>
              <w:pStyle w:val="TableTextAppendices"/>
              <w:jc w:val="right"/>
            </w:pPr>
            <w:r w:rsidRPr="0029150A">
              <w:t>339,765</w:t>
            </w:r>
          </w:p>
        </w:tc>
        <w:tc>
          <w:tcPr>
            <w:tcW w:w="892" w:type="pct"/>
            <w:shd w:val="clear" w:color="auto" w:fill="EDF0E7"/>
          </w:tcPr>
          <w:p w:rsidR="008429FD" w:rsidRPr="00BC5A9F" w:rsidRDefault="008429FD" w:rsidP="00F67898">
            <w:pPr>
              <w:pStyle w:val="TableTextAppendices"/>
              <w:jc w:val="right"/>
            </w:pPr>
            <w:r w:rsidRPr="00BC5A9F">
              <w:t>331,763</w:t>
            </w:r>
          </w:p>
        </w:tc>
      </w:tr>
      <w:tr w:rsidR="008429FD" w:rsidRPr="0060013A" w:rsidTr="009901AD">
        <w:tc>
          <w:tcPr>
            <w:tcW w:w="1423" w:type="pct"/>
            <w:shd w:val="clear" w:color="auto" w:fill="EDF0E7"/>
          </w:tcPr>
          <w:p w:rsidR="008429FD" w:rsidRPr="0029150A" w:rsidRDefault="008429FD" w:rsidP="003731AA">
            <w:pPr>
              <w:pStyle w:val="TableTextAppendices"/>
            </w:pPr>
            <w:r w:rsidRPr="0029150A">
              <w:t>Salaries Funding</w:t>
            </w:r>
          </w:p>
        </w:tc>
        <w:tc>
          <w:tcPr>
            <w:tcW w:w="895" w:type="pct"/>
            <w:shd w:val="clear" w:color="auto" w:fill="EDF0E7"/>
          </w:tcPr>
          <w:p w:rsidR="008429FD" w:rsidRPr="0029150A" w:rsidRDefault="008429FD" w:rsidP="00F67898">
            <w:pPr>
              <w:pStyle w:val="TableTextAppendices"/>
              <w:jc w:val="right"/>
            </w:pPr>
            <w:r w:rsidRPr="0029150A">
              <w:t>168,993</w:t>
            </w:r>
          </w:p>
        </w:tc>
        <w:tc>
          <w:tcPr>
            <w:tcW w:w="895" w:type="pct"/>
            <w:shd w:val="clear" w:color="auto" w:fill="EDF0E7"/>
          </w:tcPr>
          <w:p w:rsidR="008429FD" w:rsidRPr="0029150A" w:rsidRDefault="008429FD" w:rsidP="00F67898">
            <w:pPr>
              <w:pStyle w:val="TableTextAppendices"/>
              <w:jc w:val="right"/>
            </w:pPr>
            <w:r w:rsidRPr="0029150A">
              <w:t>177,146</w:t>
            </w:r>
          </w:p>
        </w:tc>
        <w:tc>
          <w:tcPr>
            <w:tcW w:w="895" w:type="pct"/>
            <w:shd w:val="clear" w:color="auto" w:fill="EDF0E7"/>
          </w:tcPr>
          <w:p w:rsidR="008429FD" w:rsidRPr="0029150A" w:rsidRDefault="008429FD" w:rsidP="00F67898">
            <w:pPr>
              <w:pStyle w:val="TableTextAppendices"/>
              <w:jc w:val="right"/>
            </w:pPr>
            <w:r w:rsidRPr="0029150A">
              <w:t>173,612</w:t>
            </w:r>
          </w:p>
        </w:tc>
        <w:tc>
          <w:tcPr>
            <w:tcW w:w="892" w:type="pct"/>
            <w:shd w:val="clear" w:color="auto" w:fill="EDF0E7"/>
          </w:tcPr>
          <w:p w:rsidR="008429FD" w:rsidRPr="00BC5A9F" w:rsidRDefault="008429FD" w:rsidP="00F67898">
            <w:pPr>
              <w:pStyle w:val="TableTextAppendices"/>
              <w:jc w:val="right"/>
            </w:pPr>
            <w:r w:rsidRPr="00BC5A9F">
              <w:t>168,875</w:t>
            </w:r>
          </w:p>
        </w:tc>
      </w:tr>
      <w:tr w:rsidR="008429FD" w:rsidRPr="0060013A" w:rsidTr="009901AD">
        <w:tc>
          <w:tcPr>
            <w:tcW w:w="1423" w:type="pct"/>
            <w:shd w:val="clear" w:color="auto" w:fill="EDF0E7"/>
          </w:tcPr>
          <w:p w:rsidR="008429FD" w:rsidRPr="0029150A" w:rsidRDefault="008429FD" w:rsidP="003731AA">
            <w:pPr>
              <w:pStyle w:val="TableTextAppendices"/>
            </w:pPr>
            <w:r w:rsidRPr="0029150A">
              <w:t>Operations and Other Funding</w:t>
            </w:r>
          </w:p>
        </w:tc>
        <w:tc>
          <w:tcPr>
            <w:tcW w:w="895" w:type="pct"/>
            <w:shd w:val="clear" w:color="auto" w:fill="EDF0E7"/>
          </w:tcPr>
          <w:p w:rsidR="008429FD" w:rsidRPr="0029150A" w:rsidRDefault="008429FD" w:rsidP="00F67898">
            <w:pPr>
              <w:pStyle w:val="TableTextAppendices"/>
              <w:jc w:val="right"/>
            </w:pPr>
            <w:r w:rsidRPr="0029150A">
              <w:t>154,233</w:t>
            </w:r>
          </w:p>
        </w:tc>
        <w:tc>
          <w:tcPr>
            <w:tcW w:w="895" w:type="pct"/>
            <w:shd w:val="clear" w:color="auto" w:fill="EDF0E7"/>
          </w:tcPr>
          <w:p w:rsidR="008429FD" w:rsidRPr="0029150A" w:rsidRDefault="008429FD" w:rsidP="00F67898">
            <w:pPr>
              <w:pStyle w:val="TableTextAppendices"/>
              <w:jc w:val="right"/>
            </w:pPr>
            <w:r w:rsidRPr="0029150A">
              <w:t>161,075</w:t>
            </w:r>
          </w:p>
        </w:tc>
        <w:tc>
          <w:tcPr>
            <w:tcW w:w="895" w:type="pct"/>
            <w:shd w:val="clear" w:color="auto" w:fill="EDF0E7"/>
          </w:tcPr>
          <w:p w:rsidR="008429FD" w:rsidRPr="0029150A" w:rsidRDefault="008429FD" w:rsidP="00F67898">
            <w:pPr>
              <w:pStyle w:val="TableTextAppendices"/>
              <w:jc w:val="right"/>
            </w:pPr>
            <w:r w:rsidRPr="0029150A">
              <w:t>166,153</w:t>
            </w:r>
          </w:p>
        </w:tc>
        <w:tc>
          <w:tcPr>
            <w:tcW w:w="892" w:type="pct"/>
            <w:shd w:val="clear" w:color="auto" w:fill="EDF0E7"/>
          </w:tcPr>
          <w:p w:rsidR="008429FD" w:rsidRPr="00BC5A9F" w:rsidRDefault="008429FD" w:rsidP="00F67898">
            <w:pPr>
              <w:pStyle w:val="TableTextAppendices"/>
              <w:jc w:val="right"/>
            </w:pPr>
            <w:r w:rsidRPr="00BC5A9F">
              <w:t>162,888</w:t>
            </w:r>
          </w:p>
        </w:tc>
      </w:tr>
    </w:tbl>
    <w:p w:rsidR="00F114E5" w:rsidRPr="004103B0" w:rsidRDefault="00F114E5" w:rsidP="004103B0">
      <w:pPr>
        <w:pStyle w:val="TableFootnote"/>
        <w:spacing w:after="40"/>
        <w:rPr>
          <w:bCs w:val="0"/>
          <w:highlight w:val="yellow"/>
        </w:rPr>
      </w:pPr>
    </w:p>
    <w:p w:rsidR="00B85FAF" w:rsidRPr="0029150A" w:rsidRDefault="00B85FAF" w:rsidP="00B85FAF">
      <w:r w:rsidRPr="0029150A">
        <w:t>The in</w:t>
      </w:r>
      <w:r w:rsidR="0029150A" w:rsidRPr="0029150A">
        <w:t>crease in appropriation for 2012/13 compared to 2011/12</w:t>
      </w:r>
      <w:r w:rsidRPr="0029150A">
        <w:t xml:space="preserve"> was mainly owing to a combination of:</w:t>
      </w:r>
    </w:p>
    <w:p w:rsidR="0029150A" w:rsidRPr="0029150A" w:rsidRDefault="0029150A" w:rsidP="00571CBB">
      <w:pPr>
        <w:pStyle w:val="BodyTextBullets"/>
        <w:rPr>
          <w:lang w:val="en-AU"/>
        </w:rPr>
      </w:pPr>
      <w:r w:rsidRPr="0029150A">
        <w:rPr>
          <w:lang w:val="en-AU"/>
        </w:rPr>
        <w:t>higher levels of forecast staffing entitlements</w:t>
      </w:r>
    </w:p>
    <w:p w:rsidR="0029150A" w:rsidRPr="0029150A" w:rsidRDefault="0029150A" w:rsidP="00571CBB">
      <w:pPr>
        <w:pStyle w:val="BodyTextBullets"/>
        <w:rPr>
          <w:lang w:val="en-AU"/>
        </w:rPr>
      </w:pPr>
      <w:r w:rsidRPr="0029150A">
        <w:rPr>
          <w:lang w:val="en-AU"/>
        </w:rPr>
        <w:t xml:space="preserve">progressing implementation of the Positive Behaviour for Learning programme </w:t>
      </w:r>
    </w:p>
    <w:p w:rsidR="0029150A" w:rsidRPr="0029150A" w:rsidRDefault="0029150A" w:rsidP="00571CBB">
      <w:pPr>
        <w:pStyle w:val="BodyTextBullets"/>
        <w:rPr>
          <w:lang w:val="en-AU"/>
        </w:rPr>
      </w:pPr>
      <w:r w:rsidRPr="0029150A">
        <w:rPr>
          <w:lang w:val="en-AU"/>
        </w:rPr>
        <w:t>redistribution of salaries funding over the non-departmental other expense appropriations for Primary Education, Secondary Education and Special Needs Support</w:t>
      </w:r>
    </w:p>
    <w:p w:rsidR="0029150A" w:rsidRPr="0029150A" w:rsidRDefault="0029150A" w:rsidP="00571CBB">
      <w:pPr>
        <w:pStyle w:val="BodyTextBullets"/>
        <w:rPr>
          <w:lang w:val="en-AU"/>
        </w:rPr>
      </w:pPr>
      <w:r w:rsidRPr="0029150A">
        <w:rPr>
          <w:lang w:val="en-AU"/>
        </w:rPr>
        <w:t>changes to school operations grants as approved in Budget 2012 and previous Budgets</w:t>
      </w:r>
    </w:p>
    <w:p w:rsidR="0029150A" w:rsidRPr="0029150A" w:rsidRDefault="0029150A" w:rsidP="00571CBB">
      <w:pPr>
        <w:pStyle w:val="BodyTextBullets"/>
        <w:rPr>
          <w:lang w:val="en-AU"/>
        </w:rPr>
      </w:pPr>
      <w:r w:rsidRPr="0029150A">
        <w:rPr>
          <w:lang w:val="en-AU"/>
        </w:rPr>
        <w:t>provision for a change programme for Residential Special Schools</w:t>
      </w:r>
    </w:p>
    <w:p w:rsidR="0029150A" w:rsidRPr="0029150A" w:rsidRDefault="0029150A" w:rsidP="00030453">
      <w:pPr>
        <w:pStyle w:val="BodyTextBulletslast"/>
        <w:rPr>
          <w:lang w:val="en-AU"/>
        </w:rPr>
      </w:pPr>
      <w:r w:rsidRPr="0029150A">
        <w:rPr>
          <w:lang w:val="en-AU"/>
        </w:rPr>
        <w:t>support for Youth Mental Health initiatives.</w:t>
      </w:r>
    </w:p>
    <w:p w:rsidR="00B85FAF" w:rsidRPr="00191FEF" w:rsidRDefault="00B85FAF" w:rsidP="00B85FAF">
      <w:r w:rsidRPr="00191FEF">
        <w:t>The increase in fu</w:t>
      </w:r>
      <w:r w:rsidR="0029150A" w:rsidRPr="00191FEF">
        <w:t>nding during 2012/13</w:t>
      </w:r>
      <w:r w:rsidR="00053E00" w:rsidRPr="00191FEF">
        <w:t xml:space="preserve"> was mainly </w:t>
      </w:r>
      <w:r w:rsidRPr="00191FEF">
        <w:t>owing to:</w:t>
      </w:r>
    </w:p>
    <w:p w:rsidR="00191FEF" w:rsidRPr="00191FEF" w:rsidRDefault="00191FEF" w:rsidP="00571CBB">
      <w:pPr>
        <w:pStyle w:val="BodyTextBullets"/>
        <w:rPr>
          <w:lang w:val="en-AU"/>
        </w:rPr>
      </w:pPr>
      <w:r w:rsidRPr="00191FEF">
        <w:rPr>
          <w:lang w:val="en-AU"/>
        </w:rPr>
        <w:t>the additional costs of amalgamating the Supplementary Learning Support teachers and the Resource Teacher: Learning and Behaviour service, including potential redundancy and redeployment costs partially funded by a transfer from non-departmental output expense Professional Development and Support</w:t>
      </w:r>
    </w:p>
    <w:p w:rsidR="00191FEF" w:rsidRPr="00191FEF" w:rsidRDefault="00191FEF" w:rsidP="00571CBB">
      <w:pPr>
        <w:pStyle w:val="BodyTextBullets"/>
        <w:rPr>
          <w:lang w:val="en-AU"/>
        </w:rPr>
      </w:pPr>
      <w:r w:rsidRPr="00191FEF">
        <w:rPr>
          <w:lang w:val="en-AU"/>
        </w:rPr>
        <w:t>transfers to 2013/14 mainly for delays in projects related to the Positive Be</w:t>
      </w:r>
      <w:r w:rsidR="00E0656F">
        <w:rPr>
          <w:lang w:val="en-AU"/>
        </w:rPr>
        <w:t>haviour for Learning initiative</w:t>
      </w:r>
    </w:p>
    <w:p w:rsidR="00191FEF" w:rsidRPr="00191FEF" w:rsidRDefault="00191FEF" w:rsidP="00030453">
      <w:pPr>
        <w:pStyle w:val="BodyTextBulletslast"/>
        <w:rPr>
          <w:lang w:val="en-AU"/>
        </w:rPr>
      </w:pPr>
      <w:r w:rsidRPr="00191FEF">
        <w:rPr>
          <w:lang w:val="en-AU"/>
        </w:rPr>
        <w:t>the expansion of the intensive wraparound service under departmental output expense Interventions for Target Student Groups following closure of McKenzie School and changes to the rolls of several other residential special schools.</w:t>
      </w:r>
    </w:p>
    <w:p w:rsidR="008429FD" w:rsidRPr="0083731C" w:rsidRDefault="008429FD" w:rsidP="008429FD">
      <w:pPr>
        <w:pStyle w:val="BodyTextBulletslast"/>
        <w:numPr>
          <w:ilvl w:val="0"/>
          <w:numId w:val="0"/>
        </w:numPr>
      </w:pPr>
      <w:r w:rsidRPr="0083731C">
        <w:t>Expenditure at the end of 2012/13 was less than budget mainly due to:</w:t>
      </w:r>
    </w:p>
    <w:p w:rsidR="008429FD" w:rsidRPr="0083731C" w:rsidRDefault="008429FD" w:rsidP="00E0656F">
      <w:pPr>
        <w:pStyle w:val="BodyTextBullets"/>
      </w:pPr>
      <w:r w:rsidRPr="0083731C">
        <w:t>fewer teacher full-time equivalents than expected</w:t>
      </w:r>
    </w:p>
    <w:p w:rsidR="008429FD" w:rsidRPr="0083731C" w:rsidRDefault="008429FD" w:rsidP="00E0656F">
      <w:pPr>
        <w:pStyle w:val="BodyTextBullets"/>
      </w:pPr>
      <w:r>
        <w:t>lower than expected demand for the English for Speakers of Other Languages programme</w:t>
      </w:r>
    </w:p>
    <w:p w:rsidR="008429FD" w:rsidRPr="0083731C" w:rsidRDefault="008429FD" w:rsidP="008429FD">
      <w:pPr>
        <w:pStyle w:val="BodyTextBulletslast"/>
      </w:pPr>
      <w:r>
        <w:t>reduced residents funding from one residential school closure (McKenzie Residential School) and adjustments made to notional rolls for the remaining residential schools.</w:t>
      </w:r>
    </w:p>
    <w:p w:rsidR="00F67898" w:rsidRDefault="00F67898" w:rsidP="002E741F">
      <w:pPr>
        <w:pStyle w:val="Heading3"/>
      </w:pPr>
      <w:r>
        <w:t>Non-departmental output expense</w:t>
      </w:r>
    </w:p>
    <w:p w:rsidR="00462045" w:rsidRPr="00314E1F" w:rsidRDefault="00462045" w:rsidP="002E741F">
      <w:pPr>
        <w:pStyle w:val="Heading3"/>
      </w:pPr>
      <w:r>
        <w:t>Secondary-Tertiary Interface</w:t>
      </w:r>
    </w:p>
    <w:p w:rsidR="00462045" w:rsidRPr="00462045" w:rsidRDefault="00462045" w:rsidP="008A6837">
      <w:pPr>
        <w:pStyle w:val="Heading4"/>
      </w:pPr>
      <w:r w:rsidRPr="00462045">
        <w:t>Scope of Appropriation</w:t>
      </w:r>
    </w:p>
    <w:p w:rsidR="00462045" w:rsidRDefault="00462045" w:rsidP="00462045">
      <w:r>
        <w:t>This appropriation is limited to delivery of programmes of learning at the secondary-tertiary interface, including programmes offered in partnership by schools and tertiary education organisations.</w:t>
      </w:r>
    </w:p>
    <w:p w:rsidR="00462045" w:rsidRPr="00462045" w:rsidRDefault="00462045" w:rsidP="008A6837">
      <w:pPr>
        <w:pStyle w:val="Heading4"/>
      </w:pPr>
      <w:r w:rsidRPr="00462045">
        <w:t>Intended Impacts, Outcomes or Objectives</w:t>
      </w:r>
    </w:p>
    <w:p w:rsidR="00462045" w:rsidRDefault="00462045" w:rsidP="00462045">
      <w:r>
        <w:t>Attainment of useful qualifications.</w:t>
      </w:r>
    </w:p>
    <w:p w:rsidR="00462045" w:rsidRPr="00462045" w:rsidRDefault="00462045" w:rsidP="008A6837">
      <w:pPr>
        <w:pStyle w:val="Heading4"/>
      </w:pPr>
      <w:r w:rsidRPr="00462045">
        <w:t>Description of Activities</w:t>
      </w:r>
    </w:p>
    <w:p w:rsidR="008429FD" w:rsidRPr="00F37CED" w:rsidRDefault="008429FD" w:rsidP="008429FD">
      <w:pPr>
        <w:pStyle w:val="BodyTextBulletslast"/>
        <w:numPr>
          <w:ilvl w:val="0"/>
          <w:numId w:val="0"/>
        </w:numPr>
      </w:pPr>
      <w:r>
        <w:t>These expenses include the number of places purchased in the secondary-tertiary programme and financial expenses relating to the programme.</w:t>
      </w:r>
    </w:p>
    <w:p w:rsidR="00453DAE" w:rsidRPr="00314E1F" w:rsidRDefault="00F67898" w:rsidP="00453DAE">
      <w:pPr>
        <w:pStyle w:val="Heading4"/>
      </w:pPr>
      <w:r>
        <w:rPr>
          <w:szCs w:val="22"/>
        </w:rPr>
        <w:t>Service Performance</w:t>
      </w:r>
      <w:r w:rsidR="00453DAE" w:rsidRPr="00314E1F">
        <w:t xml:space="preserve"> </w:t>
      </w:r>
      <w:r w:rsidR="00E0656F">
        <w:rPr>
          <w:rFonts w:cs="Arial"/>
        </w:rPr>
        <w:t>―</w:t>
      </w:r>
      <w:r w:rsidR="00453DAE" w:rsidRPr="00314E1F">
        <w:t xml:space="preserve"> Non-financial</w:t>
      </w:r>
    </w:p>
    <w:tbl>
      <w:tblPr>
        <w:tblW w:w="895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1E0"/>
      </w:tblPr>
      <w:tblGrid>
        <w:gridCol w:w="3468"/>
        <w:gridCol w:w="2068"/>
        <w:gridCol w:w="1730"/>
        <w:gridCol w:w="1693"/>
      </w:tblGrid>
      <w:tr w:rsidR="00453DAE" w:rsidRPr="00314E1F" w:rsidTr="009901AD">
        <w:trPr>
          <w:trHeight w:val="369"/>
          <w:tblHeader/>
        </w:trPr>
        <w:tc>
          <w:tcPr>
            <w:tcW w:w="3468" w:type="dxa"/>
            <w:tcBorders>
              <w:bottom w:val="single" w:sz="4" w:space="0" w:color="FFFFFF"/>
            </w:tcBorders>
            <w:shd w:val="clear" w:color="auto" w:fill="DBE2D1"/>
          </w:tcPr>
          <w:p w:rsidR="00453DAE" w:rsidRPr="004278C3" w:rsidRDefault="00453DAE" w:rsidP="004278C3">
            <w:pPr>
              <w:pStyle w:val="TableText"/>
              <w:rPr>
                <w:b/>
              </w:rPr>
            </w:pPr>
            <w:r w:rsidRPr="004278C3">
              <w:rPr>
                <w:b/>
              </w:rPr>
              <w:t>Results</w:t>
            </w:r>
          </w:p>
        </w:tc>
        <w:tc>
          <w:tcPr>
            <w:tcW w:w="2068" w:type="dxa"/>
            <w:tcBorders>
              <w:bottom w:val="single" w:sz="4" w:space="0" w:color="FFFFFF"/>
            </w:tcBorders>
            <w:shd w:val="clear" w:color="auto" w:fill="DBE2D1"/>
          </w:tcPr>
          <w:p w:rsidR="00453DAE" w:rsidRPr="004278C3" w:rsidRDefault="00453DAE" w:rsidP="004278C3">
            <w:pPr>
              <w:pStyle w:val="TableText"/>
              <w:rPr>
                <w:b/>
              </w:rPr>
            </w:pPr>
            <w:r w:rsidRPr="004278C3">
              <w:rPr>
                <w:b/>
              </w:rPr>
              <w:t>2011/12</w:t>
            </w:r>
          </w:p>
          <w:p w:rsidR="00453DAE" w:rsidRPr="004278C3" w:rsidRDefault="00453DAE" w:rsidP="004278C3">
            <w:pPr>
              <w:pStyle w:val="TableText"/>
              <w:rPr>
                <w:b/>
              </w:rPr>
            </w:pPr>
            <w:r w:rsidRPr="004278C3">
              <w:rPr>
                <w:b/>
              </w:rPr>
              <w:t>Actual</w:t>
            </w:r>
            <w:r w:rsidRPr="004278C3">
              <w:rPr>
                <w:b/>
              </w:rPr>
              <w:br/>
              <w:t>Standard</w:t>
            </w:r>
          </w:p>
        </w:tc>
        <w:tc>
          <w:tcPr>
            <w:tcW w:w="1730" w:type="dxa"/>
            <w:tcBorders>
              <w:bottom w:val="single" w:sz="4" w:space="0" w:color="FFFFFF"/>
            </w:tcBorders>
            <w:shd w:val="clear" w:color="auto" w:fill="DBE2D1"/>
          </w:tcPr>
          <w:p w:rsidR="00453DAE" w:rsidRPr="004278C3" w:rsidRDefault="00453DAE" w:rsidP="004278C3">
            <w:pPr>
              <w:pStyle w:val="TableText"/>
              <w:rPr>
                <w:b/>
              </w:rPr>
            </w:pPr>
            <w:r w:rsidRPr="004278C3">
              <w:rPr>
                <w:b/>
              </w:rPr>
              <w:t>2012/13</w:t>
            </w:r>
          </w:p>
          <w:p w:rsidR="00453DAE" w:rsidRPr="004278C3" w:rsidRDefault="00453DAE" w:rsidP="004278C3">
            <w:pPr>
              <w:pStyle w:val="TableText"/>
              <w:rPr>
                <w:b/>
              </w:rPr>
            </w:pPr>
            <w:r w:rsidRPr="004278C3">
              <w:rPr>
                <w:b/>
              </w:rPr>
              <w:t>Budgeted</w:t>
            </w:r>
            <w:r w:rsidRPr="004278C3">
              <w:rPr>
                <w:b/>
              </w:rPr>
              <w:br/>
              <w:t>Standard</w:t>
            </w:r>
          </w:p>
        </w:tc>
        <w:tc>
          <w:tcPr>
            <w:tcW w:w="1693" w:type="dxa"/>
            <w:tcBorders>
              <w:bottom w:val="single" w:sz="4" w:space="0" w:color="FFFFFF"/>
            </w:tcBorders>
            <w:shd w:val="clear" w:color="auto" w:fill="DBE2D1"/>
          </w:tcPr>
          <w:p w:rsidR="00453DAE" w:rsidRPr="004278C3" w:rsidRDefault="00453DAE" w:rsidP="004278C3">
            <w:pPr>
              <w:pStyle w:val="TableText"/>
              <w:rPr>
                <w:b/>
              </w:rPr>
            </w:pPr>
            <w:r w:rsidRPr="004278C3">
              <w:rPr>
                <w:b/>
              </w:rPr>
              <w:t>2012/13</w:t>
            </w:r>
          </w:p>
          <w:p w:rsidR="00453DAE" w:rsidRPr="004278C3" w:rsidRDefault="00453DAE" w:rsidP="004278C3">
            <w:pPr>
              <w:pStyle w:val="TableText"/>
              <w:rPr>
                <w:b/>
              </w:rPr>
            </w:pPr>
            <w:r w:rsidRPr="004278C3">
              <w:rPr>
                <w:b/>
              </w:rPr>
              <w:t>Actual</w:t>
            </w:r>
            <w:r w:rsidRPr="004278C3">
              <w:rPr>
                <w:b/>
              </w:rPr>
              <w:br/>
              <w:t>Standard</w:t>
            </w:r>
          </w:p>
        </w:tc>
      </w:tr>
      <w:tr w:rsidR="00453DAE" w:rsidRPr="00314E1F" w:rsidTr="009901AD">
        <w:tc>
          <w:tcPr>
            <w:tcW w:w="8959" w:type="dxa"/>
            <w:gridSpan w:val="4"/>
            <w:shd w:val="clear" w:color="auto" w:fill="EDF0E7"/>
          </w:tcPr>
          <w:p w:rsidR="00453DAE" w:rsidRPr="004278C3" w:rsidRDefault="00453DAE" w:rsidP="004278C3">
            <w:pPr>
              <w:pStyle w:val="TableText"/>
              <w:rPr>
                <w:b/>
              </w:rPr>
            </w:pPr>
            <w:r w:rsidRPr="004278C3">
              <w:rPr>
                <w:b/>
              </w:rPr>
              <w:t>Quantity</w:t>
            </w:r>
          </w:p>
        </w:tc>
      </w:tr>
      <w:tr w:rsidR="00453DAE" w:rsidRPr="0060013A" w:rsidTr="009901AD">
        <w:tc>
          <w:tcPr>
            <w:tcW w:w="3468" w:type="dxa"/>
            <w:shd w:val="clear" w:color="auto" w:fill="EDF0E7"/>
          </w:tcPr>
          <w:p w:rsidR="00453DAE" w:rsidRPr="00314E1F" w:rsidRDefault="00453DAE" w:rsidP="004103B0">
            <w:pPr>
              <w:pStyle w:val="TableTextAppendices"/>
            </w:pPr>
            <w:r>
              <w:t>Numbers of secondary-tertiary programme places purchased</w:t>
            </w:r>
          </w:p>
        </w:tc>
        <w:tc>
          <w:tcPr>
            <w:tcW w:w="2068" w:type="dxa"/>
            <w:shd w:val="clear" w:color="auto" w:fill="EDF0E7"/>
          </w:tcPr>
          <w:p w:rsidR="00453DAE" w:rsidRPr="00314E1F" w:rsidRDefault="00453DAE" w:rsidP="004103B0">
            <w:pPr>
              <w:pStyle w:val="TableTextAppendices"/>
            </w:pPr>
            <w:r>
              <w:t>n/a</w:t>
            </w:r>
            <w:r w:rsidR="008429FD">
              <w:t xml:space="preserve"> – programme</w:t>
            </w:r>
            <w:r w:rsidR="007C0332">
              <w:t xml:space="preserve"> appropriation</w:t>
            </w:r>
            <w:r w:rsidR="008429FD">
              <w:t xml:space="preserve"> began in January 2013.</w:t>
            </w:r>
          </w:p>
        </w:tc>
        <w:tc>
          <w:tcPr>
            <w:tcW w:w="1730" w:type="dxa"/>
            <w:shd w:val="clear" w:color="auto" w:fill="EDF0E7"/>
          </w:tcPr>
          <w:p w:rsidR="00453DAE" w:rsidRPr="00314E1F" w:rsidRDefault="00453DAE" w:rsidP="004103B0">
            <w:pPr>
              <w:pStyle w:val="TableTextAppendices"/>
            </w:pPr>
            <w:r>
              <w:t>3,700 places in 2013</w:t>
            </w:r>
          </w:p>
        </w:tc>
        <w:tc>
          <w:tcPr>
            <w:tcW w:w="1693" w:type="dxa"/>
            <w:shd w:val="clear" w:color="auto" w:fill="EDF0E7"/>
          </w:tcPr>
          <w:p w:rsidR="00453DAE" w:rsidRPr="00314E1F" w:rsidRDefault="007C0332" w:rsidP="004103B0">
            <w:pPr>
              <w:pStyle w:val="TableTextAppendices"/>
            </w:pPr>
            <w:r>
              <w:t>3,367 places as at mid-2013.</w:t>
            </w:r>
          </w:p>
        </w:tc>
      </w:tr>
    </w:tbl>
    <w:p w:rsidR="00453DAE" w:rsidRPr="00A75772" w:rsidRDefault="00453DAE" w:rsidP="00A75772">
      <w:pPr>
        <w:pStyle w:val="TableFootnote"/>
        <w:spacing w:after="40"/>
        <w:rPr>
          <w:bCs w:val="0"/>
          <w:highlight w:val="yellow"/>
        </w:rPr>
      </w:pPr>
    </w:p>
    <w:p w:rsidR="00453DAE" w:rsidRPr="0029150A" w:rsidRDefault="00F67898" w:rsidP="00453DAE">
      <w:pPr>
        <w:pStyle w:val="Heading4"/>
      </w:pPr>
      <w:r>
        <w:rPr>
          <w:szCs w:val="22"/>
        </w:rPr>
        <w:t>Service Performance</w:t>
      </w:r>
      <w:r w:rsidR="00453DAE" w:rsidRPr="0029150A">
        <w:t xml:space="preserve"> </w:t>
      </w:r>
      <w:r w:rsidR="00E0656F">
        <w:rPr>
          <w:rFonts w:cs="Arial"/>
        </w:rPr>
        <w:t>―</w:t>
      </w:r>
      <w:r w:rsidR="00453DAE" w:rsidRPr="0029150A">
        <w:t xml:space="preserve"> Financial</w:t>
      </w:r>
    </w:p>
    <w:tbl>
      <w:tblPr>
        <w:tblW w:w="895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E8F1"/>
        <w:tblLook w:val="01E0"/>
      </w:tblPr>
      <w:tblGrid>
        <w:gridCol w:w="2549"/>
        <w:gridCol w:w="1604"/>
        <w:gridCol w:w="1604"/>
        <w:gridCol w:w="1604"/>
        <w:gridCol w:w="1598"/>
      </w:tblGrid>
      <w:tr w:rsidR="00453DAE" w:rsidRPr="0060013A" w:rsidTr="009901AD">
        <w:trPr>
          <w:trHeight w:val="428"/>
        </w:trPr>
        <w:tc>
          <w:tcPr>
            <w:tcW w:w="1423" w:type="pct"/>
            <w:tcBorders>
              <w:bottom w:val="single" w:sz="4" w:space="0" w:color="FFFFFF"/>
            </w:tcBorders>
            <w:shd w:val="clear" w:color="auto" w:fill="DBE2D1"/>
          </w:tcPr>
          <w:p w:rsidR="00453DAE" w:rsidRPr="004278C3" w:rsidRDefault="00453DAE" w:rsidP="004278C3">
            <w:pPr>
              <w:pStyle w:val="TableText"/>
              <w:rPr>
                <w:b/>
              </w:rPr>
            </w:pPr>
            <w:r w:rsidRPr="004278C3">
              <w:rPr>
                <w:b/>
              </w:rPr>
              <w:t>Expenses</w:t>
            </w:r>
          </w:p>
        </w:tc>
        <w:tc>
          <w:tcPr>
            <w:tcW w:w="895" w:type="pct"/>
            <w:tcBorders>
              <w:bottom w:val="single" w:sz="4" w:space="0" w:color="FFFFFF"/>
            </w:tcBorders>
            <w:shd w:val="clear" w:color="auto" w:fill="DBE2D1"/>
          </w:tcPr>
          <w:p w:rsidR="00453DAE" w:rsidRPr="003731AA" w:rsidRDefault="00453DAE" w:rsidP="003731AA">
            <w:pPr>
              <w:pStyle w:val="TableTextAppendices"/>
              <w:jc w:val="center"/>
              <w:rPr>
                <w:b/>
              </w:rPr>
            </w:pPr>
            <w:r w:rsidRPr="003731AA">
              <w:rPr>
                <w:b/>
              </w:rPr>
              <w:t>2011/12</w:t>
            </w:r>
          </w:p>
          <w:p w:rsidR="00453DAE" w:rsidRPr="003731AA" w:rsidRDefault="00453DAE" w:rsidP="003731AA">
            <w:pPr>
              <w:pStyle w:val="TableTextAppendices"/>
              <w:jc w:val="center"/>
              <w:rPr>
                <w:b/>
              </w:rPr>
            </w:pPr>
            <w:r w:rsidRPr="003731AA">
              <w:rPr>
                <w:b/>
              </w:rPr>
              <w:t>Actual</w:t>
            </w:r>
            <w:r w:rsidRPr="003731AA">
              <w:rPr>
                <w:b/>
              </w:rPr>
              <w:br/>
            </w:r>
            <w:r w:rsidRPr="003731AA">
              <w:rPr>
                <w:b/>
              </w:rPr>
              <w:br/>
              <w:t>$000</w:t>
            </w:r>
          </w:p>
        </w:tc>
        <w:tc>
          <w:tcPr>
            <w:tcW w:w="895" w:type="pct"/>
            <w:tcBorders>
              <w:bottom w:val="single" w:sz="4" w:space="0" w:color="FFFFFF"/>
            </w:tcBorders>
            <w:shd w:val="clear" w:color="auto" w:fill="DBE2D1"/>
          </w:tcPr>
          <w:p w:rsidR="00453DAE" w:rsidRPr="003731AA" w:rsidRDefault="00453DAE" w:rsidP="003731AA">
            <w:pPr>
              <w:pStyle w:val="TableTextAppendices"/>
              <w:jc w:val="center"/>
              <w:rPr>
                <w:b/>
              </w:rPr>
            </w:pPr>
            <w:r w:rsidRPr="003731AA">
              <w:rPr>
                <w:b/>
              </w:rPr>
              <w:t>2012/13</w:t>
            </w:r>
          </w:p>
          <w:p w:rsidR="00453DAE" w:rsidRPr="003731AA" w:rsidRDefault="00453DAE" w:rsidP="003731AA">
            <w:pPr>
              <w:pStyle w:val="TableTextAppendices"/>
              <w:jc w:val="center"/>
              <w:rPr>
                <w:b/>
              </w:rPr>
            </w:pPr>
            <w:r w:rsidRPr="003731AA">
              <w:rPr>
                <w:b/>
              </w:rPr>
              <w:t>Estimates</w:t>
            </w:r>
            <w:r w:rsidRPr="003731AA">
              <w:rPr>
                <w:b/>
              </w:rPr>
              <w:br/>
            </w:r>
            <w:r w:rsidRPr="003731AA">
              <w:rPr>
                <w:b/>
              </w:rPr>
              <w:br/>
              <w:t>$000</w:t>
            </w:r>
          </w:p>
        </w:tc>
        <w:tc>
          <w:tcPr>
            <w:tcW w:w="895" w:type="pct"/>
            <w:tcBorders>
              <w:bottom w:val="single" w:sz="4" w:space="0" w:color="FFFFFF"/>
            </w:tcBorders>
            <w:shd w:val="clear" w:color="auto" w:fill="DBE2D1"/>
          </w:tcPr>
          <w:p w:rsidR="00453DAE" w:rsidRPr="003731AA" w:rsidRDefault="00453DAE" w:rsidP="003731AA">
            <w:pPr>
              <w:pStyle w:val="TableTextAppendices"/>
              <w:jc w:val="center"/>
              <w:rPr>
                <w:b/>
              </w:rPr>
            </w:pPr>
            <w:r w:rsidRPr="003731AA">
              <w:rPr>
                <w:b/>
              </w:rPr>
              <w:t>2012/13</w:t>
            </w:r>
          </w:p>
          <w:p w:rsidR="00453DAE" w:rsidRPr="003731AA" w:rsidRDefault="00453DAE" w:rsidP="003731AA">
            <w:pPr>
              <w:pStyle w:val="TableTextAppendices"/>
              <w:jc w:val="center"/>
              <w:rPr>
                <w:b/>
              </w:rPr>
            </w:pPr>
            <w:r w:rsidRPr="003731AA">
              <w:rPr>
                <w:b/>
              </w:rPr>
              <w:t>Supp Estimates</w:t>
            </w:r>
            <w:r w:rsidRPr="003731AA">
              <w:rPr>
                <w:b/>
              </w:rPr>
              <w:br/>
            </w:r>
            <w:r w:rsidRPr="003731AA">
              <w:rPr>
                <w:b/>
              </w:rPr>
              <w:br/>
              <w:t>$000</w:t>
            </w:r>
          </w:p>
        </w:tc>
        <w:tc>
          <w:tcPr>
            <w:tcW w:w="892" w:type="pct"/>
            <w:tcBorders>
              <w:bottom w:val="single" w:sz="4" w:space="0" w:color="FFFFFF"/>
            </w:tcBorders>
            <w:shd w:val="clear" w:color="auto" w:fill="DBE2D1"/>
          </w:tcPr>
          <w:p w:rsidR="00453DAE" w:rsidRPr="003731AA" w:rsidRDefault="00453DAE" w:rsidP="003731AA">
            <w:pPr>
              <w:pStyle w:val="TableTextAppendices"/>
              <w:jc w:val="center"/>
              <w:rPr>
                <w:b/>
              </w:rPr>
            </w:pPr>
            <w:r w:rsidRPr="003731AA">
              <w:rPr>
                <w:b/>
              </w:rPr>
              <w:t>2012/13</w:t>
            </w:r>
          </w:p>
          <w:p w:rsidR="00453DAE" w:rsidRPr="003731AA" w:rsidRDefault="00453DAE" w:rsidP="003731AA">
            <w:pPr>
              <w:pStyle w:val="TableTextAppendices"/>
              <w:jc w:val="center"/>
              <w:rPr>
                <w:b/>
              </w:rPr>
            </w:pPr>
            <w:r w:rsidRPr="003731AA">
              <w:rPr>
                <w:b/>
              </w:rPr>
              <w:t>Actual</w:t>
            </w:r>
            <w:r w:rsidRPr="003731AA">
              <w:rPr>
                <w:b/>
              </w:rPr>
              <w:br/>
            </w:r>
            <w:r w:rsidRPr="003731AA">
              <w:rPr>
                <w:b/>
              </w:rPr>
              <w:br/>
              <w:t>$000</w:t>
            </w:r>
          </w:p>
        </w:tc>
      </w:tr>
      <w:tr w:rsidR="00453DAE" w:rsidRPr="0060013A" w:rsidTr="009901AD">
        <w:tc>
          <w:tcPr>
            <w:tcW w:w="1423" w:type="pct"/>
            <w:shd w:val="clear" w:color="auto" w:fill="EDF0E7"/>
          </w:tcPr>
          <w:p w:rsidR="00453DAE" w:rsidRPr="0029150A" w:rsidRDefault="00453DAE" w:rsidP="004103B0">
            <w:pPr>
              <w:pStyle w:val="TableTextAppendices"/>
            </w:pPr>
            <w:r w:rsidRPr="0029150A">
              <w:t>Total Appropriation</w:t>
            </w:r>
          </w:p>
        </w:tc>
        <w:tc>
          <w:tcPr>
            <w:tcW w:w="895" w:type="pct"/>
            <w:shd w:val="clear" w:color="auto" w:fill="EDF0E7"/>
          </w:tcPr>
          <w:p w:rsidR="00453DAE" w:rsidRPr="0029150A" w:rsidRDefault="00453DAE" w:rsidP="00DE2AF5">
            <w:pPr>
              <w:pStyle w:val="TableTextAppendices"/>
              <w:jc w:val="right"/>
            </w:pPr>
            <w:r>
              <w:t>n/a</w:t>
            </w:r>
          </w:p>
        </w:tc>
        <w:tc>
          <w:tcPr>
            <w:tcW w:w="895" w:type="pct"/>
            <w:shd w:val="clear" w:color="auto" w:fill="EDF0E7"/>
          </w:tcPr>
          <w:p w:rsidR="00453DAE" w:rsidRPr="0029150A" w:rsidRDefault="00453DAE" w:rsidP="00DE2AF5">
            <w:pPr>
              <w:pStyle w:val="TableTextAppendices"/>
              <w:jc w:val="right"/>
            </w:pPr>
            <w:r>
              <w:t>n/a</w:t>
            </w:r>
          </w:p>
        </w:tc>
        <w:tc>
          <w:tcPr>
            <w:tcW w:w="895" w:type="pct"/>
            <w:shd w:val="clear" w:color="auto" w:fill="EDF0E7"/>
          </w:tcPr>
          <w:p w:rsidR="00453DAE" w:rsidRPr="0029150A" w:rsidRDefault="00453DAE" w:rsidP="00DE2AF5">
            <w:pPr>
              <w:pStyle w:val="TableTextAppendices"/>
              <w:jc w:val="right"/>
            </w:pPr>
            <w:r>
              <w:t>23,046</w:t>
            </w:r>
          </w:p>
        </w:tc>
        <w:tc>
          <w:tcPr>
            <w:tcW w:w="892" w:type="pct"/>
            <w:shd w:val="clear" w:color="auto" w:fill="EDF0E7"/>
          </w:tcPr>
          <w:p w:rsidR="00453DAE" w:rsidRPr="008429FD" w:rsidRDefault="008429FD" w:rsidP="00DE2AF5">
            <w:pPr>
              <w:pStyle w:val="TableTextAppendices"/>
              <w:jc w:val="right"/>
            </w:pPr>
            <w:r w:rsidRPr="008429FD">
              <w:t>20,150</w:t>
            </w:r>
          </w:p>
        </w:tc>
      </w:tr>
      <w:tr w:rsidR="00453DAE" w:rsidRPr="0060013A" w:rsidTr="009901AD">
        <w:tc>
          <w:tcPr>
            <w:tcW w:w="1423" w:type="pct"/>
            <w:shd w:val="clear" w:color="auto" w:fill="EDF0E7"/>
          </w:tcPr>
          <w:p w:rsidR="00453DAE" w:rsidRPr="0029150A" w:rsidRDefault="00453DAE" w:rsidP="004103B0">
            <w:pPr>
              <w:pStyle w:val="TableTextAppendices"/>
            </w:pPr>
            <w:r>
              <w:t>Schools</w:t>
            </w:r>
          </w:p>
        </w:tc>
        <w:tc>
          <w:tcPr>
            <w:tcW w:w="895" w:type="pct"/>
            <w:shd w:val="clear" w:color="auto" w:fill="EDF0E7"/>
          </w:tcPr>
          <w:p w:rsidR="00453DAE" w:rsidRPr="0029150A" w:rsidRDefault="00453DAE" w:rsidP="00DE2AF5">
            <w:pPr>
              <w:pStyle w:val="TableTextAppendices"/>
              <w:jc w:val="right"/>
            </w:pPr>
            <w:r>
              <w:t>n/a</w:t>
            </w:r>
          </w:p>
        </w:tc>
        <w:tc>
          <w:tcPr>
            <w:tcW w:w="895" w:type="pct"/>
            <w:shd w:val="clear" w:color="auto" w:fill="EDF0E7"/>
          </w:tcPr>
          <w:p w:rsidR="00453DAE" w:rsidRPr="0029150A" w:rsidRDefault="00453DAE" w:rsidP="00DE2AF5">
            <w:pPr>
              <w:pStyle w:val="TableTextAppendices"/>
              <w:jc w:val="right"/>
            </w:pPr>
            <w:r>
              <w:t>n/a</w:t>
            </w:r>
          </w:p>
        </w:tc>
        <w:tc>
          <w:tcPr>
            <w:tcW w:w="895" w:type="pct"/>
            <w:shd w:val="clear" w:color="auto" w:fill="EDF0E7"/>
          </w:tcPr>
          <w:p w:rsidR="00453DAE" w:rsidRPr="0029150A" w:rsidRDefault="00453DAE" w:rsidP="00DE2AF5">
            <w:pPr>
              <w:pStyle w:val="TableTextAppendices"/>
              <w:jc w:val="right"/>
            </w:pPr>
            <w:r>
              <w:t>16,137</w:t>
            </w:r>
          </w:p>
        </w:tc>
        <w:tc>
          <w:tcPr>
            <w:tcW w:w="892" w:type="pct"/>
            <w:shd w:val="clear" w:color="auto" w:fill="EDF0E7"/>
          </w:tcPr>
          <w:p w:rsidR="00453DAE" w:rsidRPr="008429FD" w:rsidRDefault="008429FD" w:rsidP="00DE2AF5">
            <w:pPr>
              <w:pStyle w:val="TableTextAppendices"/>
              <w:jc w:val="right"/>
            </w:pPr>
            <w:r w:rsidRPr="008429FD">
              <w:t>13,241</w:t>
            </w:r>
          </w:p>
        </w:tc>
      </w:tr>
      <w:tr w:rsidR="00453DAE" w:rsidRPr="0060013A" w:rsidTr="009901AD">
        <w:tc>
          <w:tcPr>
            <w:tcW w:w="1423" w:type="pct"/>
            <w:shd w:val="clear" w:color="auto" w:fill="EDF0E7"/>
          </w:tcPr>
          <w:p w:rsidR="00453DAE" w:rsidRPr="0029150A" w:rsidRDefault="00453DAE" w:rsidP="004103B0">
            <w:pPr>
              <w:pStyle w:val="TableTextAppendices"/>
            </w:pPr>
            <w:r>
              <w:t>Tertiary Education Commission</w:t>
            </w:r>
          </w:p>
        </w:tc>
        <w:tc>
          <w:tcPr>
            <w:tcW w:w="895" w:type="pct"/>
            <w:shd w:val="clear" w:color="auto" w:fill="EDF0E7"/>
          </w:tcPr>
          <w:p w:rsidR="00453DAE" w:rsidRPr="0029150A" w:rsidRDefault="00453DAE" w:rsidP="00DE2AF5">
            <w:pPr>
              <w:pStyle w:val="TableTextAppendices"/>
              <w:jc w:val="right"/>
            </w:pPr>
            <w:r>
              <w:t>n/a</w:t>
            </w:r>
          </w:p>
        </w:tc>
        <w:tc>
          <w:tcPr>
            <w:tcW w:w="895" w:type="pct"/>
            <w:shd w:val="clear" w:color="auto" w:fill="EDF0E7"/>
          </w:tcPr>
          <w:p w:rsidR="00453DAE" w:rsidRPr="0029150A" w:rsidRDefault="00453DAE" w:rsidP="00DE2AF5">
            <w:pPr>
              <w:pStyle w:val="TableTextAppendices"/>
              <w:jc w:val="right"/>
            </w:pPr>
            <w:r>
              <w:t>n/a</w:t>
            </w:r>
          </w:p>
        </w:tc>
        <w:tc>
          <w:tcPr>
            <w:tcW w:w="895" w:type="pct"/>
            <w:shd w:val="clear" w:color="auto" w:fill="EDF0E7"/>
          </w:tcPr>
          <w:p w:rsidR="00453DAE" w:rsidRPr="0029150A" w:rsidRDefault="00453DAE" w:rsidP="00DE2AF5">
            <w:pPr>
              <w:pStyle w:val="TableTextAppendices"/>
              <w:jc w:val="right"/>
            </w:pPr>
            <w:r>
              <w:t>6,909</w:t>
            </w:r>
          </w:p>
        </w:tc>
        <w:tc>
          <w:tcPr>
            <w:tcW w:w="892" w:type="pct"/>
            <w:shd w:val="clear" w:color="auto" w:fill="EDF0E7"/>
          </w:tcPr>
          <w:p w:rsidR="00453DAE" w:rsidRPr="008429FD" w:rsidRDefault="008429FD" w:rsidP="00DE2AF5">
            <w:pPr>
              <w:pStyle w:val="TableTextAppendices"/>
              <w:jc w:val="right"/>
            </w:pPr>
            <w:r w:rsidRPr="008429FD">
              <w:t>6,909</w:t>
            </w:r>
          </w:p>
        </w:tc>
      </w:tr>
    </w:tbl>
    <w:p w:rsidR="00453DAE" w:rsidRPr="00A75772" w:rsidRDefault="00453DAE" w:rsidP="00A75772">
      <w:pPr>
        <w:pStyle w:val="TableFootnote"/>
        <w:spacing w:after="40"/>
        <w:rPr>
          <w:bCs w:val="0"/>
          <w:highlight w:val="yellow"/>
        </w:rPr>
      </w:pPr>
    </w:p>
    <w:p w:rsidR="00453DAE" w:rsidRDefault="00453DAE" w:rsidP="00453DAE">
      <w:r>
        <w:t>This appropriation was established from 1 January 2013 through transfers from non-departmental other expense Secondary Education, and Vote Tertiary Education non-departmental output expense Tertiary Education Grant</w:t>
      </w:r>
      <w:r w:rsidR="00DE2AF5">
        <w:t>s</w:t>
      </w:r>
      <w:r>
        <w:t xml:space="preserve"> and Other Funding to implement a single cash-based resourcing model for secondary-tertiary programmes that will better </w:t>
      </w:r>
      <w:r w:rsidR="00D53436">
        <w:t>enable funding to follow student</w:t>
      </w:r>
      <w:r>
        <w:t>s.</w:t>
      </w:r>
    </w:p>
    <w:p w:rsidR="007B3EA5" w:rsidRDefault="007B3EA5" w:rsidP="007B3EA5">
      <w:pPr>
        <w:pStyle w:val="BodyTextBulletslast"/>
        <w:numPr>
          <w:ilvl w:val="0"/>
          <w:numId w:val="0"/>
        </w:numPr>
      </w:pPr>
      <w:r>
        <w:t>The initial level of demand for the programme was slightly lower than anticipated resulting in some under-utilised places.</w:t>
      </w:r>
    </w:p>
    <w:p w:rsidR="00A75772" w:rsidRDefault="00A75772" w:rsidP="009013E0">
      <w:pPr>
        <w:pStyle w:val="BodyText"/>
        <w:rPr>
          <w:highlight w:val="yellow"/>
        </w:rPr>
      </w:pPr>
    </w:p>
    <w:p w:rsidR="00A75772" w:rsidRPr="0060013A" w:rsidRDefault="00A75772" w:rsidP="009013E0">
      <w:pPr>
        <w:pStyle w:val="BodyText"/>
        <w:rPr>
          <w:highlight w:val="yellow"/>
        </w:rPr>
        <w:sectPr w:rsidR="00A75772" w:rsidRPr="0060013A" w:rsidSect="00E85C6B">
          <w:headerReference w:type="even" r:id="rId75"/>
          <w:headerReference w:type="default" r:id="rId76"/>
          <w:pgSz w:w="11906" w:h="16838"/>
          <w:pgMar w:top="1701" w:right="1361" w:bottom="1134" w:left="1701" w:header="709" w:footer="709" w:gutter="0"/>
          <w:cols w:space="567"/>
          <w:docGrid w:linePitch="360"/>
        </w:sectPr>
      </w:pPr>
    </w:p>
    <w:p w:rsidR="00FE03F2" w:rsidRPr="00202800" w:rsidRDefault="00FE03F2" w:rsidP="00FE03F2">
      <w:pPr>
        <w:pStyle w:val="Heading1"/>
      </w:pPr>
      <w:bookmarkStart w:id="275" w:name="_Toc367361666"/>
      <w:bookmarkEnd w:id="267"/>
      <w:r w:rsidRPr="00202800">
        <w:t>References</w:t>
      </w:r>
      <w:bookmarkEnd w:id="275"/>
    </w:p>
    <w:p w:rsidR="00FE03F2" w:rsidRDefault="00FE03F2" w:rsidP="00B7404E">
      <w:pPr>
        <w:pStyle w:val="References"/>
      </w:pPr>
      <w:r>
        <w:t>Alton-Lee, A. (2003). Quality teaching for diverse students in schooling: best evidence synthesis. Wellington: Ministry of Education.</w:t>
      </w:r>
    </w:p>
    <w:p w:rsidR="00FE03F2" w:rsidRDefault="00FE03F2" w:rsidP="00B7404E">
      <w:pPr>
        <w:pStyle w:val="References"/>
      </w:pPr>
      <w:r>
        <w:t xml:space="preserve">Benseman, J., Sutton, A., &amp; Lander, J. (2005). </w:t>
      </w:r>
      <w:r w:rsidRPr="00235FD2">
        <w:rPr>
          <w:i/>
          <w:iCs/>
        </w:rPr>
        <w:t>Working in the light of evidence as well as aspiration: a literature review of the best available evidence about effective adult literacy, numeracy and language teaching</w:t>
      </w:r>
      <w:r>
        <w:t>. Report prepared for the Ministry of Education. Auckland: Auckland Uniservices Ltd.</w:t>
      </w:r>
    </w:p>
    <w:p w:rsidR="00FE03F2" w:rsidRDefault="00FE03F2" w:rsidP="00B7404E">
      <w:pPr>
        <w:pStyle w:val="References"/>
      </w:pPr>
      <w:r>
        <w:t xml:space="preserve">Biddulph, J. (1983). </w:t>
      </w:r>
      <w:r w:rsidRPr="00235FD2">
        <w:rPr>
          <w:i/>
        </w:rPr>
        <w:t>A group programme to train parents of children with reading difficulties to tutor their children at home</w:t>
      </w:r>
      <w:r>
        <w:t>. MA research report: University of Canterbury, Christchurch.</w:t>
      </w:r>
    </w:p>
    <w:p w:rsidR="00FE03F2" w:rsidRPr="00EE2F70" w:rsidRDefault="00FE03F2" w:rsidP="00B7404E">
      <w:pPr>
        <w:pStyle w:val="References"/>
      </w:pPr>
      <w:r>
        <w:t xml:space="preserve">Biddulph, J. &amp; Tuck, B. (1983). </w:t>
      </w:r>
      <w:r>
        <w:rPr>
          <w:i/>
        </w:rPr>
        <w:t xml:space="preserve">Assisting parents to help their children with reading at home. </w:t>
      </w:r>
      <w:r>
        <w:t>Paper presented to the New Zealand Association for Research in Education: Wellington.</w:t>
      </w:r>
    </w:p>
    <w:p w:rsidR="00FE03F2" w:rsidRDefault="00FE03F2" w:rsidP="00B7404E">
      <w:pPr>
        <w:pStyle w:val="References"/>
      </w:pPr>
      <w:r>
        <w:t xml:space="preserve">Bishop, R., Berryman, M., Wearmouth, J., Peter, M., &amp; Clapham, S. (2012). </w:t>
      </w:r>
      <w:r w:rsidRPr="00235FD2">
        <w:rPr>
          <w:i/>
        </w:rPr>
        <w:t xml:space="preserve">A summary of Te Kotahitanga: maintaining, replicating and sustaining change in </w:t>
      </w:r>
      <w:r w:rsidR="00E0656F">
        <w:rPr>
          <w:i/>
        </w:rPr>
        <w:t>p</w:t>
      </w:r>
      <w:r w:rsidRPr="00235FD2">
        <w:rPr>
          <w:i/>
        </w:rPr>
        <w:t>hase 3 and 4 schools: 2007</w:t>
      </w:r>
      <w:r w:rsidR="00E0656F">
        <w:rPr>
          <w:rFonts w:cs="Arial"/>
          <w:i/>
        </w:rPr>
        <w:t>–</w:t>
      </w:r>
      <w:r w:rsidRPr="00235FD2">
        <w:rPr>
          <w:i/>
        </w:rPr>
        <w:t>2010</w:t>
      </w:r>
      <w:r w:rsidRPr="007C70A4">
        <w:t xml:space="preserve">. </w:t>
      </w:r>
      <w:r>
        <w:t>Wellington: Ministry of Education.</w:t>
      </w:r>
    </w:p>
    <w:p w:rsidR="00FE03F2" w:rsidRDefault="00FE03F2" w:rsidP="00B7404E">
      <w:pPr>
        <w:pStyle w:val="References"/>
        <w:rPr>
          <w:rFonts w:cs="Arial"/>
        </w:rPr>
      </w:pPr>
      <w:r>
        <w:rPr>
          <w:rFonts w:cs="Arial"/>
        </w:rPr>
        <w:t xml:space="preserve">Caygill, R., Kirkham, S., &amp; Marshall, N. (2013a). </w:t>
      </w:r>
      <w:r w:rsidRPr="00235FD2">
        <w:rPr>
          <w:i/>
        </w:rPr>
        <w:t>Year 5 students’ mathematics achievement in 2010/11: New Zealand results from the Trends in International Mathematics and Science Study (TIMSS)</w:t>
      </w:r>
      <w:r w:rsidRPr="007C70A4">
        <w:t xml:space="preserve">. </w:t>
      </w:r>
      <w:r>
        <w:rPr>
          <w:rFonts w:cs="Arial"/>
        </w:rPr>
        <w:t>Wellington: Ministry of Education.</w:t>
      </w:r>
    </w:p>
    <w:p w:rsidR="00FE03F2" w:rsidRDefault="00FE03F2" w:rsidP="00B7404E">
      <w:pPr>
        <w:pStyle w:val="References"/>
        <w:rPr>
          <w:rFonts w:cs="Arial"/>
        </w:rPr>
      </w:pPr>
      <w:r>
        <w:rPr>
          <w:rFonts w:cs="Arial"/>
        </w:rPr>
        <w:t xml:space="preserve">Caygill, R., Kirkham, S., &amp; Marshall, N. (2013b). </w:t>
      </w:r>
      <w:r w:rsidRPr="00B7404E">
        <w:rPr>
          <w:i/>
        </w:rPr>
        <w:t>Year 5 students’ science achievement in 2010/11: New Zealand results from the Trends in International Mathematics and Science Study (TIMSS)</w:t>
      </w:r>
      <w:r w:rsidRPr="007C70A4">
        <w:t xml:space="preserve">. </w:t>
      </w:r>
      <w:r>
        <w:rPr>
          <w:rFonts w:cs="Arial"/>
        </w:rPr>
        <w:t>Wellington: Ministry of Education.</w:t>
      </w:r>
    </w:p>
    <w:p w:rsidR="00FE03F2" w:rsidRDefault="00FE03F2" w:rsidP="00B7404E">
      <w:pPr>
        <w:pStyle w:val="References"/>
        <w:rPr>
          <w:rFonts w:cs="Arial"/>
        </w:rPr>
      </w:pPr>
      <w:r>
        <w:rPr>
          <w:rFonts w:cs="Arial"/>
        </w:rPr>
        <w:t xml:space="preserve">Caygill, R., Kirkham, S., &amp; Marshall, N. (2013c). </w:t>
      </w:r>
      <w:r w:rsidRPr="00B7404E">
        <w:rPr>
          <w:i/>
        </w:rPr>
        <w:t>Year 9 students’ mathematics achievement in 2010/11: New Zealand results from the Trends in International Mathematics and Science Study (TIMSS)</w:t>
      </w:r>
      <w:r w:rsidRPr="007C70A4">
        <w:t xml:space="preserve">. </w:t>
      </w:r>
      <w:r>
        <w:rPr>
          <w:rFonts w:cs="Arial"/>
        </w:rPr>
        <w:t>Wellington: Ministry of Education.</w:t>
      </w:r>
    </w:p>
    <w:p w:rsidR="00FE03F2" w:rsidRDefault="00FE03F2" w:rsidP="00B7404E">
      <w:pPr>
        <w:pStyle w:val="References"/>
        <w:rPr>
          <w:rFonts w:cs="Arial"/>
        </w:rPr>
      </w:pPr>
      <w:r>
        <w:rPr>
          <w:rFonts w:cs="Arial"/>
        </w:rPr>
        <w:t xml:space="preserve">Caygill, R., Kirkham, S., &amp; Marshall, N. (2013d). </w:t>
      </w:r>
      <w:r w:rsidRPr="00B7404E">
        <w:rPr>
          <w:i/>
        </w:rPr>
        <w:t>Year 9 students’ science achievement in 2010/11: New Zealand results from the Trends in International Mathematics and Science Study (TIMSS)</w:t>
      </w:r>
      <w:r w:rsidRPr="007C70A4">
        <w:t xml:space="preserve">. </w:t>
      </w:r>
      <w:r>
        <w:rPr>
          <w:rFonts w:cs="Arial"/>
        </w:rPr>
        <w:t>Wellington: Ministry of Education.</w:t>
      </w:r>
    </w:p>
    <w:p w:rsidR="00FE03F2" w:rsidRDefault="00FE03F2" w:rsidP="00B7404E">
      <w:pPr>
        <w:pStyle w:val="References"/>
        <w:rPr>
          <w:rFonts w:cs="Arial"/>
        </w:rPr>
      </w:pPr>
      <w:r>
        <w:rPr>
          <w:rFonts w:cs="Arial"/>
        </w:rPr>
        <w:t xml:space="preserve">Chamberlain, M. (2013). </w:t>
      </w:r>
      <w:r w:rsidRPr="007C70A4">
        <w:t xml:space="preserve">PIRLS 2010/11 in New Zealand: </w:t>
      </w:r>
      <w:r w:rsidRPr="00B7404E">
        <w:rPr>
          <w:i/>
        </w:rPr>
        <w:t>An overview of findings from the third cycle of the Progress in International Reading Literacy Study (PIRLS)</w:t>
      </w:r>
      <w:r w:rsidRPr="007C70A4">
        <w:t>.</w:t>
      </w:r>
      <w:r>
        <w:rPr>
          <w:rFonts w:cs="Arial"/>
        </w:rPr>
        <w:t xml:space="preserve"> Wellington: Ministry of Education.</w:t>
      </w:r>
    </w:p>
    <w:p w:rsidR="00FE03F2" w:rsidRDefault="00FE03F2" w:rsidP="00B7404E">
      <w:pPr>
        <w:pStyle w:val="References"/>
      </w:pPr>
      <w:r w:rsidRPr="0040442B">
        <w:t>Chamberlain, M.</w:t>
      </w:r>
      <w:r>
        <w:t>,</w:t>
      </w:r>
      <w:r w:rsidRPr="0040442B">
        <w:t xml:space="preserve"> &amp; Caygill, R. (2013). </w:t>
      </w:r>
      <w:r w:rsidRPr="00B7404E">
        <w:rPr>
          <w:i/>
        </w:rPr>
        <w:t>Key findings from New Zealand’s participation in the Progress in International Reading Literacy Study (PIRLS) and Trends in International Mathematics and Science Study (TIMSS) in 2010/11</w:t>
      </w:r>
      <w:r w:rsidRPr="0040442B">
        <w:t>. Wellington: Ministry of Education.</w:t>
      </w:r>
    </w:p>
    <w:p w:rsidR="00FE03F2" w:rsidRPr="0078137D" w:rsidRDefault="00FE03F2" w:rsidP="00B7404E">
      <w:pPr>
        <w:pStyle w:val="References"/>
      </w:pPr>
      <w:r>
        <w:t xml:space="preserve">Clark, T.C., Fleming, T., Bullen, P., Crengle, S., Denny, S., Dyson, B., Utter, J., &amp; The Adolescent Health Group (2013). </w:t>
      </w:r>
      <w:r w:rsidRPr="00B7404E">
        <w:rPr>
          <w:i/>
        </w:rPr>
        <w:t>The Health and Wellbeing of New Zealand Secondary School Students: Prevalence Tables from the Youth’12 National Youth Health and Wellbeing Survey</w:t>
      </w:r>
      <w:r w:rsidRPr="007C70A4">
        <w:t xml:space="preserve">. </w:t>
      </w:r>
      <w:r>
        <w:t>Auckland: The University of Auckland.</w:t>
      </w:r>
    </w:p>
    <w:p w:rsidR="00FE03F2" w:rsidRDefault="00FE03F2" w:rsidP="00B7404E">
      <w:pPr>
        <w:pStyle w:val="References"/>
      </w:pPr>
      <w:r>
        <w:t xml:space="preserve">Cowie, B., McGee, C., Peter, M., Taylor, M., &amp; Chen, J. (2012). </w:t>
      </w:r>
      <w:r w:rsidRPr="007C70A4">
        <w:rPr>
          <w:i/>
          <w:iCs/>
        </w:rPr>
        <w:t>Evaluation of Literacy and Mathematics Additional Learning Programmes for Students 2011</w:t>
      </w:r>
      <w:r>
        <w:t>. Wellington: Ministry of Education.</w:t>
      </w:r>
    </w:p>
    <w:p w:rsidR="00FE03F2" w:rsidRDefault="00FE03F2" w:rsidP="00B7404E">
      <w:pPr>
        <w:pStyle w:val="References"/>
      </w:pPr>
      <w:r w:rsidRPr="00C84940">
        <w:t xml:space="preserve">Cowles, S. (2013). </w:t>
      </w:r>
      <w:r w:rsidRPr="00B7404E">
        <w:rPr>
          <w:i/>
        </w:rPr>
        <w:t>Annual Monitoring of Reading Recovery: the Data for 2012</w:t>
      </w:r>
      <w:r w:rsidRPr="00C84940">
        <w:t>. Wellington: Ministry of Education.</w:t>
      </w:r>
    </w:p>
    <w:p w:rsidR="00FE03F2" w:rsidRPr="003A37C8" w:rsidRDefault="00FE03F2" w:rsidP="00B7404E">
      <w:pPr>
        <w:pStyle w:val="References"/>
      </w:pPr>
      <w:r>
        <w:t xml:space="preserve">Earle, D. (2009). </w:t>
      </w:r>
      <w:r w:rsidRPr="00B7404E">
        <w:rPr>
          <w:i/>
        </w:rPr>
        <w:t>Skills, qualifications and wages: an analysis from the Adult Literacy and Life Skills Survey</w:t>
      </w:r>
      <w:r>
        <w:t>. Wellington: Ministry of Education.</w:t>
      </w:r>
    </w:p>
    <w:p w:rsidR="00FE03F2" w:rsidRDefault="00FE03F2" w:rsidP="00B7404E">
      <w:pPr>
        <w:pStyle w:val="References"/>
      </w:pPr>
      <w:r>
        <w:t xml:space="preserve">Education and Science Committee (2012). </w:t>
      </w:r>
      <w:r w:rsidRPr="007C70A4">
        <w:rPr>
          <w:i/>
          <w:iCs/>
        </w:rPr>
        <w:t xml:space="preserve">Inquiry into 21st century learning environments and digital literacy. </w:t>
      </w:r>
      <w:r>
        <w:t>Wellington: New Zealand House of Representatives.</w:t>
      </w:r>
    </w:p>
    <w:p w:rsidR="00FE03F2" w:rsidRDefault="00FE03F2" w:rsidP="00B7404E">
      <w:pPr>
        <w:pStyle w:val="References"/>
      </w:pPr>
      <w:r>
        <w:t xml:space="preserve">Engler, R. (2010). </w:t>
      </w:r>
      <w:r w:rsidRPr="00235FD2">
        <w:rPr>
          <w:i/>
        </w:rPr>
        <w:t>School leavers’ progression to bachelors-level study</w:t>
      </w:r>
      <w:r w:rsidRPr="007C70A4">
        <w:t xml:space="preserve">. </w:t>
      </w:r>
      <w:r>
        <w:t>Wellington: Ministry of Education.</w:t>
      </w:r>
    </w:p>
    <w:p w:rsidR="00FE03F2" w:rsidRDefault="00FE03F2" w:rsidP="00B7404E">
      <w:pPr>
        <w:pStyle w:val="References"/>
      </w:pPr>
      <w:r>
        <w:t xml:space="preserve">ERO (2010a). </w:t>
      </w:r>
      <w:r w:rsidRPr="00571CBB">
        <w:rPr>
          <w:rStyle w:val="BodyTextChar"/>
          <w:i/>
          <w:iCs/>
        </w:rPr>
        <w:t xml:space="preserve">Including Students with High Needs. </w:t>
      </w:r>
      <w:r>
        <w:t>Wellington: Education Review Office.</w:t>
      </w:r>
    </w:p>
    <w:p w:rsidR="00FE03F2" w:rsidRDefault="00FE03F2" w:rsidP="00B7404E">
      <w:pPr>
        <w:pStyle w:val="References"/>
      </w:pPr>
      <w:r>
        <w:t xml:space="preserve">ERO (2010b). </w:t>
      </w:r>
      <w:r w:rsidRPr="007C70A4">
        <w:rPr>
          <w:i/>
          <w:iCs/>
        </w:rPr>
        <w:t xml:space="preserve">Secondary Schools and Alternative Education. </w:t>
      </w:r>
      <w:r>
        <w:t>Wellington: Education Review Office.</w:t>
      </w:r>
    </w:p>
    <w:p w:rsidR="00FE03F2" w:rsidRDefault="00FE03F2" w:rsidP="00B7404E">
      <w:pPr>
        <w:pStyle w:val="References"/>
      </w:pPr>
      <w:r>
        <w:t xml:space="preserve">ERO (2012a). </w:t>
      </w:r>
      <w:r w:rsidRPr="00235FD2">
        <w:rPr>
          <w:i/>
        </w:rPr>
        <w:t>Ako Panuku: An evaluation of the programme’s effectiveness</w:t>
      </w:r>
      <w:r w:rsidRPr="007C70A4">
        <w:t xml:space="preserve">. </w:t>
      </w:r>
      <w:r>
        <w:t>Wellington: Education Review Office.</w:t>
      </w:r>
    </w:p>
    <w:p w:rsidR="00FE03F2" w:rsidRDefault="00FE03F2" w:rsidP="00B7404E">
      <w:pPr>
        <w:pStyle w:val="References"/>
      </w:pPr>
      <w:r>
        <w:t xml:space="preserve">ERO (2012b). </w:t>
      </w:r>
      <w:r w:rsidRPr="00235FD2">
        <w:rPr>
          <w:i/>
        </w:rPr>
        <w:t xml:space="preserve">Evaluation at a Glance: Priority Learners in New Zealand </w:t>
      </w:r>
      <w:r w:rsidR="00E0656F">
        <w:rPr>
          <w:i/>
        </w:rPr>
        <w:t>s</w:t>
      </w:r>
      <w:r w:rsidRPr="00235FD2">
        <w:rPr>
          <w:i/>
        </w:rPr>
        <w:t>chools</w:t>
      </w:r>
      <w:r w:rsidRPr="007C70A4">
        <w:t xml:space="preserve">. </w:t>
      </w:r>
      <w:r>
        <w:t>Wellington: Education Review Office.</w:t>
      </w:r>
    </w:p>
    <w:p w:rsidR="00FE03F2" w:rsidRPr="005D7AFB" w:rsidRDefault="00FE03F2" w:rsidP="00B7404E">
      <w:pPr>
        <w:pStyle w:val="References"/>
      </w:pPr>
      <w:r>
        <w:t xml:space="preserve">ERO (2012c). </w:t>
      </w:r>
      <w:r w:rsidRPr="007C70A4">
        <w:rPr>
          <w:i/>
          <w:iCs/>
        </w:rPr>
        <w:t>Improving Education Outcomes for Pacific Learners</w:t>
      </w:r>
      <w:r>
        <w:t>. Wellington: Education Review Office.</w:t>
      </w:r>
    </w:p>
    <w:p w:rsidR="00FE03F2" w:rsidRDefault="00FE03F2" w:rsidP="00B7404E">
      <w:pPr>
        <w:pStyle w:val="References"/>
      </w:pPr>
      <w:r>
        <w:t xml:space="preserve">ERO (2012d). </w:t>
      </w:r>
      <w:r w:rsidRPr="00235FD2">
        <w:rPr>
          <w:i/>
        </w:rPr>
        <w:t>Literacy and Mathematics in Years 9 and 10: Using Achievement Information to Promote Success</w:t>
      </w:r>
      <w:r w:rsidRPr="007C70A4">
        <w:t>.</w:t>
      </w:r>
      <w:r>
        <w:t xml:space="preserve"> Wellington: Education Review Office.</w:t>
      </w:r>
    </w:p>
    <w:p w:rsidR="00FE03F2" w:rsidRDefault="00FE03F2" w:rsidP="00B7404E">
      <w:pPr>
        <w:pStyle w:val="References"/>
      </w:pPr>
      <w:r>
        <w:t xml:space="preserve">ERO (2012e). </w:t>
      </w:r>
      <w:r w:rsidRPr="00235FD2">
        <w:rPr>
          <w:i/>
        </w:rPr>
        <w:t>Reporting to Parents: National Standards Years 4 to 8</w:t>
      </w:r>
      <w:r w:rsidRPr="007C70A4">
        <w:t xml:space="preserve">. </w:t>
      </w:r>
      <w:r>
        <w:t>Wellington: Education Review Office.</w:t>
      </w:r>
    </w:p>
    <w:p w:rsidR="00FE03F2" w:rsidRDefault="00FE03F2" w:rsidP="00B7404E">
      <w:pPr>
        <w:pStyle w:val="References"/>
        <w:rPr>
          <w:rFonts w:cs="Arial"/>
        </w:rPr>
      </w:pPr>
      <w:r>
        <w:rPr>
          <w:rFonts w:cs="Arial"/>
        </w:rPr>
        <w:t xml:space="preserve">ERO (2012f). </w:t>
      </w:r>
      <w:r w:rsidRPr="00235FD2">
        <w:rPr>
          <w:i/>
        </w:rPr>
        <w:t>Science in the New Zealand Curriculum: Years 5 to 8</w:t>
      </w:r>
      <w:r w:rsidRPr="007C70A4">
        <w:t xml:space="preserve">. </w:t>
      </w:r>
      <w:r>
        <w:rPr>
          <w:rFonts w:cs="Arial"/>
        </w:rPr>
        <w:t>Wellington: Education Review Office.</w:t>
      </w:r>
    </w:p>
    <w:p w:rsidR="00FE03F2" w:rsidRPr="00EA6BF7" w:rsidRDefault="00FE03F2" w:rsidP="00B7404E">
      <w:pPr>
        <w:pStyle w:val="References"/>
      </w:pPr>
      <w:r>
        <w:t xml:space="preserve">ERO (2013a). </w:t>
      </w:r>
      <w:r w:rsidRPr="007C70A4">
        <w:rPr>
          <w:i/>
          <w:iCs/>
        </w:rPr>
        <w:t>Including Students with High Needs: Primary Schools</w:t>
      </w:r>
      <w:r>
        <w:t>. Wellington: Education Review Office.</w:t>
      </w:r>
    </w:p>
    <w:p w:rsidR="00FE03F2" w:rsidRDefault="00FE03F2" w:rsidP="00B7404E">
      <w:pPr>
        <w:pStyle w:val="References"/>
        <w:rPr>
          <w:rFonts w:cs="Arial"/>
        </w:rPr>
      </w:pPr>
      <w:r>
        <w:rPr>
          <w:rFonts w:cs="Arial"/>
        </w:rPr>
        <w:t xml:space="preserve">ERO (2013b). </w:t>
      </w:r>
      <w:r w:rsidRPr="00235FD2">
        <w:rPr>
          <w:i/>
        </w:rPr>
        <w:t>Mathematics in Years 4 to 8: Developing a Responsive Curriculum</w:t>
      </w:r>
      <w:r w:rsidRPr="007C70A4">
        <w:t xml:space="preserve">. </w:t>
      </w:r>
      <w:r>
        <w:rPr>
          <w:rFonts w:cs="Arial"/>
        </w:rPr>
        <w:t>Wellington: Education Review Office.</w:t>
      </w:r>
    </w:p>
    <w:p w:rsidR="00FE03F2" w:rsidRPr="0078137D" w:rsidRDefault="00FE03F2" w:rsidP="00B7404E">
      <w:pPr>
        <w:pStyle w:val="References"/>
      </w:pPr>
      <w:r>
        <w:t xml:space="preserve">Gibbs, R., &amp; Poskitt, J. (2010). </w:t>
      </w:r>
      <w:r w:rsidRPr="007C70A4">
        <w:rPr>
          <w:i/>
          <w:iCs/>
        </w:rPr>
        <w:t xml:space="preserve">Student engagement in the middle years of schooling (Years 7-10): a literature review. </w:t>
      </w:r>
      <w:r>
        <w:t>Report to the Ministry of Education. Wellington: Ministry of Education.</w:t>
      </w:r>
    </w:p>
    <w:p w:rsidR="00FE03F2" w:rsidRDefault="00FE03F2" w:rsidP="00B7404E">
      <w:pPr>
        <w:pStyle w:val="References"/>
      </w:pPr>
      <w:r>
        <w:t xml:space="preserve">Gluckman, P. (2011). </w:t>
      </w:r>
      <w:r w:rsidRPr="007C70A4">
        <w:rPr>
          <w:i/>
          <w:iCs/>
        </w:rPr>
        <w:t xml:space="preserve">Looking ahead: science education for the twenty-first century. </w:t>
      </w:r>
      <w:r>
        <w:t>Auckland: Office of the Prime Minister’s Science Advisory Committee.</w:t>
      </w:r>
    </w:p>
    <w:p w:rsidR="00FE03F2" w:rsidRPr="00EE2F70" w:rsidRDefault="00FE03F2" w:rsidP="00B7404E">
      <w:pPr>
        <w:pStyle w:val="References"/>
      </w:pPr>
      <w:r>
        <w:t xml:space="preserve">Hattie, J. (2009). </w:t>
      </w:r>
      <w:r w:rsidRPr="00235FD2">
        <w:rPr>
          <w:i/>
        </w:rPr>
        <w:t>Visible Learning: a synthesis of over 800 meta-analyses relating to achievement</w:t>
      </w:r>
      <w:r>
        <w:t>. New York, NY: Routledge.</w:t>
      </w:r>
    </w:p>
    <w:p w:rsidR="00FE03F2" w:rsidRDefault="00FE03F2" w:rsidP="00B7404E">
      <w:pPr>
        <w:pStyle w:val="References"/>
      </w:pPr>
      <w:r>
        <w:t xml:space="preserve">Human Rights Commission (2012). </w:t>
      </w:r>
      <w:r w:rsidRPr="00235FD2">
        <w:rPr>
          <w:i/>
        </w:rPr>
        <w:t>A fair go for all? rite tahi tātou katoa? Addressing structural discrimination in public services</w:t>
      </w:r>
      <w:r w:rsidRPr="007C70A4">
        <w:t xml:space="preserve">. </w:t>
      </w:r>
      <w:r>
        <w:t>Aotearoa: Human Rights Commission.</w:t>
      </w:r>
    </w:p>
    <w:p w:rsidR="00FE03F2" w:rsidRPr="00A02BC1" w:rsidRDefault="00FE03F2" w:rsidP="00B7404E">
      <w:pPr>
        <w:pStyle w:val="References"/>
      </w:pPr>
      <w:r>
        <w:t xml:space="preserve">Ingersoll, R. &amp; Kralik, J. (2004). </w:t>
      </w:r>
      <w:r w:rsidRPr="00235FD2">
        <w:rPr>
          <w:i/>
        </w:rPr>
        <w:t>The impact of mentoring on teacher retention: what the research says</w:t>
      </w:r>
      <w:r w:rsidRPr="007C70A4">
        <w:t xml:space="preserve">. </w:t>
      </w:r>
      <w:r>
        <w:t>Denver, CO: Education Commission of the States.</w:t>
      </w:r>
    </w:p>
    <w:p w:rsidR="00FE03F2" w:rsidRDefault="00FE03F2" w:rsidP="00B7404E">
      <w:pPr>
        <w:pStyle w:val="References"/>
      </w:pPr>
      <w:r>
        <w:t>Lee, M. (2012</w:t>
      </w:r>
      <w:r w:rsidRPr="00235FD2">
        <w:rPr>
          <w:i/>
        </w:rPr>
        <w:t>). Monitoring teacher supply: Survey of staffing in New Zealand schools at the beginning of the 2012 school year</w:t>
      </w:r>
      <w:r w:rsidRPr="007C70A4">
        <w:t xml:space="preserve">. </w:t>
      </w:r>
      <w:r>
        <w:t>Wellington: Ministry of Education.</w:t>
      </w:r>
    </w:p>
    <w:p w:rsidR="00FE03F2" w:rsidRDefault="00FE03F2" w:rsidP="00B7404E">
      <w:pPr>
        <w:pStyle w:val="References"/>
      </w:pPr>
      <w:r>
        <w:t xml:space="preserve">Mallari, M., &amp; Loader, M. (2013). </w:t>
      </w:r>
      <w:r w:rsidRPr="00235FD2">
        <w:rPr>
          <w:i/>
        </w:rPr>
        <w:t>Attendance in New Zealand Schools 2012</w:t>
      </w:r>
      <w:r w:rsidRPr="007C70A4">
        <w:t xml:space="preserve">. </w:t>
      </w:r>
      <w:r>
        <w:t>Wellington: Ministry of Education.</w:t>
      </w:r>
    </w:p>
    <w:p w:rsidR="00FE03F2" w:rsidRPr="00EE2F70" w:rsidRDefault="00FE03F2" w:rsidP="00B7404E">
      <w:pPr>
        <w:pStyle w:val="References"/>
      </w:pPr>
      <w:r>
        <w:t xml:space="preserve">May, S., Hill, R., &amp; Tiakiwai, S. (2004). </w:t>
      </w:r>
      <w:r w:rsidRPr="00235FD2">
        <w:rPr>
          <w:i/>
        </w:rPr>
        <w:t>Bilingual/immersion education: Indicators of good practice. Final report to the Ministry of Education</w:t>
      </w:r>
      <w:r>
        <w:t>. Wellington: Ministry of Education.</w:t>
      </w:r>
    </w:p>
    <w:p w:rsidR="00FE03F2" w:rsidRDefault="00FE03F2" w:rsidP="00B7404E">
      <w:pPr>
        <w:pStyle w:val="References"/>
      </w:pPr>
      <w:r>
        <w:t xml:space="preserve">Ministerial Inquiry into the Novopay Project (2013). </w:t>
      </w:r>
      <w:r w:rsidRPr="00B7404E">
        <w:rPr>
          <w:i/>
        </w:rPr>
        <w:t>Report of the Ministerial Inquiry into the Novopay Project</w:t>
      </w:r>
      <w:r w:rsidRPr="007C70A4">
        <w:t xml:space="preserve">. </w:t>
      </w:r>
      <w:r w:rsidR="00B7404E">
        <w:t>Wellington</w:t>
      </w:r>
      <w:r>
        <w:t>: New Zealand House of Representatives.</w:t>
      </w:r>
    </w:p>
    <w:p w:rsidR="00FE03F2" w:rsidRDefault="00FE03F2" w:rsidP="00B7404E">
      <w:pPr>
        <w:pStyle w:val="References"/>
      </w:pPr>
      <w:r>
        <w:t xml:space="preserve">Ministry of Education (2007). </w:t>
      </w:r>
      <w:r w:rsidRPr="00235FD2">
        <w:rPr>
          <w:i/>
        </w:rPr>
        <w:t>The New Zealand Curriculum</w:t>
      </w:r>
      <w:r w:rsidRPr="007C70A4">
        <w:t xml:space="preserve">. </w:t>
      </w:r>
      <w:r>
        <w:t>Wellington: Ministry of Education.</w:t>
      </w:r>
    </w:p>
    <w:p w:rsidR="00FE03F2" w:rsidRPr="007D1F9A" w:rsidRDefault="00FE03F2" w:rsidP="00B7404E">
      <w:pPr>
        <w:pStyle w:val="References"/>
      </w:pPr>
      <w:r>
        <w:t xml:space="preserve">Ministry of Education (2008a). </w:t>
      </w:r>
      <w:r w:rsidRPr="00235FD2">
        <w:rPr>
          <w:i/>
        </w:rPr>
        <w:t xml:space="preserve">Ka Hikitia </w:t>
      </w:r>
      <w:r w:rsidR="00E0656F">
        <w:rPr>
          <w:rFonts w:cs="Arial"/>
          <w:i/>
        </w:rPr>
        <w:t>―</w:t>
      </w:r>
      <w:r w:rsidRPr="00235FD2">
        <w:rPr>
          <w:i/>
        </w:rPr>
        <w:t xml:space="preserve"> Managing for success: the Māori Education Strategy 2008-2012</w:t>
      </w:r>
      <w:r w:rsidRPr="007C70A4">
        <w:t xml:space="preserve">. </w:t>
      </w:r>
      <w:r>
        <w:t>Wellington: Ministry of Education.</w:t>
      </w:r>
    </w:p>
    <w:p w:rsidR="00FE03F2" w:rsidRDefault="00FE03F2" w:rsidP="00B7404E">
      <w:pPr>
        <w:pStyle w:val="References"/>
      </w:pPr>
      <w:r>
        <w:t xml:space="preserve">Ministry of Education (2008b). </w:t>
      </w:r>
      <w:r w:rsidRPr="007C70A4">
        <w:rPr>
          <w:i/>
          <w:iCs/>
        </w:rPr>
        <w:t xml:space="preserve">Te Marautanga o Aotearoa. </w:t>
      </w:r>
      <w:r>
        <w:t>Wellington: Ministry of Education.</w:t>
      </w:r>
    </w:p>
    <w:p w:rsidR="00FE03F2" w:rsidRPr="00EA22B9" w:rsidRDefault="00FE03F2" w:rsidP="00B7404E">
      <w:pPr>
        <w:pStyle w:val="References"/>
      </w:pPr>
      <w:r>
        <w:t xml:space="preserve">Ministry of Education (2009). </w:t>
      </w:r>
      <w:r>
        <w:rPr>
          <w:i/>
        </w:rPr>
        <w:t xml:space="preserve">Pasifika Education Plan 2009-2012. </w:t>
      </w:r>
      <w:r>
        <w:t>Wellington: Ministry of Education.</w:t>
      </w:r>
    </w:p>
    <w:p w:rsidR="00FE03F2" w:rsidRDefault="00FE03F2" w:rsidP="00B7404E">
      <w:pPr>
        <w:pStyle w:val="References"/>
      </w:pPr>
      <w:r>
        <w:t xml:space="preserve">Ministry of Education (2010). </w:t>
      </w:r>
      <w:r w:rsidRPr="007C70A4">
        <w:rPr>
          <w:i/>
          <w:iCs/>
        </w:rPr>
        <w:t xml:space="preserve">Tertiary Education Strategy 2010-2015. </w:t>
      </w:r>
      <w:r>
        <w:t xml:space="preserve">Wellington: Office of the Minister for Tertiary Education. </w:t>
      </w:r>
    </w:p>
    <w:p w:rsidR="00FE03F2" w:rsidRDefault="00FE03F2" w:rsidP="00B7404E">
      <w:pPr>
        <w:pStyle w:val="References"/>
      </w:pPr>
      <w:r>
        <w:t xml:space="preserve">Ministry of Education (2012). </w:t>
      </w:r>
      <w:r w:rsidRPr="007C70A4">
        <w:rPr>
          <w:i/>
          <w:iCs/>
        </w:rPr>
        <w:t xml:space="preserve">Pasifika Education Plan Monitoring Report: 2010. </w:t>
      </w:r>
      <w:r>
        <w:t>Wellington: Ministry of Education.</w:t>
      </w:r>
    </w:p>
    <w:p w:rsidR="00FE03F2" w:rsidRDefault="00FE03F2" w:rsidP="00B7404E">
      <w:pPr>
        <w:pStyle w:val="References"/>
      </w:pPr>
      <w:r>
        <w:t xml:space="preserve">Ministry of Education (2013a). </w:t>
      </w:r>
      <w:r w:rsidRPr="007C70A4">
        <w:rPr>
          <w:i/>
          <w:iCs/>
        </w:rPr>
        <w:t xml:space="preserve">Me Kōrero </w:t>
      </w:r>
      <w:r w:rsidR="00E0656F">
        <w:rPr>
          <w:rFonts w:cs="Arial"/>
          <w:i/>
          <w:iCs/>
        </w:rPr>
        <w:t>―</w:t>
      </w:r>
      <w:r w:rsidRPr="007C70A4">
        <w:rPr>
          <w:i/>
          <w:iCs/>
        </w:rPr>
        <w:t xml:space="preserve"> Let’s Talk! Summary of Online Feedback March 2013</w:t>
      </w:r>
      <w:r>
        <w:t>. Wellington: Ministry of Education.</w:t>
      </w:r>
    </w:p>
    <w:p w:rsidR="00FE03F2" w:rsidRDefault="00FE03F2" w:rsidP="00B7404E">
      <w:pPr>
        <w:pStyle w:val="References"/>
      </w:pPr>
      <w:r>
        <w:t xml:space="preserve">Ministry of Education (2013b). </w:t>
      </w:r>
      <w:r w:rsidRPr="007C70A4">
        <w:rPr>
          <w:i/>
          <w:iCs/>
        </w:rPr>
        <w:t>Māori Medium Kaiako Survey</w:t>
      </w:r>
      <w:r>
        <w:t>. Wellington; Ministry of Education.</w:t>
      </w:r>
    </w:p>
    <w:p w:rsidR="00FE03F2" w:rsidRPr="0055459F" w:rsidRDefault="00FE03F2" w:rsidP="00B7404E">
      <w:pPr>
        <w:pStyle w:val="References"/>
      </w:pPr>
      <w:r>
        <w:t xml:space="preserve">Ministry of Education (2013c). </w:t>
      </w:r>
      <w:r>
        <w:rPr>
          <w:i/>
        </w:rPr>
        <w:t xml:space="preserve">SAF Outcomes for 2012: Highlights. </w:t>
      </w:r>
      <w:r>
        <w:t>Wellington: Ministry of Education.</w:t>
      </w:r>
    </w:p>
    <w:p w:rsidR="00FE03F2" w:rsidRDefault="00FE03F2" w:rsidP="00B7404E">
      <w:pPr>
        <w:pStyle w:val="References"/>
        <w:rPr>
          <w:rFonts w:cs="Arial"/>
        </w:rPr>
      </w:pPr>
      <w:r>
        <w:rPr>
          <w:rFonts w:cs="Arial"/>
        </w:rPr>
        <w:t xml:space="preserve">Neill, A., Fisher, J., &amp; Dingle, R. (2010). </w:t>
      </w:r>
      <w:r w:rsidRPr="00B7404E">
        <w:rPr>
          <w:i/>
        </w:rPr>
        <w:t>Exploring mathematics interventions: Exploratory evaluation of the accelerating learning in mathematics pilot study</w:t>
      </w:r>
      <w:r w:rsidRPr="007C70A4">
        <w:t xml:space="preserve">. </w:t>
      </w:r>
      <w:r>
        <w:rPr>
          <w:rFonts w:cs="Arial"/>
        </w:rPr>
        <w:t>Report to the Ministry of Education. Wellington: Ministry of Education.</w:t>
      </w:r>
    </w:p>
    <w:p w:rsidR="00FE03F2" w:rsidRPr="00CD115F" w:rsidRDefault="00FE03F2" w:rsidP="00B7404E">
      <w:pPr>
        <w:pStyle w:val="References"/>
      </w:pPr>
      <w:r>
        <w:t xml:space="preserve">Norton, P., Sanderson, K., Booth, T., &amp; Stroombergen, A. (2000). </w:t>
      </w:r>
      <w:r w:rsidRPr="007C70A4">
        <w:rPr>
          <w:i/>
          <w:iCs/>
        </w:rPr>
        <w:t xml:space="preserve">A literature review of the effect of school resourcing on educational outcomes. </w:t>
      </w:r>
      <w:r>
        <w:t>Report to the Ministry of Education.</w:t>
      </w:r>
    </w:p>
    <w:p w:rsidR="00FE03F2" w:rsidRPr="00CD115F" w:rsidRDefault="00FE03F2" w:rsidP="00B7404E">
      <w:pPr>
        <w:pStyle w:val="References"/>
        <w:rPr>
          <w:rFonts w:cs="Arial"/>
        </w:rPr>
      </w:pPr>
      <w:r>
        <w:rPr>
          <w:rFonts w:cs="Arial"/>
        </w:rPr>
        <w:t xml:space="preserve">OECD (2013). </w:t>
      </w:r>
      <w:r w:rsidRPr="00235FD2">
        <w:rPr>
          <w:i/>
        </w:rPr>
        <w:t>Education at a glance 2013</w:t>
      </w:r>
      <w:r w:rsidRPr="007C70A4">
        <w:t xml:space="preserve">. </w:t>
      </w:r>
      <w:r>
        <w:rPr>
          <w:rFonts w:cs="Arial"/>
        </w:rPr>
        <w:t>Paris: OECD.</w:t>
      </w:r>
    </w:p>
    <w:p w:rsidR="00FE03F2" w:rsidRPr="0088557F" w:rsidRDefault="00FE03F2" w:rsidP="00B7404E">
      <w:pPr>
        <w:pStyle w:val="References"/>
      </w:pPr>
      <w:r>
        <w:t xml:space="preserve">Office of the Auditor-General (2013). </w:t>
      </w:r>
      <w:r w:rsidRPr="007C70A4">
        <w:rPr>
          <w:i/>
          <w:iCs/>
        </w:rPr>
        <w:t>Education for Māori: Implementing Ka Hikitia – Managing for Success</w:t>
      </w:r>
      <w:r>
        <w:t>. Wellington: Office of the Auditor-General.</w:t>
      </w:r>
    </w:p>
    <w:p w:rsidR="00FE03F2" w:rsidRDefault="00FE03F2" w:rsidP="00B7404E">
      <w:pPr>
        <w:pStyle w:val="References"/>
      </w:pPr>
      <w:r>
        <w:t xml:space="preserve">PPTA (2013). </w:t>
      </w:r>
      <w:r w:rsidRPr="007C70A4">
        <w:rPr>
          <w:i/>
          <w:iCs/>
        </w:rPr>
        <w:t>Novopay Impacts: Pay period 24, 2013</w:t>
      </w:r>
      <w:r>
        <w:t>. NZPPTA Report. Wellington: NZPPTA.</w:t>
      </w:r>
    </w:p>
    <w:p w:rsidR="00FE03F2" w:rsidRPr="00EE2F70" w:rsidRDefault="00FE03F2" w:rsidP="00B7404E">
      <w:pPr>
        <w:pStyle w:val="References"/>
      </w:pPr>
      <w:r>
        <w:t xml:space="preserve">Robinson, V., Hohepa, M., &amp; Lloyd, C. (2009). </w:t>
      </w:r>
      <w:r>
        <w:rPr>
          <w:i/>
        </w:rPr>
        <w:t xml:space="preserve">School leadership and student outcomes: identifying what works and why. </w:t>
      </w:r>
      <w:r>
        <w:t>Wellington: Ministry of Education.</w:t>
      </w:r>
    </w:p>
    <w:p w:rsidR="00FE03F2" w:rsidRPr="00C83597" w:rsidRDefault="00FE03F2" w:rsidP="00B7404E">
      <w:pPr>
        <w:pStyle w:val="References"/>
      </w:pPr>
      <w:r>
        <w:t xml:space="preserve">Scott, D., &amp; Smart, W. (2005). </w:t>
      </w:r>
      <w:r w:rsidRPr="00235FD2">
        <w:rPr>
          <w:i/>
        </w:rPr>
        <w:t>What factors make a difference to getting a degree in New Zealand?</w:t>
      </w:r>
      <w:r w:rsidRPr="007C70A4">
        <w:t xml:space="preserve"> </w:t>
      </w:r>
      <w:r>
        <w:t>Wellington: Ministry of Education.</w:t>
      </w:r>
    </w:p>
    <w:p w:rsidR="00FE03F2" w:rsidRDefault="00FE03F2" w:rsidP="00B7404E">
      <w:pPr>
        <w:pStyle w:val="References"/>
      </w:pPr>
      <w:r>
        <w:t xml:space="preserve">Telford, M., &amp; May, S. (2010). </w:t>
      </w:r>
      <w:r w:rsidRPr="007C70A4">
        <w:rPr>
          <w:i/>
          <w:iCs/>
        </w:rPr>
        <w:t xml:space="preserve">PISA 2009: our 21st century learners at age 15. </w:t>
      </w:r>
      <w:r>
        <w:t>Wellington: Ministry of Education.</w:t>
      </w:r>
    </w:p>
    <w:p w:rsidR="00FE03F2" w:rsidRDefault="00FE03F2" w:rsidP="00B7404E">
      <w:pPr>
        <w:pStyle w:val="References"/>
      </w:pPr>
      <w:r>
        <w:t xml:space="preserve">Ward, J. &amp; Thomas, G. (2011). </w:t>
      </w:r>
      <w:r w:rsidRPr="007C70A4">
        <w:t xml:space="preserve">National </w:t>
      </w:r>
      <w:r w:rsidRPr="00235FD2">
        <w:rPr>
          <w:i/>
        </w:rPr>
        <w:t>Standards: School Sample Monitoring &amp; Evaluation Project, 2010</w:t>
      </w:r>
      <w:r w:rsidRPr="007C70A4">
        <w:t xml:space="preserve">. </w:t>
      </w:r>
      <w:r>
        <w:t>Wellington: Ministry of Education.</w:t>
      </w:r>
    </w:p>
    <w:p w:rsidR="00FE03F2" w:rsidRPr="003B1775" w:rsidRDefault="00FE03F2" w:rsidP="00B7404E">
      <w:pPr>
        <w:pStyle w:val="References"/>
      </w:pPr>
      <w:r>
        <w:t xml:space="preserve">Ward, J. &amp; Thomas, G. (2012). </w:t>
      </w:r>
      <w:r w:rsidRPr="00235FD2">
        <w:rPr>
          <w:i/>
        </w:rPr>
        <w:t>National Standards: School Sample Monitoring &amp; Evaluation Project, 2011</w:t>
      </w:r>
      <w:r w:rsidRPr="007C70A4">
        <w:t xml:space="preserve">. </w:t>
      </w:r>
      <w:r>
        <w:t>Wellington: Ministry of Education.</w:t>
      </w:r>
    </w:p>
    <w:p w:rsidR="00FE03F2" w:rsidRDefault="00FE03F2" w:rsidP="00B7404E">
      <w:pPr>
        <w:pStyle w:val="References"/>
      </w:pPr>
      <w:r w:rsidRPr="00BE78D1">
        <w:t xml:space="preserve">Ward, J. </w:t>
      </w:r>
      <w:r>
        <w:t>&amp;</w:t>
      </w:r>
      <w:r w:rsidRPr="00BE78D1">
        <w:t xml:space="preserve"> Thomas, G. (2013)</w:t>
      </w:r>
      <w:r>
        <w:t>.</w:t>
      </w:r>
      <w:r w:rsidRPr="00BE78D1">
        <w:t xml:space="preserve"> </w:t>
      </w:r>
      <w:r w:rsidRPr="00235FD2">
        <w:rPr>
          <w:i/>
        </w:rPr>
        <w:t>National Standards: School Sample Monitoring and Evaluation Project, 2010-2012</w:t>
      </w:r>
      <w:r w:rsidRPr="007C70A4">
        <w:t xml:space="preserve">. </w:t>
      </w:r>
      <w:r>
        <w:t>Wellington: Ministry of Education.</w:t>
      </w:r>
    </w:p>
    <w:p w:rsidR="00FE03F2" w:rsidRPr="00EE2F70" w:rsidRDefault="00FE03F2" w:rsidP="00B7404E">
      <w:pPr>
        <w:pStyle w:val="References"/>
      </w:pPr>
      <w:r>
        <w:t xml:space="preserve">Wylie, C. (2010). </w:t>
      </w:r>
      <w:r w:rsidRPr="00235FD2">
        <w:rPr>
          <w:i/>
        </w:rPr>
        <w:t>Principal vacancies and appointments, 2008-9</w:t>
      </w:r>
      <w:r>
        <w:t>. Wellington: NZCER Press.</w:t>
      </w:r>
    </w:p>
    <w:p w:rsidR="00FE03F2" w:rsidRDefault="00FE03F2" w:rsidP="00B7404E">
      <w:pPr>
        <w:pStyle w:val="References"/>
      </w:pPr>
      <w:r>
        <w:t xml:space="preserve">Wylie, C. (2013). </w:t>
      </w:r>
      <w:r w:rsidRPr="00235FD2">
        <w:rPr>
          <w:i/>
        </w:rPr>
        <w:t>Secondary schools in 2012: Main findings from the NZCER national survey</w:t>
      </w:r>
      <w:r w:rsidRPr="007C70A4">
        <w:t xml:space="preserve">. </w:t>
      </w:r>
      <w:r>
        <w:t>Wellington: NZCER Press.</w:t>
      </w:r>
    </w:p>
    <w:p w:rsidR="00FE03F2" w:rsidRDefault="00FE03F2" w:rsidP="00B7404E">
      <w:pPr>
        <w:pStyle w:val="References"/>
      </w:pPr>
      <w:r>
        <w:t xml:space="preserve">Wylie, C., Cameron, M., Twist, J., McDowell, S., &amp; Fisher, J. (2009). </w:t>
      </w:r>
      <w:r w:rsidRPr="007C70A4">
        <w:rPr>
          <w:i/>
          <w:iCs/>
        </w:rPr>
        <w:t xml:space="preserve">Conditions for school innovation and transformation. </w:t>
      </w:r>
      <w:r>
        <w:t>Paper presented to the 22</w:t>
      </w:r>
      <w:r w:rsidRPr="00CD115F">
        <w:rPr>
          <w:vertAlign w:val="superscript"/>
        </w:rPr>
        <w:t>nd</w:t>
      </w:r>
      <w:r>
        <w:t xml:space="preserve"> International Congress for School Effectiveness and Improvement (ICSEI), Vancouver, Canada.</w:t>
      </w:r>
    </w:p>
    <w:p w:rsidR="00FE03F2" w:rsidRDefault="00FE03F2" w:rsidP="00B7404E">
      <w:pPr>
        <w:pStyle w:val="References"/>
      </w:pPr>
      <w:r>
        <w:t xml:space="preserve">Wylie, C., &amp; Hodgen, E. (2007). </w:t>
      </w:r>
      <w:r w:rsidRPr="00235FD2">
        <w:rPr>
          <w:i/>
        </w:rPr>
        <w:t>Growing independence: Competent Learners @ 16: competency levels and development over time</w:t>
      </w:r>
      <w:r w:rsidRPr="007C70A4">
        <w:t xml:space="preserve">. </w:t>
      </w:r>
      <w:r>
        <w:t>Wellington: Ministry of Education.</w:t>
      </w:r>
    </w:p>
    <w:p w:rsidR="00FE03F2" w:rsidRPr="00EE2F70" w:rsidRDefault="00FE03F2" w:rsidP="00B7404E">
      <w:pPr>
        <w:pStyle w:val="References"/>
      </w:pPr>
      <w:r>
        <w:t xml:space="preserve">Wylie, C., Thompson, J., &amp; Lythe, C. (2004). </w:t>
      </w:r>
      <w:r>
        <w:rPr>
          <w:i/>
        </w:rPr>
        <w:t xml:space="preserve">Competent children at 12. </w:t>
      </w:r>
      <w:r>
        <w:t>Report to the Ministry of Education. Wellington: NZCER Press.</w:t>
      </w:r>
    </w:p>
    <w:p w:rsidR="00FE03F2" w:rsidRDefault="00FE03F2" w:rsidP="00B7404E">
      <w:pPr>
        <w:pStyle w:val="References"/>
        <w:rPr>
          <w:rFonts w:cs="Arial"/>
        </w:rPr>
      </w:pPr>
      <w:r w:rsidRPr="00053823">
        <w:rPr>
          <w:rFonts w:cs="Arial"/>
        </w:rPr>
        <w:t xml:space="preserve">Young-Loveridge, J. (2010). </w:t>
      </w:r>
      <w:r w:rsidRPr="00235FD2">
        <w:rPr>
          <w:i/>
        </w:rPr>
        <w:t>A decade of reform in mathematics education: results for 2009 and earlier years: findings from the New Zealand Numeracy Development Projects (2009)</w:t>
      </w:r>
      <w:r w:rsidRPr="007C70A4">
        <w:t xml:space="preserve">. </w:t>
      </w:r>
      <w:r w:rsidRPr="00053823">
        <w:rPr>
          <w:rFonts w:cs="Arial"/>
        </w:rPr>
        <w:t>Wellington: Ministry of Education.</w:t>
      </w:r>
    </w:p>
    <w:p w:rsidR="007C70A4" w:rsidRPr="007C70A4" w:rsidRDefault="007C70A4" w:rsidP="00B7404E">
      <w:pPr>
        <w:pStyle w:val="References"/>
      </w:pPr>
    </w:p>
    <w:p w:rsidR="00B01FBF" w:rsidRPr="007C70A4" w:rsidRDefault="00B01FBF" w:rsidP="00B7404E">
      <w:pPr>
        <w:pStyle w:val="References"/>
        <w:sectPr w:rsidR="00B01FBF" w:rsidRPr="007C70A4" w:rsidSect="00E85C6B">
          <w:headerReference w:type="even" r:id="rId77"/>
          <w:headerReference w:type="default" r:id="rId78"/>
          <w:pgSz w:w="11906" w:h="16838"/>
          <w:pgMar w:top="1701" w:right="1361" w:bottom="1134" w:left="1701" w:header="709" w:footer="709" w:gutter="0"/>
          <w:cols w:space="567"/>
          <w:docGrid w:linePitch="360"/>
        </w:sectPr>
      </w:pPr>
    </w:p>
    <w:p w:rsidR="005D36D8" w:rsidRPr="00D64960" w:rsidRDefault="0013680A" w:rsidP="00D64960">
      <w:r>
        <w:rPr>
          <w:noProof/>
          <w:lang w:val="en-NZ" w:eastAsia="en-NZ"/>
        </w:rPr>
        <w:drawing>
          <wp:anchor distT="0" distB="0" distL="114300" distR="114300" simplePos="0" relativeHeight="251665407" behindDoc="0" locked="0" layoutInCell="1" allowOverlap="1">
            <wp:simplePos x="0" y="0"/>
            <wp:positionH relativeFrom="page">
              <wp:posOffset>0</wp:posOffset>
            </wp:positionH>
            <wp:positionV relativeFrom="page">
              <wp:posOffset>0</wp:posOffset>
            </wp:positionV>
            <wp:extent cx="7576185" cy="10703560"/>
            <wp:effectExtent l="19050" t="0" r="5715" b="0"/>
            <wp:wrapSquare wrapText="bothSides"/>
            <wp:docPr id="20" name="Picture 19" descr="Bac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NZSchools_2011_BackCover_Word_V2.png"/>
                    <pic:cNvPicPr/>
                  </pic:nvPicPr>
                  <pic:blipFill>
                    <a:blip r:embed="rId79" cstate="print"/>
                    <a:stretch>
                      <a:fillRect/>
                    </a:stretch>
                  </pic:blipFill>
                  <pic:spPr>
                    <a:xfrm>
                      <a:off x="0" y="0"/>
                      <a:ext cx="7576185" cy="10703560"/>
                    </a:xfrm>
                    <a:prstGeom prst="rect">
                      <a:avLst/>
                    </a:prstGeom>
                  </pic:spPr>
                </pic:pic>
              </a:graphicData>
            </a:graphic>
          </wp:anchor>
        </w:drawing>
      </w:r>
    </w:p>
    <w:sectPr w:rsidR="005D36D8" w:rsidRPr="00D64960" w:rsidSect="00E85C6B">
      <w:headerReference w:type="even" r:id="rId80"/>
      <w:headerReference w:type="default" r:id="rId81"/>
      <w:pgSz w:w="11906" w:h="16838"/>
      <w:pgMar w:top="1701" w:right="1361" w:bottom="1134" w:left="1701" w:header="709" w:footer="709" w:gutter="0"/>
      <w:cols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0CF" w:rsidRDefault="009650CF" w:rsidP="00DE0015">
      <w:r>
        <w:separator/>
      </w:r>
    </w:p>
    <w:p w:rsidR="009650CF" w:rsidRDefault="009650CF"/>
    <w:p w:rsidR="009650CF" w:rsidRDefault="009650CF"/>
    <w:p w:rsidR="009650CF" w:rsidRDefault="009650CF"/>
  </w:endnote>
  <w:endnote w:type="continuationSeparator" w:id="0">
    <w:p w:rsidR="009650CF" w:rsidRDefault="009650CF" w:rsidP="00DE0015">
      <w:r>
        <w:continuationSeparator/>
      </w:r>
    </w:p>
    <w:p w:rsidR="009650CF" w:rsidRDefault="009650CF"/>
    <w:p w:rsidR="009650CF" w:rsidRDefault="009650CF"/>
    <w:p w:rsidR="009650CF" w:rsidRDefault="009650C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OSML">
    <w:altName w:val="Courier New"/>
    <w:charset w:val="00"/>
    <w:family w:val="auto"/>
    <w:pitch w:val="variable"/>
    <w:sig w:usb0="00000083" w:usb1="00000000" w:usb2="00000000" w:usb3="00000000" w:csb0="00000009" w:csb1="00000000"/>
  </w:font>
  <w:font w:name="Tahoma">
    <w:panose1 w:val="020B0604030504040204"/>
    <w:charset w:val="00"/>
    <w:family w:val="swiss"/>
    <w:pitch w:val="variable"/>
    <w:sig w:usb0="61002A87" w:usb1="80000000" w:usb2="00000008" w:usb3="00000000" w:csb0="000101FF" w:csb1="00000000"/>
  </w:font>
  <w:font w:name="Centennial Maori">
    <w:charset w:val="00"/>
    <w:family w:val="auto"/>
    <w:pitch w:val="variable"/>
    <w:sig w:usb0="00000003" w:usb1="00000000" w:usb2="00000000" w:usb3="00000000" w:csb0="00000001" w:csb1="00000000"/>
    <w:embedRegular r:id="rId1" w:subsetted="1" w:fontKey="{05E2D8C0-4550-4771-BB23-DD4BC0918547}"/>
    <w:embedBold r:id="rId2" w:subsetted="1" w:fontKey="{0AFC5611-1FAC-49EA-92D4-F9E6C9C01A15}"/>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0CF" w:rsidRPr="00085376" w:rsidRDefault="009650CF" w:rsidP="00085376">
      <w:r>
        <w:continuationSeparator/>
      </w:r>
    </w:p>
  </w:footnote>
  <w:footnote w:type="continuationSeparator" w:id="0">
    <w:p w:rsidR="009650CF" w:rsidRDefault="009650CF" w:rsidP="00DE0015">
      <w:r>
        <w:continuationSeparator/>
      </w:r>
    </w:p>
  </w:footnote>
  <w:footnote w:type="continuationNotice" w:id="1">
    <w:p w:rsidR="009650CF" w:rsidRDefault="009650CF">
      <w:pPr>
        <w:spacing w:after="0" w:line="240" w:lineRule="auto"/>
      </w:pPr>
    </w:p>
  </w:footnote>
  <w:footnote w:id="2">
    <w:p w:rsidR="009650CF" w:rsidRPr="009630EB" w:rsidRDefault="009650CF" w:rsidP="009630EB">
      <w:pPr>
        <w:pStyle w:val="Footnote"/>
        <w:spacing w:line="200" w:lineRule="atLeast"/>
        <w:rPr>
          <w:szCs w:val="14"/>
        </w:rPr>
      </w:pPr>
      <w:r w:rsidRPr="009630EB">
        <w:rPr>
          <w:rStyle w:val="FootnoteReference"/>
          <w:sz w:val="14"/>
          <w:szCs w:val="14"/>
        </w:rPr>
        <w:footnoteRef/>
      </w:r>
      <w:r w:rsidRPr="009630EB">
        <w:rPr>
          <w:szCs w:val="14"/>
        </w:rPr>
        <w:tab/>
        <w:t>All government funding components are exclusive of GST</w:t>
      </w:r>
      <w:r w:rsidRPr="009630EB" w:rsidDel="0046100C">
        <w:rPr>
          <w:szCs w:val="14"/>
        </w:rPr>
        <w:t>. T</w:t>
      </w:r>
      <w:r w:rsidRPr="009630EB">
        <w:rPr>
          <w:szCs w:val="14"/>
        </w:rPr>
        <w:t>he base year for real funding is 2012. The figure for property capital works is an estimate from cash payments made during 2012 and includes both capital and operating expenditure.</w:t>
      </w:r>
    </w:p>
  </w:footnote>
  <w:footnote w:id="3">
    <w:p w:rsidR="009650CF" w:rsidRPr="009630EB" w:rsidRDefault="009650CF" w:rsidP="009630EB">
      <w:pPr>
        <w:pStyle w:val="Footnote"/>
        <w:spacing w:line="200" w:lineRule="atLeast"/>
        <w:rPr>
          <w:szCs w:val="14"/>
        </w:rPr>
      </w:pPr>
      <w:r w:rsidRPr="009630EB">
        <w:rPr>
          <w:rStyle w:val="FootnoteReference"/>
          <w:sz w:val="14"/>
          <w:szCs w:val="14"/>
        </w:rPr>
        <w:footnoteRef/>
      </w:r>
      <w:r w:rsidRPr="009630EB">
        <w:rPr>
          <w:szCs w:val="14"/>
        </w:rPr>
        <w:tab/>
        <w:t>This handbook is available electronically from the Ministry of Education website: www.minedu.govt.nz.</w:t>
      </w:r>
    </w:p>
  </w:footnote>
  <w:footnote w:id="4">
    <w:p w:rsidR="009650CF" w:rsidRPr="009630EB" w:rsidRDefault="009650CF" w:rsidP="009630EB">
      <w:pPr>
        <w:pStyle w:val="Footnote"/>
        <w:spacing w:line="200" w:lineRule="atLeast"/>
        <w:rPr>
          <w:szCs w:val="14"/>
        </w:rPr>
      </w:pPr>
      <w:r w:rsidRPr="009630EB">
        <w:rPr>
          <w:rStyle w:val="FootnoteReference"/>
          <w:sz w:val="14"/>
          <w:szCs w:val="14"/>
        </w:rPr>
        <w:footnoteRef/>
      </w:r>
      <w:r w:rsidRPr="009630EB">
        <w:rPr>
          <w:szCs w:val="14"/>
        </w:rPr>
        <w:tab/>
        <w:t>See: www.educationcounts.govt.nz/statistics/schooling/funding/47696.</w:t>
      </w:r>
    </w:p>
  </w:footnote>
  <w:footnote w:id="5">
    <w:p w:rsidR="009650CF" w:rsidRPr="002E2C33" w:rsidRDefault="009650CF" w:rsidP="00D00FCF">
      <w:pPr>
        <w:pStyle w:val="Footnote"/>
        <w:spacing w:line="200" w:lineRule="atLeast"/>
      </w:pPr>
      <w:r w:rsidRPr="002E2C33">
        <w:rPr>
          <w:rStyle w:val="FootnoteReference"/>
        </w:rPr>
        <w:footnoteRef/>
      </w:r>
      <w:r w:rsidRPr="002E2C33">
        <w:tab/>
      </w:r>
      <w:r>
        <w:t>The Progress in International Reading Literacy Study (see Chamberlain &amp; Caygill, 2013).</w:t>
      </w:r>
    </w:p>
  </w:footnote>
  <w:footnote w:id="6">
    <w:p w:rsidR="009650CF" w:rsidRPr="002E2C33" w:rsidRDefault="009650CF" w:rsidP="00D00FCF">
      <w:pPr>
        <w:pStyle w:val="Footnote"/>
        <w:spacing w:line="200" w:lineRule="atLeast"/>
      </w:pPr>
      <w:r w:rsidRPr="002E2C33">
        <w:rPr>
          <w:rStyle w:val="FootnoteReference"/>
        </w:rPr>
        <w:footnoteRef/>
      </w:r>
      <w:r w:rsidRPr="002E2C33">
        <w:tab/>
        <w:t>The Programme for International Student Assessment (see Telford &amp; May, 2010).</w:t>
      </w:r>
    </w:p>
  </w:footnote>
  <w:footnote w:id="7">
    <w:p w:rsidR="009650CF" w:rsidRPr="00F20AB1" w:rsidRDefault="009650CF" w:rsidP="00D00FCF">
      <w:pPr>
        <w:pStyle w:val="Footnote"/>
        <w:spacing w:line="200" w:lineRule="atLeast"/>
        <w:rPr>
          <w:lang w:val="en-NZ"/>
        </w:rPr>
      </w:pPr>
      <w:r w:rsidRPr="002E2C33">
        <w:rPr>
          <w:rStyle w:val="FootnoteReference"/>
        </w:rPr>
        <w:footnoteRef/>
      </w:r>
      <w:r w:rsidRPr="002E2C33">
        <w:tab/>
      </w:r>
      <w:hyperlink r:id="rId1" w:anchor="documents" w:history="1">
        <w:r w:rsidRPr="002E2C33">
          <w:rPr>
            <w:szCs w:val="16"/>
          </w:rPr>
          <w:t>Biddulph (1983) and Biddulph &amp; Tuck (1983), based on the findings of an evaluation found that Reading Together had an effect size of 2.25 on learners level of reading comprehension.</w:t>
        </w:r>
      </w:hyperlink>
    </w:p>
  </w:footnote>
  <w:footnote w:id="8">
    <w:p w:rsidR="009650CF" w:rsidRPr="000813F7" w:rsidRDefault="009650CF" w:rsidP="00D00FCF">
      <w:pPr>
        <w:tabs>
          <w:tab w:val="left" w:pos="284"/>
        </w:tabs>
        <w:spacing w:after="60" w:line="200" w:lineRule="atLeast"/>
        <w:ind w:left="284" w:hanging="284"/>
        <w:rPr>
          <w:sz w:val="14"/>
          <w:szCs w:val="14"/>
          <w:lang w:val="en-NZ"/>
        </w:rPr>
      </w:pPr>
      <w:r w:rsidRPr="000813F7">
        <w:rPr>
          <w:rStyle w:val="FootnoteReference"/>
          <w:sz w:val="14"/>
          <w:szCs w:val="14"/>
        </w:rPr>
        <w:footnoteRef/>
      </w:r>
      <w:r w:rsidRPr="000813F7">
        <w:rPr>
          <w:sz w:val="14"/>
          <w:szCs w:val="14"/>
        </w:rPr>
        <w:tab/>
      </w:r>
      <w:r w:rsidRPr="000813F7">
        <w:rPr>
          <w:rFonts w:cs="Arial"/>
          <w:sz w:val="14"/>
          <w:szCs w:val="14"/>
          <w:lang w:val="en-NZ"/>
        </w:rPr>
        <w:t>Significant refers to statistical significance.</w:t>
      </w:r>
    </w:p>
  </w:footnote>
  <w:footnote w:id="9">
    <w:p w:rsidR="009650CF" w:rsidRPr="00D00FCF" w:rsidRDefault="009650CF" w:rsidP="00D00FCF">
      <w:pPr>
        <w:pStyle w:val="Footnote"/>
        <w:spacing w:line="200" w:lineRule="atLeast"/>
        <w:rPr>
          <w:szCs w:val="14"/>
        </w:rPr>
      </w:pPr>
      <w:r w:rsidRPr="00D00FCF">
        <w:rPr>
          <w:rStyle w:val="FootnoteReference"/>
          <w:sz w:val="14"/>
          <w:szCs w:val="14"/>
        </w:rPr>
        <w:footnoteRef/>
      </w:r>
      <w:r w:rsidRPr="00D00FCF">
        <w:rPr>
          <w:szCs w:val="14"/>
        </w:rPr>
        <w:tab/>
        <w:t xml:space="preserve">The Ministry of Education and NZQA have changed the literacy requirement for NCEA Level 1 from </w:t>
      </w:r>
      <w:r>
        <w:rPr>
          <w:szCs w:val="14"/>
        </w:rPr>
        <w:t xml:space="preserve">eight </w:t>
      </w:r>
      <w:r w:rsidRPr="00D00FCF">
        <w:rPr>
          <w:szCs w:val="14"/>
        </w:rPr>
        <w:t xml:space="preserve">credits to 10 credits and the numeracy requirement for NCEA Level 1 from </w:t>
      </w:r>
      <w:r>
        <w:rPr>
          <w:szCs w:val="14"/>
        </w:rPr>
        <w:t xml:space="preserve">eight </w:t>
      </w:r>
      <w:r w:rsidRPr="00D00FCF">
        <w:rPr>
          <w:szCs w:val="14"/>
        </w:rPr>
        <w:t>credits to 10 credits. The changed requirements were in full effect in 2012. NCEA Level 1 literacy and numeracy requirements will also need to be met in order to achieve NCEA Level 2 from 2013, and NCEA Level 3 from 2014.</w:t>
      </w:r>
    </w:p>
  </w:footnote>
  <w:footnote w:id="10">
    <w:p w:rsidR="009650CF" w:rsidRPr="00D00FCF" w:rsidRDefault="009650CF" w:rsidP="00D00FCF">
      <w:pPr>
        <w:pStyle w:val="Footnote"/>
        <w:spacing w:line="200" w:lineRule="atLeast"/>
        <w:rPr>
          <w:szCs w:val="14"/>
        </w:rPr>
      </w:pPr>
      <w:r w:rsidRPr="00D00FCF">
        <w:rPr>
          <w:rStyle w:val="FootnoteReference"/>
          <w:sz w:val="14"/>
          <w:szCs w:val="14"/>
        </w:rPr>
        <w:footnoteRef/>
      </w:r>
      <w:r w:rsidRPr="00D00FCF">
        <w:rPr>
          <w:szCs w:val="14"/>
        </w:rPr>
        <w:tab/>
        <w:t>PISA assessments were administered in English only. As a consequence no students from wharekura took part in the study.</w:t>
      </w:r>
    </w:p>
  </w:footnote>
  <w:footnote w:id="11">
    <w:p w:rsidR="009650CF" w:rsidRPr="00D13194" w:rsidRDefault="009650CF" w:rsidP="00D00FCF">
      <w:pPr>
        <w:pStyle w:val="Footnote"/>
        <w:spacing w:line="200" w:lineRule="atLeast"/>
        <w:rPr>
          <w:szCs w:val="14"/>
        </w:rPr>
      </w:pPr>
      <w:r w:rsidRPr="00D00FCF">
        <w:rPr>
          <w:rStyle w:val="FootnoteReference"/>
          <w:sz w:val="14"/>
          <w:szCs w:val="14"/>
        </w:rPr>
        <w:footnoteRef/>
      </w:r>
      <w:r w:rsidRPr="00D00FCF">
        <w:rPr>
          <w:szCs w:val="14"/>
        </w:rPr>
        <w:tab/>
        <w:t>Organisation for Economic Cooperation and Development.</w:t>
      </w:r>
    </w:p>
  </w:footnote>
  <w:footnote w:id="12">
    <w:p w:rsidR="009650CF" w:rsidRPr="00D00FCF" w:rsidRDefault="009650CF" w:rsidP="00D00FCF">
      <w:pPr>
        <w:pStyle w:val="Footnote"/>
        <w:spacing w:line="200" w:lineRule="atLeast"/>
        <w:rPr>
          <w:szCs w:val="14"/>
          <w:lang w:val="en-NZ"/>
        </w:rPr>
      </w:pPr>
      <w:r w:rsidRPr="00D00FCF">
        <w:rPr>
          <w:rStyle w:val="FootnoteReference"/>
          <w:sz w:val="14"/>
          <w:szCs w:val="14"/>
        </w:rPr>
        <w:footnoteRef/>
      </w:r>
      <w:r w:rsidRPr="00D00FCF">
        <w:rPr>
          <w:szCs w:val="14"/>
        </w:rPr>
        <w:t xml:space="preserve"> </w:t>
      </w:r>
      <w:r w:rsidRPr="00D00FCF">
        <w:rPr>
          <w:szCs w:val="14"/>
        </w:rPr>
        <w:tab/>
      </w:r>
      <w:r w:rsidRPr="00D00FCF">
        <w:rPr>
          <w:szCs w:val="14"/>
          <w:lang w:val="en-NZ"/>
        </w:rPr>
        <w:t>Pāngarau (grouped) is an aggregate of the multiple ways kura and schools have submitted their pāngarau information. The grouping is an average of achievement in the different pāngarau strands: Pāngarau (by itself), Te Tau me te Taurangi (Number/Algebra), Te Ine me te Āhuahanga (Measurement/Geometry) and Te Tauanga me te Tūponotanga (Statistics/Probability).</w:t>
      </w:r>
    </w:p>
  </w:footnote>
  <w:footnote w:id="13">
    <w:p w:rsidR="009650CF" w:rsidRPr="00D13194" w:rsidRDefault="009650CF" w:rsidP="00D00FCF">
      <w:pPr>
        <w:pStyle w:val="Footnote"/>
        <w:spacing w:line="200" w:lineRule="atLeast"/>
        <w:rPr>
          <w:szCs w:val="14"/>
        </w:rPr>
      </w:pPr>
      <w:r w:rsidRPr="00D13194">
        <w:rPr>
          <w:rStyle w:val="FootnoteReference"/>
          <w:sz w:val="14"/>
          <w:szCs w:val="14"/>
        </w:rPr>
        <w:footnoteRef/>
      </w:r>
      <w:r w:rsidRPr="00D13194">
        <w:rPr>
          <w:szCs w:val="14"/>
        </w:rPr>
        <w:t xml:space="preserve"> </w:t>
      </w:r>
      <w:r w:rsidRPr="00D13194">
        <w:rPr>
          <w:szCs w:val="14"/>
        </w:rPr>
        <w:tab/>
        <w:t>Participation, in this context, is the number of learners attaining a minimum of one credit, as a proportion of the total number of learners.</w:t>
      </w:r>
    </w:p>
  </w:footnote>
  <w:footnote w:id="14">
    <w:p w:rsidR="009650CF" w:rsidRPr="00D13194" w:rsidRDefault="009650CF" w:rsidP="00D00FCF">
      <w:pPr>
        <w:pStyle w:val="Footnote"/>
        <w:spacing w:line="200" w:lineRule="atLeast"/>
        <w:rPr>
          <w:szCs w:val="14"/>
        </w:rPr>
      </w:pPr>
      <w:r w:rsidRPr="00D13194">
        <w:rPr>
          <w:rStyle w:val="FootnoteReference"/>
          <w:sz w:val="14"/>
          <w:szCs w:val="14"/>
        </w:rPr>
        <w:footnoteRef/>
      </w:r>
      <w:r w:rsidRPr="00D13194">
        <w:rPr>
          <w:szCs w:val="14"/>
        </w:rPr>
        <w:tab/>
        <w:t>Achievement, in this context, refers to the number of learners with 14 or more credits in the subject, as a proportion of the number participating in that subject</w:t>
      </w:r>
      <w:r>
        <w:rPr>
          <w:szCs w:val="14"/>
        </w:rPr>
        <w:t>.</w:t>
      </w:r>
    </w:p>
  </w:footnote>
  <w:footnote w:id="15">
    <w:p w:rsidR="009650CF" w:rsidRPr="00D13194" w:rsidRDefault="009650CF" w:rsidP="00D00FCF">
      <w:pPr>
        <w:tabs>
          <w:tab w:val="left" w:pos="284"/>
        </w:tabs>
        <w:spacing w:after="60" w:line="200" w:lineRule="atLeast"/>
        <w:ind w:left="284" w:hanging="284"/>
        <w:rPr>
          <w:sz w:val="14"/>
          <w:szCs w:val="14"/>
          <w:lang w:val="en-NZ"/>
        </w:rPr>
      </w:pPr>
      <w:r w:rsidRPr="00D13194">
        <w:rPr>
          <w:rStyle w:val="FootnoteReference"/>
          <w:sz w:val="14"/>
          <w:szCs w:val="14"/>
        </w:rPr>
        <w:footnoteRef/>
      </w:r>
      <w:r>
        <w:rPr>
          <w:sz w:val="14"/>
          <w:szCs w:val="14"/>
        </w:rPr>
        <w:tab/>
      </w:r>
      <w:r w:rsidRPr="00D13194">
        <w:rPr>
          <w:rFonts w:cs="Arial"/>
          <w:sz w:val="14"/>
          <w:szCs w:val="14"/>
          <w:lang w:val="en-NZ"/>
        </w:rPr>
        <w:t>For this analysis, total response ethnic group was used.</w:t>
      </w:r>
    </w:p>
  </w:footnote>
  <w:footnote w:id="16">
    <w:p w:rsidR="009650CF" w:rsidRPr="00D00FCF" w:rsidRDefault="009650CF" w:rsidP="00D00FCF">
      <w:pPr>
        <w:pStyle w:val="FootnoteText"/>
        <w:spacing w:after="60" w:line="200" w:lineRule="atLeast"/>
        <w:ind w:left="284" w:hanging="284"/>
        <w:rPr>
          <w:sz w:val="14"/>
          <w:szCs w:val="14"/>
          <w:lang w:val="en-NZ"/>
        </w:rPr>
      </w:pPr>
      <w:r w:rsidRPr="00D00FCF">
        <w:rPr>
          <w:rStyle w:val="FootnoteReference"/>
          <w:sz w:val="14"/>
          <w:szCs w:val="14"/>
        </w:rPr>
        <w:footnoteRef/>
      </w:r>
      <w:r>
        <w:rPr>
          <w:sz w:val="14"/>
          <w:szCs w:val="14"/>
        </w:rPr>
        <w:tab/>
      </w:r>
      <w:r w:rsidRPr="00D00FCF">
        <w:rPr>
          <w:sz w:val="14"/>
          <w:szCs w:val="14"/>
          <w:lang w:val="en-NZ"/>
        </w:rPr>
        <w:t>Participation, in this context, is the number of students attaining a minimum of one credit, as a proportion of the total number of students.</w:t>
      </w:r>
    </w:p>
  </w:footnote>
  <w:footnote w:id="17">
    <w:p w:rsidR="009650CF" w:rsidRPr="005D16DF" w:rsidRDefault="009650CF" w:rsidP="00D00FCF">
      <w:pPr>
        <w:tabs>
          <w:tab w:val="left" w:pos="284"/>
        </w:tabs>
        <w:spacing w:after="60" w:line="200" w:lineRule="atLeast"/>
        <w:ind w:left="284" w:hanging="284"/>
        <w:rPr>
          <w:sz w:val="14"/>
          <w:szCs w:val="14"/>
          <w:lang w:val="en-NZ"/>
        </w:rPr>
      </w:pPr>
      <w:r w:rsidRPr="005D16DF">
        <w:rPr>
          <w:rStyle w:val="FootnoteReference"/>
          <w:sz w:val="14"/>
          <w:szCs w:val="14"/>
        </w:rPr>
        <w:footnoteRef/>
      </w:r>
      <w:r>
        <w:rPr>
          <w:sz w:val="14"/>
          <w:szCs w:val="14"/>
        </w:rPr>
        <w:tab/>
      </w:r>
      <w:r w:rsidRPr="005D16DF">
        <w:rPr>
          <w:sz w:val="14"/>
          <w:szCs w:val="14"/>
          <w:lang w:val="en-NZ"/>
        </w:rPr>
        <w:t>School leaver data for 2009</w:t>
      </w:r>
      <w:r>
        <w:rPr>
          <w:rFonts w:cs="Arial"/>
          <w:sz w:val="14"/>
          <w:szCs w:val="14"/>
          <w:lang w:val="en-NZ"/>
        </w:rPr>
        <w:t>–</w:t>
      </w:r>
      <w:r w:rsidRPr="005D16DF">
        <w:rPr>
          <w:sz w:val="14"/>
          <w:szCs w:val="14"/>
          <w:lang w:val="en-NZ"/>
        </w:rPr>
        <w:t>2011 may differ from data presented in previous years, as students who left and then returned to school after April 1 in a given year were removed from the relevant year’s school leaver data set before processing in 2013. Prior to this, these students were counted as school leavers.</w:t>
      </w:r>
    </w:p>
  </w:footnote>
  <w:footnote w:id="18">
    <w:p w:rsidR="009650CF" w:rsidRPr="005D16DF" w:rsidRDefault="009650CF" w:rsidP="00D00FCF">
      <w:pPr>
        <w:tabs>
          <w:tab w:val="left" w:pos="284"/>
        </w:tabs>
        <w:spacing w:after="60" w:line="200" w:lineRule="atLeast"/>
        <w:ind w:left="284" w:hanging="284"/>
        <w:rPr>
          <w:sz w:val="14"/>
          <w:szCs w:val="14"/>
          <w:lang w:val="en-NZ"/>
        </w:rPr>
      </w:pPr>
      <w:r w:rsidRPr="005D16DF">
        <w:rPr>
          <w:rStyle w:val="FootnoteReference"/>
          <w:sz w:val="14"/>
          <w:szCs w:val="14"/>
        </w:rPr>
        <w:footnoteRef/>
      </w:r>
      <w:r>
        <w:rPr>
          <w:sz w:val="14"/>
          <w:szCs w:val="14"/>
        </w:rPr>
        <w:tab/>
      </w:r>
      <w:r w:rsidRPr="005D16DF">
        <w:rPr>
          <w:sz w:val="14"/>
          <w:szCs w:val="14"/>
          <w:lang w:val="en-NZ"/>
        </w:rPr>
        <w:t xml:space="preserve">This outcome should not be confused with the Better Public Service </w:t>
      </w:r>
      <w:r w:rsidRPr="00650FA1">
        <w:rPr>
          <w:sz w:val="14"/>
          <w:szCs w:val="14"/>
          <w:lang w:val="en-NZ"/>
        </w:rPr>
        <w:t>target (page 48). The target relates</w:t>
      </w:r>
      <w:r w:rsidRPr="005D16DF">
        <w:rPr>
          <w:sz w:val="14"/>
          <w:szCs w:val="14"/>
          <w:lang w:val="en-NZ"/>
        </w:rPr>
        <w:t xml:space="preserve"> to</w:t>
      </w:r>
      <w:r>
        <w:rPr>
          <w:sz w:val="14"/>
          <w:szCs w:val="14"/>
          <w:lang w:val="en-NZ"/>
        </w:rPr>
        <w:t xml:space="preserve"> 18-year-old achievement rather </w:t>
      </w:r>
      <w:r w:rsidRPr="005D16DF">
        <w:rPr>
          <w:sz w:val="14"/>
          <w:szCs w:val="14"/>
          <w:lang w:val="en-NZ"/>
        </w:rPr>
        <w:t>than achievement at the end of schooling.</w:t>
      </w:r>
    </w:p>
  </w:footnote>
  <w:footnote w:id="19">
    <w:p w:rsidR="009650CF" w:rsidRPr="005D16DF" w:rsidRDefault="009650CF" w:rsidP="00D00FCF">
      <w:pPr>
        <w:pStyle w:val="Footnote"/>
        <w:spacing w:line="200" w:lineRule="atLeast"/>
        <w:rPr>
          <w:szCs w:val="14"/>
        </w:rPr>
      </w:pPr>
      <w:r w:rsidRPr="005D16DF">
        <w:rPr>
          <w:rStyle w:val="FootnoteReference"/>
          <w:sz w:val="14"/>
          <w:szCs w:val="14"/>
        </w:rPr>
        <w:footnoteRef/>
      </w:r>
      <w:r w:rsidRPr="005D16DF">
        <w:rPr>
          <w:szCs w:val="14"/>
        </w:rPr>
        <w:tab/>
        <w:t>School achievement is measured for each student relative to all other students taking the same subjects in the same year. Higher-achieving students gained more credits with Excellence and Merit grades.</w:t>
      </w:r>
    </w:p>
  </w:footnote>
  <w:footnote w:id="20">
    <w:p w:rsidR="009650CF" w:rsidRPr="005D16DF" w:rsidRDefault="009650CF" w:rsidP="00D00FCF">
      <w:pPr>
        <w:pStyle w:val="Footnote"/>
        <w:spacing w:line="200" w:lineRule="atLeast"/>
        <w:rPr>
          <w:szCs w:val="14"/>
        </w:rPr>
      </w:pPr>
      <w:r w:rsidRPr="005D16DF">
        <w:rPr>
          <w:rStyle w:val="FootnoteReference"/>
          <w:sz w:val="14"/>
          <w:szCs w:val="14"/>
        </w:rPr>
        <w:footnoteRef/>
      </w:r>
      <w:r w:rsidRPr="005D16DF">
        <w:rPr>
          <w:szCs w:val="14"/>
        </w:rPr>
        <w:tab/>
        <w:t>Some students in the study population identified with multiple ethnic groups or changed the ethnic groups they identified with over time. To explore trends within ethnic groups, the report used the definitions never, ever, or solely belonging to an ethnic group.</w:t>
      </w:r>
    </w:p>
  </w:footnote>
  <w:footnote w:id="21">
    <w:p w:rsidR="009650CF" w:rsidRPr="007F6E7A" w:rsidRDefault="009650CF" w:rsidP="00D00FCF">
      <w:pPr>
        <w:tabs>
          <w:tab w:val="left" w:pos="284"/>
        </w:tabs>
        <w:spacing w:after="60" w:line="200" w:lineRule="atLeast"/>
        <w:ind w:left="284" w:hanging="284"/>
        <w:rPr>
          <w:sz w:val="14"/>
          <w:szCs w:val="14"/>
          <w:lang w:val="en-NZ"/>
        </w:rPr>
      </w:pPr>
      <w:r w:rsidRPr="007F6E7A">
        <w:rPr>
          <w:rStyle w:val="FootnoteReference"/>
          <w:sz w:val="14"/>
          <w:szCs w:val="14"/>
        </w:rPr>
        <w:footnoteRef/>
      </w:r>
      <w:r>
        <w:rPr>
          <w:sz w:val="14"/>
          <w:szCs w:val="14"/>
        </w:rPr>
        <w:tab/>
      </w:r>
      <w:r w:rsidRPr="007F6E7A">
        <w:rPr>
          <w:sz w:val="14"/>
          <w:szCs w:val="14"/>
        </w:rPr>
        <w:t>Target based on an old classification system for the education medium of schools. Classification is now Māori medium, mixed medium, or English medium.</w:t>
      </w:r>
    </w:p>
  </w:footnote>
  <w:footnote w:id="22">
    <w:p w:rsidR="009650CF" w:rsidRPr="007F6E7A" w:rsidRDefault="009650CF" w:rsidP="00D00FCF">
      <w:pPr>
        <w:pStyle w:val="Footnote"/>
        <w:spacing w:line="200" w:lineRule="atLeast"/>
        <w:rPr>
          <w:szCs w:val="14"/>
        </w:rPr>
      </w:pPr>
      <w:r w:rsidRPr="007F6E7A">
        <w:rPr>
          <w:rStyle w:val="FootnoteReference"/>
          <w:sz w:val="14"/>
          <w:szCs w:val="14"/>
        </w:rPr>
        <w:footnoteRef/>
      </w:r>
      <w:r>
        <w:rPr>
          <w:szCs w:val="14"/>
        </w:rPr>
        <w:tab/>
      </w:r>
      <w:r w:rsidRPr="007F6E7A">
        <w:rPr>
          <w:szCs w:val="14"/>
        </w:rPr>
        <w:t>Target based on prioritised ethnicity and a more restrictive historical definition of school leavers.</w:t>
      </w:r>
    </w:p>
  </w:footnote>
  <w:footnote w:id="23">
    <w:p w:rsidR="009650CF" w:rsidRPr="00E55A3D" w:rsidRDefault="009650CF" w:rsidP="00E42E14">
      <w:pPr>
        <w:pStyle w:val="Footnote"/>
      </w:pPr>
      <w:r>
        <w:rPr>
          <w:rStyle w:val="FootnoteReference"/>
        </w:rPr>
        <w:footnoteRef/>
      </w:r>
      <w:r>
        <w:tab/>
        <w:t xml:space="preserve">Ethnic differences analysis for non-enrolled students uses </w:t>
      </w:r>
      <w:r w:rsidRPr="002E2C33">
        <w:t>prioritised ethnicity.</w:t>
      </w:r>
    </w:p>
  </w:footnote>
  <w:footnote w:id="24">
    <w:p w:rsidR="009650CF" w:rsidRPr="00CB51D4" w:rsidRDefault="009650CF" w:rsidP="00D00FCF">
      <w:pPr>
        <w:pStyle w:val="Footnote"/>
        <w:spacing w:line="200" w:lineRule="atLeast"/>
        <w:rPr>
          <w:szCs w:val="14"/>
          <w:lang w:val="en-NZ"/>
        </w:rPr>
      </w:pPr>
      <w:r w:rsidRPr="00CB51D4">
        <w:rPr>
          <w:rStyle w:val="FootnoteReference"/>
          <w:sz w:val="14"/>
          <w:szCs w:val="14"/>
        </w:rPr>
        <w:footnoteRef/>
      </w:r>
      <w:r>
        <w:rPr>
          <w:szCs w:val="14"/>
        </w:rPr>
        <w:tab/>
      </w:r>
      <w:r w:rsidRPr="00CB51D4">
        <w:rPr>
          <w:szCs w:val="14"/>
        </w:rPr>
        <w:t>Ethnic differences analysis for early leaving exemption uses prioritised ethnicity</w:t>
      </w:r>
      <w:r>
        <w:rPr>
          <w:szCs w:val="14"/>
        </w:rPr>
        <w:t>.</w:t>
      </w:r>
    </w:p>
  </w:footnote>
  <w:footnote w:id="25">
    <w:p w:rsidR="009650CF" w:rsidRPr="009901AD" w:rsidRDefault="009650CF" w:rsidP="00D00FCF">
      <w:pPr>
        <w:pStyle w:val="Footnote"/>
        <w:spacing w:line="200" w:lineRule="atLeast"/>
        <w:rPr>
          <w:szCs w:val="14"/>
          <w:lang w:val="en-NZ"/>
        </w:rPr>
      </w:pPr>
      <w:r w:rsidRPr="009901AD">
        <w:rPr>
          <w:rStyle w:val="FootnoteReference"/>
          <w:sz w:val="14"/>
          <w:szCs w:val="14"/>
        </w:rPr>
        <w:footnoteRef/>
      </w:r>
      <w:r>
        <w:rPr>
          <w:szCs w:val="14"/>
        </w:rPr>
        <w:tab/>
      </w:r>
      <w:r w:rsidRPr="009901AD">
        <w:rPr>
          <w:szCs w:val="14"/>
        </w:rPr>
        <w:t>Ethnic differences analysis of absence rates uses prioritised ethnicity.</w:t>
      </w:r>
    </w:p>
  </w:footnote>
  <w:footnote w:id="26">
    <w:p w:rsidR="009650CF" w:rsidRPr="000813F7" w:rsidRDefault="009650CF" w:rsidP="00D00FCF">
      <w:pPr>
        <w:pStyle w:val="Footnote"/>
        <w:spacing w:line="200" w:lineRule="atLeast"/>
        <w:rPr>
          <w:lang w:val="en-NZ"/>
        </w:rPr>
      </w:pPr>
      <w:r w:rsidRPr="000813F7">
        <w:rPr>
          <w:rStyle w:val="FootnoteReference"/>
          <w:sz w:val="14"/>
          <w:szCs w:val="14"/>
        </w:rPr>
        <w:footnoteRef/>
      </w:r>
      <w:r>
        <w:rPr>
          <w:szCs w:val="14"/>
        </w:rPr>
        <w:tab/>
      </w:r>
      <w:r w:rsidRPr="000813F7">
        <w:rPr>
          <w:szCs w:val="14"/>
        </w:rPr>
        <w:t xml:space="preserve">As a consequence of a serious breach of school rules, a school principal can order a student to stand down from school for a period of up to five school days. A stand-down, for any student, can total no more than </w:t>
      </w:r>
      <w:r>
        <w:rPr>
          <w:szCs w:val="14"/>
        </w:rPr>
        <w:t>five</w:t>
      </w:r>
      <w:r w:rsidRPr="000813F7">
        <w:rPr>
          <w:szCs w:val="14"/>
        </w:rPr>
        <w:t xml:space="preserve"> school days in any term, or 10 days in a school year. Students return automatically to school following a stand-down.</w:t>
      </w:r>
      <w:r>
        <w:rPr>
          <w:szCs w:val="14"/>
        </w:rPr>
        <w:br/>
      </w:r>
      <w:r w:rsidRPr="000813F7">
        <w:rPr>
          <w:szCs w:val="14"/>
        </w:rPr>
        <w:t>For very serious breaches of school rules, a principal may suspend a student from attending school until the school Board of trustees decides on the consequence for the student. The Board may decide to lift the suspension with or without conditions, to extend the suspension or, in the most serious cases, to exclude or expel the student.</w:t>
      </w:r>
    </w:p>
  </w:footnote>
  <w:footnote w:id="27">
    <w:p w:rsidR="009650CF" w:rsidRPr="000813F7" w:rsidRDefault="009650CF" w:rsidP="00D00FCF">
      <w:pPr>
        <w:pStyle w:val="Footnote"/>
        <w:spacing w:line="200" w:lineRule="atLeast"/>
        <w:rPr>
          <w:szCs w:val="14"/>
          <w:lang w:val="en-NZ"/>
        </w:rPr>
      </w:pPr>
      <w:r w:rsidRPr="000813F7">
        <w:rPr>
          <w:rStyle w:val="FootnoteReference"/>
          <w:sz w:val="14"/>
          <w:szCs w:val="14"/>
        </w:rPr>
        <w:footnoteRef/>
      </w:r>
      <w:r>
        <w:rPr>
          <w:szCs w:val="14"/>
        </w:rPr>
        <w:tab/>
      </w:r>
      <w:r w:rsidRPr="000813F7">
        <w:rPr>
          <w:szCs w:val="14"/>
        </w:rPr>
        <w:t>Ethnic differences analysis for stand-downs and suspensions uses prioritised ethnicity.</w:t>
      </w:r>
    </w:p>
  </w:footnote>
  <w:footnote w:id="28">
    <w:p w:rsidR="009650CF" w:rsidRPr="009901AD" w:rsidRDefault="009650CF" w:rsidP="00D00FCF">
      <w:pPr>
        <w:pStyle w:val="Footnote"/>
        <w:spacing w:line="200" w:lineRule="atLeast"/>
        <w:rPr>
          <w:szCs w:val="14"/>
          <w:lang w:val="en-NZ"/>
        </w:rPr>
      </w:pPr>
      <w:r w:rsidRPr="009901AD">
        <w:rPr>
          <w:rStyle w:val="FootnoteReference"/>
          <w:sz w:val="14"/>
          <w:szCs w:val="14"/>
        </w:rPr>
        <w:footnoteRef/>
      </w:r>
      <w:r w:rsidRPr="009901AD">
        <w:rPr>
          <w:szCs w:val="14"/>
        </w:rPr>
        <w:tab/>
        <w:t xml:space="preserve">A new, more inclusive methodology is currently being developed to provide a better indicator of teacher loss. One flaw of the current methodology is that teachers who are still in the profession, but for whatever reason, were not teaching during a traditional May snapshot are considered a loss from the previous year, when they could start again in June. The new methodology will address this and other issues. </w:t>
      </w:r>
    </w:p>
  </w:footnote>
  <w:footnote w:id="29">
    <w:p w:rsidR="009650CF" w:rsidRPr="009901AD" w:rsidRDefault="009650CF" w:rsidP="00D00FCF">
      <w:pPr>
        <w:pStyle w:val="Footnote"/>
        <w:spacing w:line="200" w:lineRule="atLeast"/>
        <w:rPr>
          <w:szCs w:val="14"/>
        </w:rPr>
      </w:pPr>
      <w:r w:rsidRPr="009901AD">
        <w:rPr>
          <w:rStyle w:val="FootnoteReference"/>
          <w:sz w:val="14"/>
          <w:szCs w:val="14"/>
        </w:rPr>
        <w:footnoteRef/>
      </w:r>
      <w:r w:rsidRPr="009901AD">
        <w:rPr>
          <w:szCs w:val="14"/>
        </w:rPr>
        <w:tab/>
        <w:t>This expectation is based both on the number of Māori students and the number of positions on the Board.</w:t>
      </w:r>
    </w:p>
  </w:footnote>
  <w:footnote w:id="30">
    <w:p w:rsidR="009650CF" w:rsidRPr="002E2C33" w:rsidRDefault="009650CF" w:rsidP="00D00FCF">
      <w:pPr>
        <w:pStyle w:val="Footnote"/>
        <w:spacing w:line="200" w:lineRule="atLeast"/>
      </w:pPr>
      <w:r w:rsidRPr="00653C0C">
        <w:rPr>
          <w:rStyle w:val="FootnoteReference"/>
          <w:sz w:val="14"/>
          <w:szCs w:val="14"/>
        </w:rPr>
        <w:footnoteRef/>
      </w:r>
      <w:r w:rsidRPr="002E2C33">
        <w:t xml:space="preserve"> </w:t>
      </w:r>
      <w:r w:rsidRPr="002E2C33">
        <w:tab/>
        <w:t>Using prioritised ethnicity data collection.</w:t>
      </w:r>
    </w:p>
  </w:footnote>
  <w:footnote w:id="31">
    <w:p w:rsidR="009650CF" w:rsidRPr="00E54934" w:rsidRDefault="009650CF" w:rsidP="003F43AC">
      <w:pPr>
        <w:pStyle w:val="Footnote"/>
        <w:rPr>
          <w:lang w:val="en-NZ"/>
        </w:rPr>
      </w:pPr>
      <w:r>
        <w:rPr>
          <w:rStyle w:val="FootnoteReference"/>
        </w:rPr>
        <w:footnoteRef/>
      </w:r>
      <w:r>
        <w:t xml:space="preserve"> </w:t>
      </w:r>
      <w:r>
        <w:rPr>
          <w:lang w:val="en-NZ"/>
        </w:rPr>
        <w:t>All schools that have students in years 0</w:t>
      </w:r>
      <w:r>
        <w:rPr>
          <w:rFonts w:cs="Arial"/>
          <w:lang w:val="en-NZ"/>
        </w:rPr>
        <w:t>–</w:t>
      </w:r>
      <w:r>
        <w:rPr>
          <w:lang w:val="en-NZ"/>
        </w:rPr>
        <w:t>8 are included.</w:t>
      </w:r>
    </w:p>
  </w:footnote>
  <w:footnote w:id="32">
    <w:p w:rsidR="009650CF" w:rsidRPr="005476D2" w:rsidRDefault="009650CF" w:rsidP="003F43AC">
      <w:pPr>
        <w:pStyle w:val="Footnote"/>
        <w:rPr>
          <w:lang w:val="en-NZ"/>
        </w:rPr>
      </w:pPr>
      <w:r>
        <w:rPr>
          <w:rStyle w:val="FootnoteReference"/>
        </w:rPr>
        <w:footnoteRef/>
      </w:r>
      <w:r>
        <w:t xml:space="preserve"> </w:t>
      </w:r>
      <w:r>
        <w:rPr>
          <w:lang w:val="en-NZ"/>
        </w:rPr>
        <w:t>That had any students in funding years 1</w:t>
      </w:r>
      <w:r>
        <w:rPr>
          <w:rFonts w:cs="Arial"/>
          <w:lang w:val="en-NZ"/>
        </w:rPr>
        <w:t>–</w:t>
      </w:r>
      <w:r>
        <w:rPr>
          <w:lang w:val="en-NZ"/>
        </w:rPr>
        <w:t>8.</w:t>
      </w:r>
    </w:p>
  </w:footnote>
  <w:footnote w:id="33">
    <w:p w:rsidR="009650CF" w:rsidRPr="00B661D5" w:rsidRDefault="009650CF" w:rsidP="008429FD">
      <w:pPr>
        <w:pStyle w:val="Footnote"/>
      </w:pPr>
      <w:r>
        <w:rPr>
          <w:rStyle w:val="FootnoteReference"/>
        </w:rPr>
        <w:footnoteRef/>
      </w:r>
      <w:r>
        <w:t xml:space="preserve"> That had any students in funding years 1-8</w:t>
      </w:r>
    </w:p>
  </w:footnote>
  <w:footnote w:id="34">
    <w:p w:rsidR="009650CF" w:rsidRPr="002A1C02" w:rsidRDefault="009650CF" w:rsidP="00D00FCF">
      <w:pPr>
        <w:pStyle w:val="Footnote"/>
        <w:spacing w:line="200" w:lineRule="atLeast"/>
      </w:pPr>
      <w:r w:rsidRPr="00D00FCF">
        <w:rPr>
          <w:rStyle w:val="FootnoteReference"/>
          <w:sz w:val="14"/>
        </w:rPr>
        <w:footnoteRef/>
      </w:r>
      <w:r>
        <w:tab/>
      </w:r>
      <w:r w:rsidRPr="002A1C02">
        <w:t>All schools that have students in years 9</w:t>
      </w:r>
      <w:r>
        <w:rPr>
          <w:rFonts w:cs="Arial"/>
        </w:rPr>
        <w:t>–</w:t>
      </w:r>
      <w:r w:rsidRPr="002A1C02">
        <w:t>13 are included</w:t>
      </w:r>
      <w:r>
        <w:t>.</w:t>
      </w:r>
    </w:p>
  </w:footnote>
  <w:footnote w:id="35">
    <w:p w:rsidR="009650CF" w:rsidRPr="002A1C02" w:rsidRDefault="009650CF" w:rsidP="00D00FCF">
      <w:pPr>
        <w:pStyle w:val="Footnote"/>
        <w:spacing w:line="200" w:lineRule="atLeast"/>
      </w:pPr>
      <w:r w:rsidRPr="00D00FCF">
        <w:rPr>
          <w:rStyle w:val="FootnoteReference"/>
          <w:sz w:val="14"/>
        </w:rPr>
        <w:footnoteRef/>
      </w:r>
      <w:r>
        <w:tab/>
      </w:r>
      <w:r w:rsidRPr="002A1C02">
        <w:t>That had any year 9</w:t>
      </w:r>
      <w:r>
        <w:rPr>
          <w:rFonts w:cs="Arial"/>
        </w:rPr>
        <w:t>–</w:t>
      </w:r>
      <w:r w:rsidRPr="002A1C02">
        <w:t>13 students.</w:t>
      </w:r>
    </w:p>
  </w:footnote>
  <w:footnote w:id="36">
    <w:p w:rsidR="009650CF" w:rsidRPr="000F0288" w:rsidRDefault="009650CF" w:rsidP="008429FD">
      <w:pPr>
        <w:pStyle w:val="Footnote"/>
      </w:pPr>
      <w:r>
        <w:rPr>
          <w:rStyle w:val="FootnoteReference"/>
        </w:rPr>
        <w:footnoteRef/>
      </w:r>
      <w:r>
        <w:t xml:space="preserve"> </w:t>
      </w:r>
      <w:r>
        <w:tab/>
        <w:t>That had any students in funding years 9</w:t>
      </w:r>
      <w:r>
        <w:rPr>
          <w:rFonts w:cs="Arial"/>
        </w:rPr>
        <w:t>–</w:t>
      </w:r>
      <w:r>
        <w:t>13</w:t>
      </w:r>
    </w:p>
  </w:footnote>
  <w:footnote w:id="37">
    <w:p w:rsidR="009650CF" w:rsidRPr="002A1C02" w:rsidRDefault="009650CF" w:rsidP="00D00FCF">
      <w:pPr>
        <w:pStyle w:val="Footnote"/>
        <w:spacing w:line="200" w:lineRule="atLeast"/>
      </w:pPr>
      <w:r w:rsidRPr="005D0A65">
        <w:rPr>
          <w:rStyle w:val="FootnoteReference"/>
          <w:sz w:val="14"/>
        </w:rPr>
        <w:footnoteRef/>
      </w:r>
      <w:r>
        <w:tab/>
      </w:r>
      <w:r w:rsidRPr="002A1C02">
        <w:t>The Ministry of Business, Innovation and Employment have changed the way they report NEETs – they have aligned with the official measure that Statistics New Zealand now reports. They now treat caregivers as NEET</w:t>
      </w:r>
      <w:r>
        <w:t>.</w:t>
      </w:r>
    </w:p>
  </w:footnote>
  <w:footnote w:id="38">
    <w:p w:rsidR="009650CF" w:rsidRPr="00355567" w:rsidRDefault="009650CF" w:rsidP="008429FD">
      <w:pPr>
        <w:pStyle w:val="Footnote"/>
        <w:rPr>
          <w:lang w:val="en-NZ"/>
        </w:rPr>
      </w:pPr>
      <w:r>
        <w:rPr>
          <w:rStyle w:val="FootnoteReference"/>
        </w:rPr>
        <w:footnoteRef/>
      </w:r>
      <w:r>
        <w:t xml:space="preserve"> </w:t>
      </w:r>
      <w:r>
        <w:tab/>
        <w:t>The Ministry now report NEETs for 15-to-24 age band because of the highly variable nature of the 15-to-19 band.</w:t>
      </w:r>
    </w:p>
  </w:footnote>
  <w:footnote w:id="39">
    <w:p w:rsidR="009650CF" w:rsidRPr="004103B0" w:rsidRDefault="009650CF" w:rsidP="00D00FCF">
      <w:pPr>
        <w:tabs>
          <w:tab w:val="left" w:pos="284"/>
        </w:tabs>
        <w:spacing w:after="60" w:line="200" w:lineRule="atLeast"/>
        <w:ind w:left="284" w:hanging="284"/>
        <w:rPr>
          <w:sz w:val="14"/>
          <w:szCs w:val="14"/>
          <w:lang w:val="en-NZ"/>
        </w:rPr>
      </w:pPr>
      <w:r w:rsidRPr="004103B0">
        <w:rPr>
          <w:rStyle w:val="FootnoteReference"/>
          <w:sz w:val="14"/>
          <w:szCs w:val="14"/>
        </w:rPr>
        <w:footnoteRef/>
      </w:r>
      <w:r>
        <w:rPr>
          <w:sz w:val="14"/>
          <w:szCs w:val="14"/>
        </w:rPr>
        <w:tab/>
      </w:r>
      <w:r>
        <w:rPr>
          <w:sz w:val="14"/>
          <w:szCs w:val="14"/>
          <w:lang w:val="en-NZ"/>
        </w:rPr>
        <w:t>Results for this standard are now reported using a new definition of school leavers and a move from paper-based collection to electronic collection</w:t>
      </w:r>
      <w:r w:rsidRPr="004103B0">
        <w:rPr>
          <w:sz w:val="14"/>
          <w:szCs w:val="14"/>
          <w:lang w:val="en-NZ"/>
        </w:rPr>
        <w:t>.</w:t>
      </w:r>
      <w:r>
        <w:rPr>
          <w:sz w:val="14"/>
          <w:szCs w:val="14"/>
          <w:lang w:val="en-NZ"/>
        </w:rPr>
        <w:t xml:space="preserve"> For this reason, the result reported for 2011/12 differs slightly from the figure reported previously: 60.9% for Māori and 71.8% for Pasifika.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Default="009650CF" w:rsidP="008822B7">
    <w:pPr>
      <w:pStyle w:val="Header"/>
      <w:rPr>
        <w:szCs w:val="14"/>
      </w:rPr>
    </w:pPr>
  </w:p>
  <w:p w:rsidR="009650CF" w:rsidRPr="008822B7" w:rsidRDefault="009650CF" w:rsidP="008822B7">
    <w:pPr>
      <w:pStyle w:val="Header"/>
      <w:rPr>
        <w:szCs w:val="14"/>
      </w:rPr>
    </w:pPr>
    <w:r>
      <w:rPr>
        <w:noProof/>
        <w:lang w:val="en-NZ" w:eastAsia="en-NZ"/>
      </w:rPr>
      <w:drawing>
        <wp:anchor distT="0" distB="0" distL="114300" distR="114300" simplePos="0" relativeHeight="251678717" behindDoc="0" locked="0" layoutInCell="1" allowOverlap="1">
          <wp:simplePos x="0" y="0"/>
          <wp:positionH relativeFrom="page">
            <wp:posOffset>188595</wp:posOffset>
          </wp:positionH>
          <wp:positionV relativeFrom="page">
            <wp:posOffset>4890770</wp:posOffset>
          </wp:positionV>
          <wp:extent cx="182880" cy="1658620"/>
          <wp:effectExtent l="19050" t="0" r="7620" b="0"/>
          <wp:wrapSquare wrapText="bothSides"/>
          <wp:docPr id="24"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ontents_v2.png"/>
                  <pic:cNvPicPr/>
                </pic:nvPicPr>
                <pic:blipFill>
                  <a:blip r:embed="rId1"/>
                  <a:stretch>
                    <a:fillRect/>
                  </a:stretch>
                </pic:blipFill>
                <pic:spPr>
                  <a:xfrm>
                    <a:off x="0" y="0"/>
                    <a:ext cx="182880" cy="1658620"/>
                  </a:xfrm>
                  <a:prstGeom prst="rect">
                    <a:avLst/>
                  </a:prstGeom>
                </pic:spPr>
              </pic:pic>
            </a:graphicData>
          </a:graphic>
        </wp:anchor>
      </w:drawing>
    </w:r>
    <w:r w:rsidR="00570122" w:rsidRPr="00570122">
      <w:rPr>
        <w:noProof/>
        <w:lang w:val="en-NZ" w:eastAsia="en-NZ"/>
      </w:rPr>
      <w:pict>
        <v:shapetype id="_x0000_t202" coordsize="21600,21600" o:spt="202" path="m,l,21600r21600,l21600,xe">
          <v:stroke joinstyle="miter"/>
          <v:path gradientshapeok="t" o:connecttype="rect"/>
        </v:shapetype>
        <v:shape id="_x0000_s2159" type="#_x0000_t202" style="position:absolute;margin-left:15.35pt;margin-top:413.35pt;width:12.5pt;height:14pt;z-index:251681792;mso-position-horizontal-relative:page;mso-position-vertical-relative:page;v-text-anchor:middle" filled="f" fillcolor="#76923c [2406]" stroked="f" strokecolor="red" strokeweight=".25pt">
          <v:textbox style="mso-next-textbox:#_x0000_s2159" inset="0,0,0,0">
            <w:txbxContent>
              <w:p w:rsidR="009650CF" w:rsidRPr="002F02BA" w:rsidRDefault="00570122" w:rsidP="008822B7">
                <w:pPr>
                  <w:spacing w:after="0" w:line="200" w:lineRule="atLeast"/>
                  <w:jc w:val="center"/>
                  <w:rPr>
                    <w:rFonts w:ascii="Times New Roman" w:hAnsi="Times New Roman"/>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4</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C74465" w:rsidRDefault="009650CF" w:rsidP="00C74465">
    <w:pPr>
      <w:pStyle w:val="Header"/>
      <w:rPr>
        <w:szCs w:val="16"/>
      </w:rPr>
    </w:pPr>
    <w:r w:rsidRPr="00711305">
      <w:rPr>
        <w:noProof/>
        <w:szCs w:val="16"/>
        <w:lang w:val="en-NZ" w:eastAsia="en-NZ"/>
      </w:rPr>
      <w:drawing>
        <wp:anchor distT="0" distB="0" distL="114300" distR="114300" simplePos="0" relativeHeight="251672567" behindDoc="0" locked="0" layoutInCell="1" allowOverlap="1">
          <wp:simplePos x="0" y="0"/>
          <wp:positionH relativeFrom="page">
            <wp:posOffset>7200900</wp:posOffset>
          </wp:positionH>
          <wp:positionV relativeFrom="page">
            <wp:posOffset>3719195</wp:posOffset>
          </wp:positionV>
          <wp:extent cx="177800" cy="2838450"/>
          <wp:effectExtent l="0" t="0" r="0" b="0"/>
          <wp:wrapSquare wrapText="bothSides"/>
          <wp:docPr id="41" name="Picture 3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3_v2.png"/>
                  <pic:cNvPicPr/>
                </pic:nvPicPr>
                <pic:blipFill>
                  <a:blip r:embed="rId1"/>
                  <a:stretch>
                    <a:fillRect/>
                  </a:stretch>
                </pic:blipFill>
                <pic:spPr>
                  <a:xfrm>
                    <a:off x="0" y="0"/>
                    <a:ext cx="177800" cy="2838450"/>
                  </a:xfrm>
                  <a:prstGeom prst="rect">
                    <a:avLst/>
                  </a:prstGeom>
                </pic:spPr>
              </pic:pic>
            </a:graphicData>
          </a:graphic>
        </wp:anchor>
      </w:drawing>
    </w:r>
    <w:r w:rsidR="00570122" w:rsidRPr="00570122">
      <w:rPr>
        <w:rFonts w:ascii="Times New Roman" w:hAnsi="Times New Roman"/>
        <w:noProof/>
        <w:sz w:val="14"/>
        <w:szCs w:val="14"/>
        <w:lang w:val="en-NZ" w:eastAsia="en-NZ"/>
      </w:rPr>
      <w:pict>
        <v:shapetype id="_x0000_t202" coordsize="21600,21600" o:spt="202" path="m,l,21600r21600,l21600,xe">
          <v:stroke joinstyle="miter"/>
          <v:path gradientshapeok="t" o:connecttype="rect"/>
        </v:shapetype>
        <v:shape id="_x0000_s2190" type="#_x0000_t202" style="position:absolute;margin-left:568.6pt;margin-top:0;width:12.5pt;height:14pt;z-index:251759616;mso-position-horizontal-relative:page;mso-position-vertical:center;mso-position-vertical-relative:page;v-text-anchor:middle" filled="f" fillcolor="#76923c [2406]" stroked="f" strokecolor="red" strokeweight=".25pt">
          <v:textbox style="mso-next-textbox:#_x0000_s2190" inset="0,0,0,0">
            <w:txbxContent>
              <w:p w:rsidR="009650CF" w:rsidRPr="00C74465" w:rsidRDefault="00570122" w:rsidP="00C74465">
                <w:pPr>
                  <w:spacing w:after="0" w:line="200" w:lineRule="atLeast"/>
                  <w:jc w:val="center"/>
                  <w:rPr>
                    <w:rFonts w:ascii="Times New Roman" w:hAnsi="Times New Roman"/>
                    <w:b/>
                    <w:color w:val="FFFFFF" w:themeColor="background1"/>
                    <w:sz w:val="21"/>
                    <w:szCs w:val="21"/>
                  </w:rPr>
                </w:pPr>
                <w:r w:rsidRPr="00C74465">
                  <w:rPr>
                    <w:rFonts w:ascii="Times New Roman" w:hAnsi="Times New Roman"/>
                    <w:b/>
                    <w:color w:val="FFFFFF" w:themeColor="background1"/>
                    <w:sz w:val="21"/>
                    <w:szCs w:val="21"/>
                  </w:rPr>
                  <w:fldChar w:fldCharType="begin"/>
                </w:r>
                <w:r w:rsidR="009650CF" w:rsidRPr="00C74465">
                  <w:rPr>
                    <w:rFonts w:ascii="Times New Roman" w:hAnsi="Times New Roman"/>
                    <w:b/>
                    <w:color w:val="FFFFFF" w:themeColor="background1"/>
                    <w:sz w:val="21"/>
                    <w:szCs w:val="21"/>
                  </w:rPr>
                  <w:instrText xml:space="preserve"> PAGE   \* MERGEFORMAT </w:instrText>
                </w:r>
                <w:r w:rsidRPr="00C74465">
                  <w:rPr>
                    <w:rFonts w:ascii="Times New Roman" w:hAnsi="Times New Roman"/>
                    <w:b/>
                    <w:color w:val="FFFFFF" w:themeColor="background1"/>
                    <w:sz w:val="21"/>
                    <w:szCs w:val="21"/>
                  </w:rPr>
                  <w:fldChar w:fldCharType="separate"/>
                </w:r>
                <w:r w:rsidR="00311B65">
                  <w:rPr>
                    <w:rFonts w:ascii="Times New Roman" w:hAnsi="Times New Roman"/>
                    <w:b/>
                    <w:noProof/>
                    <w:color w:val="FFFFFF" w:themeColor="background1"/>
                    <w:sz w:val="21"/>
                    <w:szCs w:val="21"/>
                  </w:rPr>
                  <w:t>47</w:t>
                </w:r>
                <w:r w:rsidRPr="00C74465">
                  <w:rPr>
                    <w:rFonts w:ascii="Times New Roman" w:hAnsi="Times New Roman"/>
                    <w:b/>
                    <w:color w:val="FFFFFF" w:themeColor="background1"/>
                    <w:sz w:val="21"/>
                    <w:szCs w:val="21"/>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8822B7" w:rsidRDefault="009650CF" w:rsidP="008822B7">
    <w:pPr>
      <w:pStyle w:val="Header"/>
      <w:rPr>
        <w:szCs w:val="14"/>
      </w:rPr>
    </w:pPr>
    <w:r>
      <w:rPr>
        <w:noProof/>
        <w:szCs w:val="14"/>
        <w:lang w:val="en-NZ" w:eastAsia="en-NZ"/>
      </w:rPr>
      <w:drawing>
        <wp:anchor distT="0" distB="0" distL="114300" distR="114300" simplePos="0" relativeHeight="251671542" behindDoc="0" locked="0" layoutInCell="1" allowOverlap="1">
          <wp:simplePos x="0" y="0"/>
          <wp:positionH relativeFrom="page">
            <wp:posOffset>180340</wp:posOffset>
          </wp:positionH>
          <wp:positionV relativeFrom="paragraph">
            <wp:posOffset>3213735</wp:posOffset>
          </wp:positionV>
          <wp:extent cx="177800" cy="2895600"/>
          <wp:effectExtent l="0" t="0" r="0" b="0"/>
          <wp:wrapSquare wrapText="bothSides"/>
          <wp:docPr id="42" name="Picture 4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4v2.png"/>
                  <pic:cNvPicPr/>
                </pic:nvPicPr>
                <pic:blipFill>
                  <a:blip r:embed="rId1"/>
                  <a:stretch>
                    <a:fillRect/>
                  </a:stretch>
                </pic:blipFill>
                <pic:spPr>
                  <a:xfrm>
                    <a:off x="0" y="0"/>
                    <a:ext cx="177800" cy="2895600"/>
                  </a:xfrm>
                  <a:prstGeom prst="rect">
                    <a:avLst/>
                  </a:prstGeom>
                </pic:spPr>
              </pic:pic>
            </a:graphicData>
          </a:graphic>
        </wp:anchor>
      </w:drawing>
    </w:r>
    <w:r w:rsidR="00570122">
      <w:rPr>
        <w:noProof/>
        <w:szCs w:val="14"/>
        <w:lang w:val="en-NZ" w:eastAsia="en-NZ"/>
      </w:rPr>
      <w:pict>
        <v:shapetype id="_x0000_t202" coordsize="21600,21600" o:spt="202" path="m,l,21600r21600,l21600,xe">
          <v:stroke joinstyle="miter"/>
          <v:path gradientshapeok="t" o:connecttype="rect"/>
        </v:shapetype>
        <v:shape id="_x0000_s2169" type="#_x0000_t202" style="position:absolute;margin-left:15pt;margin-top:0;width:12.5pt;height:14pt;z-index:251709440;mso-position-horizontal-relative:page;mso-position-vertical:center;mso-position-vertical-relative:page;v-text-anchor:middle" filled="f" fillcolor="#76923c [2406]" stroked="f" strokecolor="red" strokeweight=".25pt">
          <v:textbox style="mso-next-textbox:#_x0000_s2169" inset="0,0,0,0">
            <w:txbxContent>
              <w:p w:rsidR="009650CF" w:rsidRPr="00197E82" w:rsidRDefault="00570122" w:rsidP="008822B7">
                <w:pPr>
                  <w:spacing w:after="0" w:line="200" w:lineRule="atLeast"/>
                  <w:jc w:val="center"/>
                  <w:rPr>
                    <w:rFonts w:ascii="Times New Roman" w:hAnsi="Times New Roman"/>
                    <w:b/>
                    <w:color w:val="FFFFFF" w:themeColor="background1"/>
                    <w:sz w:val="21"/>
                    <w:szCs w:val="21"/>
                  </w:rPr>
                </w:pPr>
                <w:r w:rsidRPr="00197E82">
                  <w:rPr>
                    <w:rFonts w:ascii="Times New Roman" w:hAnsi="Times New Roman"/>
                    <w:b/>
                    <w:color w:val="FFFFFF" w:themeColor="background1"/>
                    <w:sz w:val="21"/>
                    <w:szCs w:val="21"/>
                  </w:rPr>
                  <w:fldChar w:fldCharType="begin"/>
                </w:r>
                <w:r w:rsidR="009650CF" w:rsidRPr="00197E82">
                  <w:rPr>
                    <w:rFonts w:ascii="Times New Roman" w:hAnsi="Times New Roman"/>
                    <w:b/>
                    <w:color w:val="FFFFFF" w:themeColor="background1"/>
                    <w:sz w:val="21"/>
                    <w:szCs w:val="21"/>
                  </w:rPr>
                  <w:instrText xml:space="preserve"> PAGE   \* MERGEFORMAT </w:instrText>
                </w:r>
                <w:r w:rsidRPr="00197E82">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56</w:t>
                </w:r>
                <w:r w:rsidRPr="00197E82">
                  <w:rPr>
                    <w:rFonts w:ascii="Times New Roman" w:hAnsi="Times New Roman"/>
                    <w:b/>
                    <w:color w:val="FFFFFF" w:themeColor="background1"/>
                    <w:sz w:val="21"/>
                    <w:szCs w:val="21"/>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8822B7" w:rsidRDefault="009650CF" w:rsidP="008822B7">
    <w:pPr>
      <w:pStyle w:val="Header"/>
      <w:rPr>
        <w:szCs w:val="16"/>
      </w:rPr>
    </w:pPr>
    <w:r w:rsidRPr="00711305">
      <w:rPr>
        <w:noProof/>
        <w:szCs w:val="16"/>
        <w:lang w:val="en-NZ" w:eastAsia="en-NZ"/>
      </w:rPr>
      <w:drawing>
        <wp:anchor distT="0" distB="0" distL="114300" distR="114300" simplePos="0" relativeHeight="251670517" behindDoc="0" locked="0" layoutInCell="1" allowOverlap="1">
          <wp:simplePos x="0" y="0"/>
          <wp:positionH relativeFrom="page">
            <wp:posOffset>7200900</wp:posOffset>
          </wp:positionH>
          <wp:positionV relativeFrom="paragraph">
            <wp:posOffset>3220085</wp:posOffset>
          </wp:positionV>
          <wp:extent cx="177800" cy="2895600"/>
          <wp:effectExtent l="0" t="0" r="0" b="0"/>
          <wp:wrapSquare wrapText="bothSides"/>
          <wp:docPr id="43" name="Picture 4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4v2.png"/>
                  <pic:cNvPicPr/>
                </pic:nvPicPr>
                <pic:blipFill>
                  <a:blip r:embed="rId1"/>
                  <a:stretch>
                    <a:fillRect/>
                  </a:stretch>
                </pic:blipFill>
                <pic:spPr>
                  <a:xfrm>
                    <a:off x="0" y="0"/>
                    <a:ext cx="177800" cy="2895600"/>
                  </a:xfrm>
                  <a:prstGeom prst="rect">
                    <a:avLst/>
                  </a:prstGeom>
                </pic:spPr>
              </pic:pic>
            </a:graphicData>
          </a:graphic>
        </wp:anchor>
      </w:drawing>
    </w:r>
    <w:r w:rsidR="00570122" w:rsidRPr="00570122">
      <w:rPr>
        <w:noProof/>
        <w:szCs w:val="14"/>
        <w:lang w:val="en-NZ" w:eastAsia="en-NZ"/>
      </w:rPr>
      <w:pict>
        <v:shapetype id="_x0000_t202" coordsize="21600,21600" o:spt="202" path="m,l,21600r21600,l21600,xe">
          <v:stroke joinstyle="miter"/>
          <v:path gradientshapeok="t" o:connecttype="rect"/>
        </v:shapetype>
        <v:shape id="_x0000_s2167" type="#_x0000_t202" style="position:absolute;margin-left:568.15pt;margin-top:0;width:12.5pt;height:14pt;z-index:251706368;mso-position-horizontal:absolute;mso-position-horizontal-relative:page;mso-position-vertical:center;mso-position-vertical-relative:page;v-text-anchor:middle" filled="f" fillcolor="#76923c [2406]" stroked="f" strokecolor="red" strokeweight=".25pt">
          <v:textbox style="mso-next-textbox:#_x0000_s2167" inset="0,0,0,0">
            <w:txbxContent>
              <w:p w:rsidR="009650CF" w:rsidRPr="00555AA7" w:rsidRDefault="00570122" w:rsidP="008822B7">
                <w:pPr>
                  <w:spacing w:after="0" w:line="200" w:lineRule="atLeast"/>
                  <w:jc w:val="center"/>
                  <w:rPr>
                    <w:rFonts w:ascii="Times New Roman" w:hAnsi="Times New Roman"/>
                    <w:b/>
                    <w:color w:val="FFFFFF" w:themeColor="background1"/>
                    <w:sz w:val="21"/>
                    <w:szCs w:val="21"/>
                  </w:rPr>
                </w:pPr>
                <w:r w:rsidRPr="00555AA7">
                  <w:rPr>
                    <w:rFonts w:ascii="Times New Roman" w:hAnsi="Times New Roman"/>
                    <w:b/>
                    <w:color w:val="FFFFFF" w:themeColor="background1"/>
                    <w:sz w:val="21"/>
                    <w:szCs w:val="21"/>
                  </w:rPr>
                  <w:fldChar w:fldCharType="begin"/>
                </w:r>
                <w:r w:rsidR="009650CF" w:rsidRPr="00555AA7">
                  <w:rPr>
                    <w:rFonts w:ascii="Times New Roman" w:hAnsi="Times New Roman"/>
                    <w:b/>
                    <w:color w:val="FFFFFF" w:themeColor="background1"/>
                    <w:sz w:val="21"/>
                    <w:szCs w:val="21"/>
                  </w:rPr>
                  <w:instrText xml:space="preserve"> PAGE   \* MERGEFORMAT </w:instrText>
                </w:r>
                <w:r w:rsidRPr="00555AA7">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55</w:t>
                </w:r>
                <w:r w:rsidRPr="00555AA7">
                  <w:rPr>
                    <w:rFonts w:ascii="Times New Roman" w:hAnsi="Times New Roman"/>
                    <w:b/>
                    <w:color w:val="FFFFFF" w:themeColor="background1"/>
                    <w:sz w:val="21"/>
                    <w:szCs w:val="21"/>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B92C7A" w:rsidRDefault="009650CF" w:rsidP="008822B7">
    <w:pPr>
      <w:pStyle w:val="Header"/>
      <w:rPr>
        <w:szCs w:val="14"/>
      </w:rPr>
    </w:pPr>
    <w:r w:rsidRPr="00711305">
      <w:rPr>
        <w:noProof/>
        <w:szCs w:val="14"/>
        <w:lang w:val="en-NZ" w:eastAsia="en-NZ"/>
      </w:rPr>
      <w:drawing>
        <wp:anchor distT="0" distB="0" distL="114300" distR="114300" simplePos="0" relativeHeight="251668467" behindDoc="0" locked="0" layoutInCell="1" allowOverlap="1">
          <wp:simplePos x="0" y="0"/>
          <wp:positionH relativeFrom="page">
            <wp:posOffset>180340</wp:posOffset>
          </wp:positionH>
          <wp:positionV relativeFrom="paragraph">
            <wp:posOffset>1911985</wp:posOffset>
          </wp:positionV>
          <wp:extent cx="177800" cy="4203700"/>
          <wp:effectExtent l="0" t="0" r="0" b="0"/>
          <wp:wrapSquare wrapText="bothSides"/>
          <wp:docPr id="46" name="Picture 4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5_v2.png"/>
                  <pic:cNvPicPr/>
                </pic:nvPicPr>
                <pic:blipFill>
                  <a:blip r:embed="rId1"/>
                  <a:stretch>
                    <a:fillRect/>
                  </a:stretch>
                </pic:blipFill>
                <pic:spPr>
                  <a:xfrm>
                    <a:off x="0" y="0"/>
                    <a:ext cx="177800" cy="4203700"/>
                  </a:xfrm>
                  <a:prstGeom prst="rect">
                    <a:avLst/>
                  </a:prstGeom>
                </pic:spPr>
              </pic:pic>
            </a:graphicData>
          </a:graphic>
        </wp:anchor>
      </w:drawing>
    </w:r>
    <w:r w:rsidR="00570122">
      <w:rPr>
        <w:noProof/>
        <w:szCs w:val="14"/>
        <w:lang w:val="en-NZ" w:eastAsia="en-NZ"/>
      </w:rPr>
      <w:pict>
        <v:shapetype id="_x0000_t202" coordsize="21600,21600" o:spt="202" path="m,l,21600r21600,l21600,xe">
          <v:stroke joinstyle="miter"/>
          <v:path gradientshapeok="t" o:connecttype="rect"/>
        </v:shapetype>
        <v:shape id="_x0000_s2173" type="#_x0000_t202" style="position:absolute;margin-left:15pt;margin-top:0;width:12.5pt;height:14pt;z-index:251713536;mso-position-horizontal-relative:page;mso-position-vertical:center;mso-position-vertical-relative:page;v-text-anchor:middle" filled="f" fillcolor="#76923c [2406]" stroked="f" strokecolor="red" strokeweight=".25pt">
          <v:textbox style="mso-next-textbox:#_x0000_s2173" inset="0,0,0,0">
            <w:txbxContent>
              <w:p w:rsidR="009650CF" w:rsidRPr="008822B7" w:rsidRDefault="00570122" w:rsidP="008822B7">
                <w:pPr>
                  <w:spacing w:after="0" w:line="200" w:lineRule="atLeast"/>
                  <w:jc w:val="center"/>
                  <w:rPr>
                    <w:rFonts w:ascii="Times New Roman" w:hAnsi="Times New Roman"/>
                    <w:b/>
                    <w:color w:val="FFFFFF" w:themeColor="background1"/>
                    <w:sz w:val="21"/>
                    <w:szCs w:val="21"/>
                  </w:rPr>
                </w:pPr>
                <w:r w:rsidRPr="008822B7">
                  <w:rPr>
                    <w:rFonts w:ascii="Times New Roman" w:hAnsi="Times New Roman"/>
                    <w:b/>
                    <w:color w:val="FFFFFF" w:themeColor="background1"/>
                    <w:sz w:val="21"/>
                    <w:szCs w:val="21"/>
                  </w:rPr>
                  <w:fldChar w:fldCharType="begin"/>
                </w:r>
                <w:r w:rsidR="009650CF" w:rsidRPr="008822B7">
                  <w:rPr>
                    <w:rFonts w:ascii="Times New Roman" w:hAnsi="Times New Roman"/>
                    <w:b/>
                    <w:color w:val="FFFFFF" w:themeColor="background1"/>
                    <w:sz w:val="21"/>
                    <w:szCs w:val="21"/>
                  </w:rPr>
                  <w:instrText xml:space="preserve"> PAGE   \* MERGEFORMAT </w:instrText>
                </w:r>
                <w:r w:rsidRPr="008822B7">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70</w:t>
                </w:r>
                <w:r w:rsidRPr="008822B7">
                  <w:rPr>
                    <w:rFonts w:ascii="Times New Roman" w:hAnsi="Times New Roman"/>
                    <w:b/>
                    <w:color w:val="FFFFFF" w:themeColor="background1"/>
                    <w:sz w:val="21"/>
                    <w:szCs w:val="21"/>
                  </w:rPr>
                  <w:fldChar w:fldCharType="end"/>
                </w:r>
              </w:p>
            </w:txbxContent>
          </v:textbox>
          <w10:wrap anchorx="page" anchory="page"/>
        </v:shape>
      </w:pict>
    </w:r>
    <w:r w:rsidR="00570122">
      <w:rPr>
        <w:noProof/>
        <w:szCs w:val="14"/>
        <w:lang w:val="en-NZ" w:eastAsia="en-NZ"/>
      </w:rPr>
      <w:pict>
        <v:shapetype id="_x0000_t32" coordsize="21600,21600" o:spt="32" o:oned="t" path="m,l21600,21600e" filled="f">
          <v:path arrowok="t" fillok="f" o:connecttype="none"/>
          <o:lock v:ext="edit" shapetype="t"/>
        </v:shapetype>
        <v:shape id="_x0000_s2172" type="#_x0000_t32" style="position:absolute;margin-left:-2481.75pt;margin-top:19.3pt;width:2704.2pt;height:.6pt;z-index:251712512;mso-position-horizontal-relative:text;mso-position-vertical-relative:text" o:connectortype="straight" stroked="f"/>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2F02BA" w:rsidRDefault="009650CF" w:rsidP="002F02BA">
    <w:pPr>
      <w:pStyle w:val="Header"/>
      <w:tabs>
        <w:tab w:val="clear" w:pos="4513"/>
        <w:tab w:val="clear" w:pos="9026"/>
        <w:tab w:val="left" w:pos="2485"/>
      </w:tabs>
      <w:rPr>
        <w:szCs w:val="16"/>
      </w:rPr>
    </w:pPr>
    <w:r>
      <w:rPr>
        <w:noProof/>
        <w:szCs w:val="14"/>
        <w:lang w:val="en-NZ" w:eastAsia="en-NZ"/>
      </w:rPr>
      <w:drawing>
        <wp:anchor distT="0" distB="0" distL="114300" distR="114300" simplePos="0" relativeHeight="251669492" behindDoc="0" locked="0" layoutInCell="1" allowOverlap="1">
          <wp:simplePos x="0" y="0"/>
          <wp:positionH relativeFrom="page">
            <wp:posOffset>7200900</wp:posOffset>
          </wp:positionH>
          <wp:positionV relativeFrom="paragraph">
            <wp:posOffset>1905635</wp:posOffset>
          </wp:positionV>
          <wp:extent cx="177800" cy="4203700"/>
          <wp:effectExtent l="0" t="0" r="0" b="0"/>
          <wp:wrapSquare wrapText="bothSides"/>
          <wp:docPr id="45" name="Picture 4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5_v2.png"/>
                  <pic:cNvPicPr/>
                </pic:nvPicPr>
                <pic:blipFill>
                  <a:blip r:embed="rId1"/>
                  <a:stretch>
                    <a:fillRect/>
                  </a:stretch>
                </pic:blipFill>
                <pic:spPr>
                  <a:xfrm>
                    <a:off x="0" y="0"/>
                    <a:ext cx="177800" cy="4203700"/>
                  </a:xfrm>
                  <a:prstGeom prst="rect">
                    <a:avLst/>
                  </a:prstGeom>
                </pic:spPr>
              </pic:pic>
            </a:graphicData>
          </a:graphic>
        </wp:anchor>
      </w:drawing>
    </w:r>
    <w:r w:rsidR="00570122" w:rsidRPr="00570122">
      <w:rPr>
        <w:noProof/>
        <w:szCs w:val="14"/>
        <w:lang w:val="en-NZ" w:eastAsia="en-NZ"/>
      </w:rPr>
      <w:pict>
        <v:shapetype id="_x0000_t202" coordsize="21600,21600" o:spt="202" path="m,l,21600r21600,l21600,xe">
          <v:stroke joinstyle="miter"/>
          <v:path gradientshapeok="t" o:connecttype="rect"/>
        </v:shapetype>
        <v:shape id="_x0000_s2174" type="#_x0000_t202" style="position:absolute;margin-left:568.05pt;margin-top:0;width:12.5pt;height:14pt;z-index:251716608;mso-position-horizontal-relative:page;mso-position-vertical:center;mso-position-vertical-relative:page;v-text-anchor:middle" filled="f" fillcolor="#76923c [2406]" stroked="f" strokecolor="red" strokeweight=".25pt">
          <v:textbox style="mso-next-textbox:#_x0000_s2174" inset="0,0,0,0">
            <w:txbxContent>
              <w:p w:rsidR="009650CF" w:rsidRPr="002F02BA" w:rsidRDefault="00570122" w:rsidP="002F02BA">
                <w:pPr>
                  <w:spacing w:after="0" w:line="200" w:lineRule="atLeast"/>
                  <w:jc w:val="center"/>
                  <w:rPr>
                    <w:rFonts w:ascii="Centennial Maori" w:hAnsi="Centennial Maori"/>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71</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2F02BA" w:rsidRDefault="009650CF" w:rsidP="002F02BA">
    <w:pPr>
      <w:pStyle w:val="Header"/>
      <w:rPr>
        <w:szCs w:val="14"/>
      </w:rPr>
    </w:pPr>
    <w:r>
      <w:rPr>
        <w:rFonts w:ascii="Times New Roman" w:hAnsi="Times New Roman"/>
        <w:noProof/>
        <w:sz w:val="14"/>
        <w:szCs w:val="14"/>
        <w:lang w:val="en-NZ" w:eastAsia="en-NZ"/>
      </w:rPr>
      <w:drawing>
        <wp:anchor distT="0" distB="0" distL="114300" distR="114300" simplePos="0" relativeHeight="251667442" behindDoc="0" locked="0" layoutInCell="1" allowOverlap="1">
          <wp:simplePos x="0" y="0"/>
          <wp:positionH relativeFrom="page">
            <wp:posOffset>180340</wp:posOffset>
          </wp:positionH>
          <wp:positionV relativeFrom="paragraph">
            <wp:posOffset>2324735</wp:posOffset>
          </wp:positionV>
          <wp:extent cx="177800" cy="3790950"/>
          <wp:effectExtent l="0" t="0" r="0" b="0"/>
          <wp:wrapSquare wrapText="bothSides"/>
          <wp:docPr id="47" name="Picture 4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6_v2.png"/>
                  <pic:cNvPicPr/>
                </pic:nvPicPr>
                <pic:blipFill>
                  <a:blip r:embed="rId1"/>
                  <a:stretch>
                    <a:fillRect/>
                  </a:stretch>
                </pic:blipFill>
                <pic:spPr>
                  <a:xfrm>
                    <a:off x="0" y="0"/>
                    <a:ext cx="177800" cy="3790950"/>
                  </a:xfrm>
                  <a:prstGeom prst="rect">
                    <a:avLst/>
                  </a:prstGeom>
                </pic:spPr>
              </pic:pic>
            </a:graphicData>
          </a:graphic>
        </wp:anchor>
      </w:drawing>
    </w:r>
    <w:r w:rsidR="00570122" w:rsidRPr="00570122">
      <w:rPr>
        <w:rFonts w:ascii="Times New Roman" w:hAnsi="Times New Roman"/>
        <w:noProof/>
        <w:sz w:val="14"/>
        <w:szCs w:val="14"/>
        <w:lang w:val="en-NZ" w:eastAsia="en-NZ"/>
      </w:rPr>
      <w:pict>
        <v:shapetype id="_x0000_t202" coordsize="21600,21600" o:spt="202" path="m,l,21600r21600,l21600,xe">
          <v:stroke joinstyle="miter"/>
          <v:path gradientshapeok="t" o:connecttype="rect"/>
        </v:shapetype>
        <v:shape id="_x0000_s2176" type="#_x0000_t202" style="position:absolute;margin-left:15pt;margin-top:0;width:12.5pt;height:14pt;z-index:251721728;mso-position-horizontal-relative:page;mso-position-vertical:center;mso-position-vertical-relative:page;v-text-anchor:middle" filled="f" fillcolor="#76923c [2406]" stroked="f" strokecolor="red" strokeweight=".25pt">
          <v:textbox style="mso-next-textbox:#_x0000_s2176" inset="0,0,0,0">
            <w:txbxContent>
              <w:p w:rsidR="009650CF" w:rsidRPr="002F02BA" w:rsidRDefault="00570122" w:rsidP="002F02BA">
                <w:pPr>
                  <w:spacing w:after="0" w:line="200" w:lineRule="atLeast"/>
                  <w:jc w:val="center"/>
                  <w:rPr>
                    <w:rFonts w:ascii="Times New Roman" w:hAnsi="Times New Roman"/>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78</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2F02BA" w:rsidRDefault="009650CF" w:rsidP="002F02BA">
    <w:pPr>
      <w:pStyle w:val="Header"/>
      <w:rPr>
        <w:szCs w:val="16"/>
      </w:rPr>
    </w:pPr>
    <w:r w:rsidRPr="00711305">
      <w:rPr>
        <w:noProof/>
        <w:szCs w:val="14"/>
        <w:lang w:val="en-NZ" w:eastAsia="en-NZ"/>
      </w:rPr>
      <w:drawing>
        <wp:anchor distT="0" distB="0" distL="114300" distR="114300" simplePos="0" relativeHeight="251666417" behindDoc="0" locked="0" layoutInCell="1" allowOverlap="1">
          <wp:simplePos x="0" y="0"/>
          <wp:positionH relativeFrom="page">
            <wp:posOffset>7200900</wp:posOffset>
          </wp:positionH>
          <wp:positionV relativeFrom="paragraph">
            <wp:posOffset>2318385</wp:posOffset>
          </wp:positionV>
          <wp:extent cx="177800" cy="3790950"/>
          <wp:effectExtent l="0" t="0" r="0" b="0"/>
          <wp:wrapSquare wrapText="bothSides"/>
          <wp:docPr id="48" name="Picture 4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6_v2.png"/>
                  <pic:cNvPicPr/>
                </pic:nvPicPr>
                <pic:blipFill>
                  <a:blip r:embed="rId1"/>
                  <a:stretch>
                    <a:fillRect/>
                  </a:stretch>
                </pic:blipFill>
                <pic:spPr>
                  <a:xfrm>
                    <a:off x="0" y="0"/>
                    <a:ext cx="177800" cy="3790950"/>
                  </a:xfrm>
                  <a:prstGeom prst="rect">
                    <a:avLst/>
                  </a:prstGeom>
                </pic:spPr>
              </pic:pic>
            </a:graphicData>
          </a:graphic>
        </wp:anchor>
      </w:drawing>
    </w:r>
    <w:r w:rsidR="00570122" w:rsidRPr="00570122">
      <w:rPr>
        <w:noProof/>
        <w:szCs w:val="14"/>
        <w:lang w:val="en-NZ" w:eastAsia="en-NZ"/>
      </w:rPr>
      <w:pict>
        <v:shapetype id="_x0000_t202" coordsize="21600,21600" o:spt="202" path="m,l,21600r21600,l21600,xe">
          <v:stroke joinstyle="miter"/>
          <v:path gradientshapeok="t" o:connecttype="rect"/>
        </v:shapetype>
        <v:shape id="_x0000_s2175" type="#_x0000_t202" style="position:absolute;margin-left:568.05pt;margin-top:0;width:12.5pt;height:14pt;z-index:251718656;mso-position-horizontal-relative:page;mso-position-vertical:center;mso-position-vertical-relative:page;v-text-anchor:middle" filled="f" fillcolor="#76923c [2406]" stroked="f" strokecolor="red" strokeweight=".25pt">
          <v:textbox style="mso-next-textbox:#_x0000_s2175" inset="0,0,0,0">
            <w:txbxContent>
              <w:p w:rsidR="009650CF" w:rsidRPr="002F02BA" w:rsidRDefault="00570122" w:rsidP="002F02BA">
                <w:pPr>
                  <w:spacing w:after="0" w:line="200" w:lineRule="atLeast"/>
                  <w:jc w:val="center"/>
                  <w:rPr>
                    <w:rFonts w:ascii="Times New Roman" w:hAnsi="Times New Roman"/>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79</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2F02BA" w:rsidRDefault="009650CF" w:rsidP="002F02BA">
    <w:pPr>
      <w:pStyle w:val="Header"/>
      <w:rPr>
        <w:szCs w:val="14"/>
      </w:rPr>
    </w:pPr>
    <w:r>
      <w:rPr>
        <w:noProof/>
        <w:szCs w:val="14"/>
        <w:lang w:val="en-NZ" w:eastAsia="en-NZ"/>
      </w:rPr>
      <w:drawing>
        <wp:anchor distT="0" distB="0" distL="114300" distR="114300" simplePos="0" relativeHeight="251665392" behindDoc="0" locked="0" layoutInCell="1" allowOverlap="1">
          <wp:simplePos x="0" y="0"/>
          <wp:positionH relativeFrom="page">
            <wp:posOffset>180340</wp:posOffset>
          </wp:positionH>
          <wp:positionV relativeFrom="paragraph">
            <wp:posOffset>3810635</wp:posOffset>
          </wp:positionV>
          <wp:extent cx="177800" cy="2305050"/>
          <wp:effectExtent l="0" t="0" r="0" b="0"/>
          <wp:wrapSquare wrapText="bothSides"/>
          <wp:docPr id="49" name="Picture 4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Appendix One_v2.png"/>
                  <pic:cNvPicPr/>
                </pic:nvPicPr>
                <pic:blipFill>
                  <a:blip r:embed="rId1"/>
                  <a:stretch>
                    <a:fillRect/>
                  </a:stretch>
                </pic:blipFill>
                <pic:spPr>
                  <a:xfrm>
                    <a:off x="0" y="0"/>
                    <a:ext cx="177800" cy="2305050"/>
                  </a:xfrm>
                  <a:prstGeom prst="rect">
                    <a:avLst/>
                  </a:prstGeom>
                </pic:spPr>
              </pic:pic>
            </a:graphicData>
          </a:graphic>
        </wp:anchor>
      </w:drawing>
    </w:r>
    <w:r w:rsidR="00570122">
      <w:rPr>
        <w:noProof/>
        <w:szCs w:val="14"/>
        <w:lang w:val="en-NZ" w:eastAsia="en-NZ"/>
      </w:rPr>
      <w:pict>
        <v:shapetype id="_x0000_t202" coordsize="21600,21600" o:spt="202" path="m,l,21600r21600,l21600,xe">
          <v:stroke joinstyle="miter"/>
          <v:path gradientshapeok="t" o:connecttype="rect"/>
        </v:shapetype>
        <v:shape id="_x0000_s2178" type="#_x0000_t202" style="position:absolute;margin-left:15pt;margin-top:0;width:12.5pt;height:14pt;z-index:251728896;mso-position-horizontal-relative:page;mso-position-vertical:center;mso-position-vertical-relative:page;v-text-anchor:middle" filled="f" fillcolor="#76923c [2406]" stroked="f" strokecolor="red" strokeweight=".25pt">
          <v:textbox style="mso-next-textbox:#_x0000_s2178" inset="0,0,0,0">
            <w:txbxContent>
              <w:p w:rsidR="009650CF" w:rsidRPr="002F02BA" w:rsidRDefault="00570122" w:rsidP="002F02BA">
                <w:pPr>
                  <w:spacing w:after="0" w:line="200" w:lineRule="atLeast"/>
                  <w:jc w:val="center"/>
                  <w:rPr>
                    <w:rFonts w:ascii="Times New Roman" w:hAnsi="Times New Roman"/>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80</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2F02BA" w:rsidRDefault="009650CF" w:rsidP="002F02BA">
    <w:pPr>
      <w:pStyle w:val="Header"/>
      <w:rPr>
        <w:szCs w:val="16"/>
      </w:rPr>
    </w:pPr>
    <w:r w:rsidRPr="00711305">
      <w:rPr>
        <w:noProof/>
        <w:szCs w:val="16"/>
        <w:lang w:val="en-NZ" w:eastAsia="en-NZ"/>
      </w:rPr>
      <w:drawing>
        <wp:anchor distT="0" distB="0" distL="114300" distR="114300" simplePos="0" relativeHeight="251664367" behindDoc="0" locked="0" layoutInCell="1" allowOverlap="1">
          <wp:simplePos x="0" y="0"/>
          <wp:positionH relativeFrom="page">
            <wp:posOffset>7200900</wp:posOffset>
          </wp:positionH>
          <wp:positionV relativeFrom="paragraph">
            <wp:posOffset>3804285</wp:posOffset>
          </wp:positionV>
          <wp:extent cx="177800" cy="2305050"/>
          <wp:effectExtent l="0" t="0" r="0" b="0"/>
          <wp:wrapSquare wrapText="bothSides"/>
          <wp:docPr id="61" name="Picture 4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Appendix One_v2.png"/>
                  <pic:cNvPicPr/>
                </pic:nvPicPr>
                <pic:blipFill>
                  <a:blip r:embed="rId1"/>
                  <a:stretch>
                    <a:fillRect/>
                  </a:stretch>
                </pic:blipFill>
                <pic:spPr>
                  <a:xfrm>
                    <a:off x="0" y="0"/>
                    <a:ext cx="177800" cy="2305050"/>
                  </a:xfrm>
                  <a:prstGeom prst="rect">
                    <a:avLst/>
                  </a:prstGeom>
                </pic:spPr>
              </pic:pic>
            </a:graphicData>
          </a:graphic>
        </wp:anchor>
      </w:drawing>
    </w:r>
    <w:r w:rsidR="00570122" w:rsidRPr="00570122">
      <w:rPr>
        <w:noProof/>
        <w:szCs w:val="14"/>
        <w:lang w:val="en-NZ" w:eastAsia="en-NZ"/>
      </w:rPr>
      <w:pict>
        <v:shapetype id="_x0000_t202" coordsize="21600,21600" o:spt="202" path="m,l,21600r21600,l21600,xe">
          <v:stroke joinstyle="miter"/>
          <v:path gradientshapeok="t" o:connecttype="rect"/>
        </v:shapetype>
        <v:shape id="_x0000_s2177" type="#_x0000_t202" style="position:absolute;margin-left:568.05pt;margin-top:0;width:12.5pt;height:14pt;z-index:251725824;mso-position-horizontal-relative:page;mso-position-vertical:center;mso-position-vertical-relative:page;v-text-anchor:middle" filled="f" fillcolor="#76923c [2406]" stroked="f" strokecolor="red" strokeweight=".25pt">
          <v:textbox style="mso-next-textbox:#_x0000_s2177" inset="0,0,0,0">
            <w:txbxContent>
              <w:p w:rsidR="009650CF" w:rsidRPr="002F02BA" w:rsidRDefault="00570122" w:rsidP="002F02BA">
                <w:pPr>
                  <w:spacing w:after="0" w:line="200" w:lineRule="atLeast"/>
                  <w:jc w:val="center"/>
                  <w:rPr>
                    <w:rFonts w:ascii="Centennial Maori" w:hAnsi="Centennial Maori"/>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81</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B7680C" w:rsidRDefault="009650CF" w:rsidP="00B7680C">
    <w:pPr>
      <w:pStyle w:val="Header"/>
      <w:rPr>
        <w:szCs w:val="14"/>
      </w:rPr>
    </w:pPr>
    <w:r>
      <w:rPr>
        <w:noProof/>
        <w:szCs w:val="14"/>
        <w:lang w:val="en-NZ" w:eastAsia="en-NZ"/>
      </w:rPr>
      <w:drawing>
        <wp:anchor distT="0" distB="0" distL="114300" distR="114300" simplePos="0" relativeHeight="251783168" behindDoc="1" locked="0" layoutInCell="1" allowOverlap="1">
          <wp:simplePos x="0" y="0"/>
          <wp:positionH relativeFrom="column">
            <wp:posOffset>-680085</wp:posOffset>
          </wp:positionH>
          <wp:positionV relativeFrom="paragraph">
            <wp:posOffset>3810635</wp:posOffset>
          </wp:positionV>
          <wp:extent cx="182880" cy="2298700"/>
          <wp:effectExtent l="0" t="0" r="7620" b="0"/>
          <wp:wrapNone/>
          <wp:docPr id="36" name="Picture 3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Appendix Two.png"/>
                  <pic:cNvPicPr/>
                </pic:nvPicPr>
                <pic:blipFill>
                  <a:blip r:embed="rId1"/>
                  <a:stretch>
                    <a:fillRect/>
                  </a:stretch>
                </pic:blipFill>
                <pic:spPr>
                  <a:xfrm>
                    <a:off x="0" y="0"/>
                    <a:ext cx="182880" cy="2298700"/>
                  </a:xfrm>
                  <a:prstGeom prst="rect">
                    <a:avLst/>
                  </a:prstGeom>
                </pic:spPr>
              </pic:pic>
            </a:graphicData>
          </a:graphic>
        </wp:anchor>
      </w:drawing>
    </w:r>
    <w:r w:rsidR="00570122">
      <w:rPr>
        <w:noProof/>
        <w:szCs w:val="14"/>
        <w:lang w:val="en-NZ" w:eastAsia="en-NZ"/>
      </w:rPr>
      <w:pict>
        <v:shapetype id="_x0000_t202" coordsize="21600,21600" o:spt="202" path="m,l,21600r21600,l21600,xe">
          <v:stroke joinstyle="miter"/>
          <v:path gradientshapeok="t" o:connecttype="rect"/>
        </v:shapetype>
        <v:shape id="_x0000_s2211" type="#_x0000_t202" style="position:absolute;margin-left:15.35pt;margin-top:0;width:12.5pt;height:14pt;z-index:251784192;mso-position-horizontal-relative:page;mso-position-vertical:center;mso-position-vertical-relative:page;v-text-anchor:middle" filled="f" fillcolor="#76923c [2406]" stroked="f" strokecolor="red" strokeweight=".25pt">
          <v:textbox style="mso-next-textbox:#_x0000_s2211" inset="0,0,0,0">
            <w:txbxContent>
              <w:p w:rsidR="009650CF" w:rsidRPr="002F02BA" w:rsidRDefault="00570122" w:rsidP="00B7680C">
                <w:pPr>
                  <w:spacing w:after="0" w:line="200" w:lineRule="atLeast"/>
                  <w:jc w:val="center"/>
                  <w:rPr>
                    <w:rFonts w:ascii="Centennial Maori" w:hAnsi="Centennial Maori"/>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96</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6D6329" w:rsidRDefault="009650CF" w:rsidP="008822B7">
    <w:pPr>
      <w:pStyle w:val="Header"/>
      <w:rPr>
        <w:szCs w:val="14"/>
      </w:rPr>
    </w:pPr>
  </w:p>
  <w:p w:rsidR="009650CF" w:rsidRPr="008822B7" w:rsidRDefault="009650CF" w:rsidP="008822B7">
    <w:pPr>
      <w:pStyle w:val="Header"/>
      <w:rPr>
        <w:szCs w:val="16"/>
      </w:rPr>
    </w:pPr>
    <w:r>
      <w:rPr>
        <w:noProof/>
        <w:szCs w:val="14"/>
        <w:lang w:val="en-NZ" w:eastAsia="en-NZ"/>
      </w:rPr>
      <w:drawing>
        <wp:anchor distT="0" distB="0" distL="114300" distR="114300" simplePos="0" relativeHeight="251679742" behindDoc="0" locked="0" layoutInCell="1" allowOverlap="1">
          <wp:simplePos x="0" y="0"/>
          <wp:positionH relativeFrom="page">
            <wp:posOffset>7204710</wp:posOffset>
          </wp:positionH>
          <wp:positionV relativeFrom="page">
            <wp:posOffset>4890770</wp:posOffset>
          </wp:positionV>
          <wp:extent cx="179070" cy="1664335"/>
          <wp:effectExtent l="19050" t="0" r="0" b="0"/>
          <wp:wrapSquare wrapText="bothSides"/>
          <wp:docPr id="15"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ontents_v2.png"/>
                  <pic:cNvPicPr/>
                </pic:nvPicPr>
                <pic:blipFill>
                  <a:blip r:embed="rId1"/>
                  <a:stretch>
                    <a:fillRect/>
                  </a:stretch>
                </pic:blipFill>
                <pic:spPr>
                  <a:xfrm>
                    <a:off x="0" y="0"/>
                    <a:ext cx="179070" cy="1664335"/>
                  </a:xfrm>
                  <a:prstGeom prst="rect">
                    <a:avLst/>
                  </a:prstGeom>
                </pic:spPr>
              </pic:pic>
            </a:graphicData>
          </a:graphic>
        </wp:anchor>
      </w:drawing>
    </w:r>
    <w:r w:rsidR="00570122" w:rsidRPr="00570122">
      <w:rPr>
        <w:noProof/>
        <w:szCs w:val="14"/>
        <w:lang w:val="en-NZ" w:eastAsia="en-NZ"/>
      </w:rPr>
      <w:pict>
        <v:shapetype id="_x0000_t202" coordsize="21600,21600" o:spt="202" path="m,l,21600r21600,l21600,xe">
          <v:stroke joinstyle="miter"/>
          <v:path gradientshapeok="t" o:connecttype="rect"/>
        </v:shapetype>
        <v:shape id="_x0000_s2160" type="#_x0000_t202" style="position:absolute;margin-left:567.3pt;margin-top:0;width:12.5pt;height:14pt;z-index:251684864;mso-position-horizontal:absolute;mso-position-horizontal-relative:page;mso-position-vertical:center;mso-position-vertical-relative:page;v-text-anchor:middle" filled="f" fillcolor="#76923c [2406]" stroked="f" strokecolor="red" strokeweight=".25pt">
          <v:textbox style="mso-next-textbox:#_x0000_s2160" inset="0,0,0,0">
            <w:txbxContent>
              <w:p w:rsidR="009650CF" w:rsidRPr="002F02BA" w:rsidRDefault="00570122" w:rsidP="008822B7">
                <w:pPr>
                  <w:spacing w:after="0" w:line="200" w:lineRule="atLeast"/>
                  <w:jc w:val="center"/>
                  <w:rPr>
                    <w:rFonts w:ascii="Times New Roman" w:hAnsi="Times New Roman"/>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311B65">
                  <w:rPr>
                    <w:rFonts w:ascii="Times New Roman" w:hAnsi="Times New Roman"/>
                    <w:b/>
                    <w:noProof/>
                    <w:color w:val="FFFFFF" w:themeColor="background1"/>
                    <w:sz w:val="21"/>
                    <w:szCs w:val="21"/>
                  </w:rPr>
                  <w:t>5</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2F02BA" w:rsidRDefault="009650CF" w:rsidP="002F02BA">
    <w:pPr>
      <w:pStyle w:val="Header"/>
      <w:rPr>
        <w:szCs w:val="16"/>
      </w:rPr>
    </w:pPr>
    <w:r>
      <w:rPr>
        <w:noProof/>
        <w:szCs w:val="14"/>
        <w:lang w:val="en-NZ" w:eastAsia="en-NZ"/>
      </w:rPr>
      <w:drawing>
        <wp:anchor distT="0" distB="0" distL="114300" distR="114300" simplePos="0" relativeHeight="251663342" behindDoc="1" locked="0" layoutInCell="1" allowOverlap="1">
          <wp:simplePos x="0" y="0"/>
          <wp:positionH relativeFrom="page">
            <wp:posOffset>7200900</wp:posOffset>
          </wp:positionH>
          <wp:positionV relativeFrom="paragraph">
            <wp:posOffset>3816985</wp:posOffset>
          </wp:positionV>
          <wp:extent cx="177800" cy="2298700"/>
          <wp:effectExtent l="0" t="0" r="0" b="0"/>
          <wp:wrapTight wrapText="bothSides">
            <wp:wrapPolygon edited="0">
              <wp:start x="0" y="0"/>
              <wp:lineTo x="0" y="21481"/>
              <wp:lineTo x="18514" y="21481"/>
              <wp:lineTo x="18514" y="17185"/>
              <wp:lineTo x="16200" y="14499"/>
              <wp:lineTo x="16200" y="14320"/>
              <wp:lineTo x="18514" y="12888"/>
              <wp:lineTo x="18514" y="11456"/>
              <wp:lineTo x="20829" y="10740"/>
              <wp:lineTo x="20829" y="5907"/>
              <wp:lineTo x="11571" y="5728"/>
              <wp:lineTo x="18514" y="3222"/>
              <wp:lineTo x="18514" y="0"/>
              <wp:lineTo x="0" y="0"/>
            </wp:wrapPolygon>
          </wp:wrapTight>
          <wp:docPr id="63" name="Picture 6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Appendix Two_v2.png"/>
                  <pic:cNvPicPr/>
                </pic:nvPicPr>
                <pic:blipFill>
                  <a:blip r:embed="rId1"/>
                  <a:stretch>
                    <a:fillRect/>
                  </a:stretch>
                </pic:blipFill>
                <pic:spPr>
                  <a:xfrm>
                    <a:off x="0" y="0"/>
                    <a:ext cx="177800" cy="2298700"/>
                  </a:xfrm>
                  <a:prstGeom prst="rect">
                    <a:avLst/>
                  </a:prstGeom>
                </pic:spPr>
              </pic:pic>
            </a:graphicData>
          </a:graphic>
        </wp:anchor>
      </w:drawing>
    </w:r>
    <w:r w:rsidR="00570122" w:rsidRPr="00570122">
      <w:rPr>
        <w:noProof/>
        <w:szCs w:val="14"/>
        <w:lang w:val="en-NZ" w:eastAsia="en-NZ"/>
      </w:rPr>
      <w:pict>
        <v:shapetype id="_x0000_t202" coordsize="21600,21600" o:spt="202" path="m,l,21600r21600,l21600,xe">
          <v:stroke joinstyle="miter"/>
          <v:path gradientshapeok="t" o:connecttype="rect"/>
        </v:shapetype>
        <v:shape id="_x0000_s2180" type="#_x0000_t202" style="position:absolute;margin-left:568.05pt;margin-top:0;width:12.5pt;height:14pt;z-index:251735040;mso-position-horizontal-relative:page;mso-position-vertical:center;mso-position-vertical-relative:page;v-text-anchor:middle" filled="f" fillcolor="#76923c [2406]" stroked="f" strokecolor="red" strokeweight=".25pt">
          <v:textbox style="mso-next-textbox:#_x0000_s2180" inset="0,0,0,0">
            <w:txbxContent>
              <w:p w:rsidR="009650CF" w:rsidRPr="002F02BA" w:rsidRDefault="00570122" w:rsidP="002F02BA">
                <w:pPr>
                  <w:spacing w:after="0" w:line="200" w:lineRule="atLeast"/>
                  <w:jc w:val="center"/>
                  <w:rPr>
                    <w:rFonts w:ascii="Times New Roman" w:hAnsi="Times New Roman"/>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95</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2F02BA" w:rsidRDefault="009650CF" w:rsidP="002F02BA">
    <w:pPr>
      <w:pStyle w:val="Header"/>
      <w:rPr>
        <w:szCs w:val="14"/>
      </w:rPr>
    </w:pPr>
    <w:r w:rsidRPr="007A3F0B">
      <w:rPr>
        <w:noProof/>
        <w:szCs w:val="14"/>
        <w:lang w:val="en-NZ" w:eastAsia="en-NZ"/>
      </w:rPr>
      <w:drawing>
        <wp:anchor distT="0" distB="0" distL="114300" distR="114300" simplePos="0" relativeHeight="251661292" behindDoc="0" locked="0" layoutInCell="1" allowOverlap="1">
          <wp:simplePos x="0" y="0"/>
          <wp:positionH relativeFrom="page">
            <wp:posOffset>177800</wp:posOffset>
          </wp:positionH>
          <wp:positionV relativeFrom="page">
            <wp:posOffset>4367530</wp:posOffset>
          </wp:positionV>
          <wp:extent cx="177800" cy="2190750"/>
          <wp:effectExtent l="0" t="0" r="0" b="0"/>
          <wp:wrapSquare wrapText="bothSides"/>
          <wp:docPr id="68" name="Picture 66" descr="&quot;&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References_v2.png"/>
                  <pic:cNvPicPr/>
                </pic:nvPicPr>
                <pic:blipFill>
                  <a:blip r:embed="rId1"/>
                  <a:stretch>
                    <a:fillRect/>
                  </a:stretch>
                </pic:blipFill>
                <pic:spPr>
                  <a:xfrm>
                    <a:off x="0" y="0"/>
                    <a:ext cx="177800" cy="2190750"/>
                  </a:xfrm>
                  <a:prstGeom prst="rect">
                    <a:avLst/>
                  </a:prstGeom>
                </pic:spPr>
              </pic:pic>
            </a:graphicData>
          </a:graphic>
        </wp:anchor>
      </w:drawing>
    </w:r>
    <w:r w:rsidR="00570122">
      <w:rPr>
        <w:noProof/>
        <w:szCs w:val="14"/>
        <w:lang w:val="en-NZ" w:eastAsia="en-NZ"/>
      </w:rPr>
      <w:pict>
        <v:shapetype id="_x0000_t202" coordsize="21600,21600" o:spt="202" path="m,l,21600r21600,l21600,xe">
          <v:stroke joinstyle="miter"/>
          <v:path gradientshapeok="t" o:connecttype="rect"/>
        </v:shapetype>
        <v:shape id="_x0000_s2182" type="#_x0000_t202" style="position:absolute;margin-left:15pt;margin-top:0;width:12.5pt;height:14pt;z-index:251741184;mso-position-horizontal-relative:page;mso-position-vertical:center;mso-position-vertical-relative:page;v-text-anchor:middle" filled="f" fillcolor="#76923c [2406]" stroked="f" strokecolor="red" strokeweight=".25pt">
          <v:textbox style="mso-next-textbox:#_x0000_s2182" inset="0,0,0,0">
            <w:txbxContent>
              <w:p w:rsidR="009650CF" w:rsidRPr="002F02BA" w:rsidRDefault="00570122" w:rsidP="002F02BA">
                <w:pPr>
                  <w:spacing w:after="0" w:line="200" w:lineRule="atLeast"/>
                  <w:jc w:val="center"/>
                  <w:rPr>
                    <w:rFonts w:ascii="Centennial Maori" w:hAnsi="Centennial Maori"/>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98</w:t>
                </w:r>
                <w:r w:rsidRPr="002F02BA">
                  <w:rPr>
                    <w:rFonts w:ascii="Times New Roman" w:hAnsi="Times New Roman"/>
                    <w:b/>
                    <w:color w:val="FFFFFF" w:themeColor="background1"/>
                    <w:sz w:val="21"/>
                    <w:szCs w:val="21"/>
                  </w:rPr>
                  <w:fldChar w:fldCharType="end"/>
                </w:r>
              </w:p>
            </w:txbxContent>
          </v:textbox>
          <w10:wrap anchorx="page" anchory="page"/>
        </v:shape>
      </w:pict>
    </w:r>
    <w:r w:rsidR="00570122">
      <w:rPr>
        <w:noProof/>
        <w:szCs w:val="14"/>
        <w:lang w:val="en-NZ" w:eastAsia="en-NZ"/>
      </w:rPr>
      <w:pict>
        <v:shape id="_x0000_s2181" type="#_x0000_t202" style="position:absolute;margin-left:567.85pt;margin-top:412.4pt;width:12.5pt;height:14pt;z-index:251738112;mso-position-horizontal-relative:page;mso-position-vertical-relative:page;v-text-anchor:middle" filled="f" fillcolor="#76923c [2406]" stroked="f" strokecolor="red" strokeweight=".25pt">
          <v:textbox style="mso-next-textbox:#_x0000_s2181" inset="0,0,0,0">
            <w:txbxContent>
              <w:p w:rsidR="009650CF" w:rsidRPr="002F02BA" w:rsidRDefault="00570122" w:rsidP="002F02BA">
                <w:pPr>
                  <w:spacing w:after="0" w:line="200" w:lineRule="atLeast"/>
                  <w:jc w:val="center"/>
                  <w:rPr>
                    <w:rFonts w:ascii="Times New Roman" w:hAnsi="Times New Roman"/>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98</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2F02BA" w:rsidRDefault="009650CF" w:rsidP="002F02BA">
    <w:pPr>
      <w:pStyle w:val="Header"/>
    </w:pPr>
    <w:r>
      <w:rPr>
        <w:noProof/>
        <w:lang w:val="en-NZ" w:eastAsia="en-NZ"/>
      </w:rPr>
      <w:drawing>
        <wp:anchor distT="0" distB="0" distL="114300" distR="114300" simplePos="0" relativeHeight="251662317" behindDoc="0" locked="0" layoutInCell="1" allowOverlap="1">
          <wp:simplePos x="0" y="0"/>
          <wp:positionH relativeFrom="page">
            <wp:posOffset>7197725</wp:posOffset>
          </wp:positionH>
          <wp:positionV relativeFrom="page">
            <wp:posOffset>4367530</wp:posOffset>
          </wp:positionV>
          <wp:extent cx="180340" cy="2190115"/>
          <wp:effectExtent l="0" t="0" r="0" b="0"/>
          <wp:wrapSquare wrapText="bothSides"/>
          <wp:docPr id="67" name="Picture 6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References_v2.png"/>
                  <pic:cNvPicPr/>
                </pic:nvPicPr>
                <pic:blipFill>
                  <a:blip r:embed="rId1"/>
                  <a:stretch>
                    <a:fillRect/>
                  </a:stretch>
                </pic:blipFill>
                <pic:spPr>
                  <a:xfrm>
                    <a:off x="0" y="0"/>
                    <a:ext cx="180340" cy="2190115"/>
                  </a:xfrm>
                  <a:prstGeom prst="rect">
                    <a:avLst/>
                  </a:prstGeom>
                </pic:spPr>
              </pic:pic>
            </a:graphicData>
          </a:graphic>
        </wp:anchor>
      </w:drawing>
    </w:r>
    <w:r w:rsidR="00570122">
      <w:rPr>
        <w:noProof/>
        <w:lang w:val="en-NZ" w:eastAsia="en-NZ"/>
      </w:rPr>
      <w:pict>
        <v:shapetype id="_x0000_t202" coordsize="21600,21600" o:spt="202" path="m,l,21600r21600,l21600,xe">
          <v:stroke joinstyle="miter"/>
          <v:path gradientshapeok="t" o:connecttype="rect"/>
        </v:shapetype>
        <v:shape id="_x0000_s2232" type="#_x0000_t202" style="position:absolute;margin-left:568.15pt;margin-top:0;width:12.5pt;height:14pt;z-index:251788288;mso-position-horizontal:absolute;mso-position-horizontal-relative:page;mso-position-vertical:center;mso-position-vertical-relative:page;v-text-anchor:middle" filled="f" fillcolor="#76923c [2406]" stroked="f" strokecolor="red" strokeweight=".25pt">
          <v:textbox style="mso-next-textbox:#_x0000_s2232" inset="0,0,0,0">
            <w:txbxContent>
              <w:p w:rsidR="009650CF" w:rsidRPr="002F02BA" w:rsidRDefault="00570122" w:rsidP="007A3F0B">
                <w:pPr>
                  <w:spacing w:after="0" w:line="200" w:lineRule="atLeast"/>
                  <w:jc w:val="center"/>
                  <w:rPr>
                    <w:rFonts w:ascii="Centennial Maori" w:hAnsi="Centennial Maori"/>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99</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2F02BA" w:rsidRDefault="00570122" w:rsidP="002F02BA">
    <w:pPr>
      <w:pStyle w:val="Header"/>
      <w:rPr>
        <w:szCs w:val="14"/>
      </w:rPr>
    </w:pPr>
    <w:r>
      <w:rPr>
        <w:noProof/>
        <w:szCs w:val="14"/>
        <w:lang w:val="en-NZ" w:eastAsia="en-NZ"/>
      </w:rPr>
      <w:pict>
        <v:shapetype id="_x0000_t202" coordsize="21600,21600" o:spt="202" path="m,l,21600r21600,l21600,xe">
          <v:stroke joinstyle="miter"/>
          <v:path gradientshapeok="t" o:connecttype="rect"/>
        </v:shapetype>
        <v:shape id="_x0000_s2254" type="#_x0000_t202" style="position:absolute;margin-left:15pt;margin-top:0;width:12.5pt;height:14pt;z-index:251792384;mso-position-horizontal-relative:page;mso-position-vertical:center;mso-position-vertical-relative:page;v-text-anchor:middle" filled="f" fillcolor="#76923c [2406]" stroked="f" strokecolor="red" strokeweight=".25pt">
          <v:textbox style="mso-next-textbox:#_x0000_s2254" inset="0,0,0,0">
            <w:txbxContent>
              <w:p w:rsidR="009650CF" w:rsidRPr="002F02BA" w:rsidRDefault="00570122" w:rsidP="002F02BA">
                <w:pPr>
                  <w:spacing w:after="0" w:line="200" w:lineRule="atLeast"/>
                  <w:jc w:val="center"/>
                  <w:rPr>
                    <w:rFonts w:ascii="Centennial Maori" w:hAnsi="Centennial Maori"/>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100</w:t>
                </w:r>
                <w:r w:rsidRPr="002F02BA">
                  <w:rPr>
                    <w:rFonts w:ascii="Times New Roman" w:hAnsi="Times New Roman"/>
                    <w:b/>
                    <w:color w:val="FFFFFF" w:themeColor="background1"/>
                    <w:sz w:val="21"/>
                    <w:szCs w:val="21"/>
                  </w:rPr>
                  <w:fldChar w:fldCharType="end"/>
                </w:r>
              </w:p>
            </w:txbxContent>
          </v:textbox>
          <w10:wrap anchorx="page" anchory="page"/>
        </v:shape>
      </w:pict>
    </w:r>
    <w:r>
      <w:rPr>
        <w:noProof/>
        <w:szCs w:val="14"/>
        <w:lang w:val="en-NZ" w:eastAsia="en-NZ"/>
      </w:rPr>
      <w:pict>
        <v:shape id="_x0000_s2253" type="#_x0000_t202" style="position:absolute;margin-left:567.85pt;margin-top:412.4pt;width:12.5pt;height:14pt;z-index:251791360;mso-position-horizontal-relative:page;mso-position-vertical-relative:page;v-text-anchor:middle" filled="f" fillcolor="#76923c [2406]" stroked="f" strokecolor="red" strokeweight=".25pt">
          <v:textbox style="mso-next-textbox:#_x0000_s2253" inset="0,0,0,0">
            <w:txbxContent>
              <w:p w:rsidR="009650CF" w:rsidRPr="002F02BA" w:rsidRDefault="00570122" w:rsidP="002F02BA">
                <w:pPr>
                  <w:spacing w:after="0" w:line="200" w:lineRule="atLeast"/>
                  <w:jc w:val="center"/>
                  <w:rPr>
                    <w:rFonts w:ascii="Times New Roman" w:hAnsi="Times New Roman"/>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100</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B01FBF" w:rsidRDefault="009650CF" w:rsidP="00B01FB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A75772" w:rsidRDefault="009650CF" w:rsidP="00830A57">
    <w:pPr>
      <w:tabs>
        <w:tab w:val="left" w:pos="8931"/>
      </w:tabs>
      <w:spacing w:after="0" w:line="200" w:lineRule="atLeast"/>
      <w:rPr>
        <w:rFonts w:ascii="Times New Roman" w:hAnsi="Times New Roman"/>
        <w:b/>
        <w:color w:val="4A7729"/>
        <w:sz w:val="16"/>
        <w:szCs w:val="16"/>
      </w:rPr>
    </w:pPr>
    <w:r w:rsidRPr="00A75772">
      <w:rPr>
        <w:rFonts w:ascii="Times New Roman" w:hAnsi="Times New Roman"/>
        <w:sz w:val="16"/>
        <w:szCs w:val="16"/>
      </w:rPr>
      <w:t>New Zealand Schools 201</w:t>
    </w:r>
    <w:r>
      <w:rPr>
        <w:rFonts w:ascii="Times New Roman" w:hAnsi="Times New Roman"/>
        <w:sz w:val="16"/>
        <w:szCs w:val="16"/>
      </w:rPr>
      <w:t>2</w:t>
    </w:r>
    <w:r w:rsidRPr="00A75772">
      <w:rPr>
        <w:rFonts w:ascii="Times New Roman" w:hAnsi="Times New Roman"/>
        <w:sz w:val="16"/>
        <w:szCs w:val="16"/>
      </w:rPr>
      <w:tab/>
      <w:t xml:space="preserve">//Page </w:t>
    </w:r>
    <w:r w:rsidR="00570122" w:rsidRPr="00A75772">
      <w:rPr>
        <w:rFonts w:ascii="Times New Roman" w:hAnsi="Times New Roman"/>
        <w:sz w:val="16"/>
        <w:szCs w:val="16"/>
      </w:rPr>
      <w:fldChar w:fldCharType="begin"/>
    </w:r>
    <w:r w:rsidRPr="00A75772">
      <w:rPr>
        <w:rFonts w:ascii="Times New Roman" w:hAnsi="Times New Roman"/>
        <w:sz w:val="16"/>
        <w:szCs w:val="16"/>
      </w:rPr>
      <w:instrText xml:space="preserve"> PAGE   \* MERGEFORMAT </w:instrText>
    </w:r>
    <w:r w:rsidR="00570122" w:rsidRPr="00A75772">
      <w:rPr>
        <w:rFonts w:ascii="Times New Roman" w:hAnsi="Times New Roman"/>
        <w:sz w:val="16"/>
        <w:szCs w:val="16"/>
      </w:rPr>
      <w:fldChar w:fldCharType="separate"/>
    </w:r>
    <w:r>
      <w:rPr>
        <w:rFonts w:ascii="Times New Roman" w:hAnsi="Times New Roman"/>
        <w:noProof/>
        <w:sz w:val="16"/>
        <w:szCs w:val="16"/>
      </w:rPr>
      <w:t>7</w:t>
    </w:r>
    <w:r w:rsidR="00570122" w:rsidRPr="00A75772">
      <w:rPr>
        <w:rFonts w:ascii="Times New Roman" w:hAnsi="Times New Roman"/>
        <w:sz w:val="16"/>
        <w:szCs w:val="16"/>
      </w:rPr>
      <w:fldChar w:fldCharType="end"/>
    </w:r>
    <w:r w:rsidRPr="00A75772">
      <w:rPr>
        <w:rFonts w:ascii="Times New Roman" w:hAnsi="Times New Roman"/>
        <w:sz w:val="16"/>
        <w:szCs w:val="16"/>
      </w:rPr>
      <w:br/>
    </w:r>
    <w:r w:rsidRPr="00A75772">
      <w:rPr>
        <w:rFonts w:ascii="Times New Roman" w:hAnsi="Times New Roman"/>
        <w:b/>
        <w:color w:val="4A7729"/>
        <w:sz w:val="16"/>
        <w:szCs w:val="16"/>
      </w:rPr>
      <w:t>Foreword</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2F02BA" w:rsidRDefault="009650CF" w:rsidP="002F02BA">
    <w:pPr>
      <w:pStyle w:val="Header"/>
      <w:rPr>
        <w:szCs w:val="14"/>
      </w:rPr>
    </w:pPr>
    <w:r w:rsidRPr="00E42AEA">
      <w:rPr>
        <w:noProof/>
        <w:szCs w:val="14"/>
        <w:lang w:val="en-NZ" w:eastAsia="en-NZ"/>
      </w:rPr>
      <w:drawing>
        <wp:anchor distT="0" distB="0" distL="114300" distR="114300" simplePos="0" relativeHeight="251676667" behindDoc="0" locked="0" layoutInCell="1" allowOverlap="1">
          <wp:simplePos x="0" y="0"/>
          <wp:positionH relativeFrom="page">
            <wp:posOffset>183515</wp:posOffset>
          </wp:positionH>
          <wp:positionV relativeFrom="paragraph">
            <wp:posOffset>2762885</wp:posOffset>
          </wp:positionV>
          <wp:extent cx="177800" cy="3346450"/>
          <wp:effectExtent l="0" t="0" r="0" b="0"/>
          <wp:wrapSquare wrapText="bothSides"/>
          <wp:docPr id="37" name="Picture 3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1v2.png"/>
                  <pic:cNvPicPr/>
                </pic:nvPicPr>
                <pic:blipFill>
                  <a:blip r:embed="rId1"/>
                  <a:stretch>
                    <a:fillRect/>
                  </a:stretch>
                </pic:blipFill>
                <pic:spPr>
                  <a:xfrm>
                    <a:off x="0" y="0"/>
                    <a:ext cx="177800" cy="3346450"/>
                  </a:xfrm>
                  <a:prstGeom prst="rect">
                    <a:avLst/>
                  </a:prstGeom>
                </pic:spPr>
              </pic:pic>
            </a:graphicData>
          </a:graphic>
        </wp:anchor>
      </w:drawing>
    </w:r>
    <w:r w:rsidR="00570122" w:rsidRPr="00570122">
      <w:rPr>
        <w:rFonts w:ascii="Centennial Maori" w:hAnsi="Centennial Maori"/>
        <w:noProof/>
        <w:sz w:val="14"/>
        <w:szCs w:val="14"/>
        <w:lang w:val="en-NZ" w:eastAsia="en-NZ"/>
      </w:rPr>
      <w:pict>
        <v:shapetype id="_x0000_t202" coordsize="21600,21600" o:spt="202" path="m,l,21600r21600,l21600,xe">
          <v:stroke joinstyle="miter"/>
          <v:path gradientshapeok="t" o:connecttype="rect"/>
        </v:shapetype>
        <v:shape id="_x0000_s2185" type="#_x0000_t202" style="position:absolute;margin-left:15.05pt;margin-top:0;width:12.5pt;height:14pt;z-index:251747328;mso-position-horizontal-relative:page;mso-position-vertical:center;mso-position-vertical-relative:page;v-text-anchor:middle" filled="f" fillcolor="black [3213]" stroked="f">
          <v:textbox style="mso-next-textbox:#_x0000_s2185" inset="0,0,0,0">
            <w:txbxContent>
              <w:p w:rsidR="009650CF" w:rsidRPr="002F02BA" w:rsidRDefault="00570122" w:rsidP="002F02BA">
                <w:pPr>
                  <w:spacing w:after="0" w:line="200" w:lineRule="atLeast"/>
                  <w:jc w:val="center"/>
                  <w:rPr>
                    <w:rFonts w:ascii="Times New Roman" w:hAnsi="Times New Roman"/>
                    <w:b/>
                    <w:color w:val="FFFFFF" w:themeColor="background1"/>
                    <w:sz w:val="21"/>
                    <w:szCs w:val="21"/>
                  </w:rPr>
                </w:pPr>
                <w:r w:rsidRPr="002F02BA">
                  <w:rPr>
                    <w:rFonts w:ascii="Times New Roman" w:hAnsi="Times New Roman"/>
                    <w:b/>
                    <w:color w:val="FFFFFF" w:themeColor="background1"/>
                    <w:sz w:val="21"/>
                    <w:szCs w:val="21"/>
                  </w:rPr>
                  <w:fldChar w:fldCharType="begin"/>
                </w:r>
                <w:r w:rsidR="009650CF" w:rsidRPr="002F02BA">
                  <w:rPr>
                    <w:rFonts w:ascii="Times New Roman" w:hAnsi="Times New Roman"/>
                    <w:b/>
                    <w:color w:val="FFFFFF" w:themeColor="background1"/>
                    <w:sz w:val="21"/>
                    <w:szCs w:val="21"/>
                  </w:rPr>
                  <w:instrText xml:space="preserve"> PAGE   \* MERGEFORMAT </w:instrText>
                </w:r>
                <w:r w:rsidRPr="002F02BA">
                  <w:rPr>
                    <w:rFonts w:ascii="Times New Roman" w:hAnsi="Times New Roman"/>
                    <w:b/>
                    <w:color w:val="FFFFFF" w:themeColor="background1"/>
                    <w:sz w:val="21"/>
                    <w:szCs w:val="21"/>
                  </w:rPr>
                  <w:fldChar w:fldCharType="separate"/>
                </w:r>
                <w:r w:rsidR="00311B65">
                  <w:rPr>
                    <w:rFonts w:ascii="Times New Roman" w:hAnsi="Times New Roman"/>
                    <w:b/>
                    <w:noProof/>
                    <w:color w:val="FFFFFF" w:themeColor="background1"/>
                    <w:sz w:val="21"/>
                    <w:szCs w:val="21"/>
                  </w:rPr>
                  <w:t>20</w:t>
                </w:r>
                <w:r w:rsidRPr="002F02BA">
                  <w:rPr>
                    <w:rFonts w:ascii="Times New Roman" w:hAnsi="Times New Roman"/>
                    <w:b/>
                    <w:color w:val="FFFFFF" w:themeColor="background1"/>
                    <w:sz w:val="21"/>
                    <w:szCs w:val="21"/>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C74465" w:rsidRDefault="009650CF" w:rsidP="00C74465">
    <w:pPr>
      <w:pStyle w:val="Header"/>
      <w:rPr>
        <w:szCs w:val="16"/>
      </w:rPr>
    </w:pPr>
    <w:r>
      <w:rPr>
        <w:noProof/>
        <w:szCs w:val="14"/>
        <w:lang w:val="en-NZ" w:eastAsia="en-NZ"/>
      </w:rPr>
      <w:drawing>
        <wp:anchor distT="0" distB="0" distL="114300" distR="114300" simplePos="0" relativeHeight="251677692" behindDoc="0" locked="0" layoutInCell="1" allowOverlap="1">
          <wp:simplePos x="0" y="0"/>
          <wp:positionH relativeFrom="page">
            <wp:posOffset>7200900</wp:posOffset>
          </wp:positionH>
          <wp:positionV relativeFrom="paragraph">
            <wp:posOffset>2762885</wp:posOffset>
          </wp:positionV>
          <wp:extent cx="177800" cy="3346450"/>
          <wp:effectExtent l="0" t="0" r="0" b="0"/>
          <wp:wrapSquare wrapText="bothSides"/>
          <wp:docPr id="31" name="Picture 3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1v2.png"/>
                  <pic:cNvPicPr/>
                </pic:nvPicPr>
                <pic:blipFill>
                  <a:blip r:embed="rId1"/>
                  <a:stretch>
                    <a:fillRect/>
                  </a:stretch>
                </pic:blipFill>
                <pic:spPr>
                  <a:xfrm>
                    <a:off x="0" y="0"/>
                    <a:ext cx="177800" cy="3346450"/>
                  </a:xfrm>
                  <a:prstGeom prst="rect">
                    <a:avLst/>
                  </a:prstGeom>
                </pic:spPr>
              </pic:pic>
            </a:graphicData>
          </a:graphic>
        </wp:anchor>
      </w:drawing>
    </w:r>
    <w:r w:rsidR="00570122" w:rsidRPr="00570122">
      <w:rPr>
        <w:noProof/>
        <w:szCs w:val="14"/>
        <w:lang w:val="en-NZ" w:eastAsia="en-NZ"/>
      </w:rPr>
      <w:pict>
        <v:shapetype id="_x0000_t202" coordsize="21600,21600" o:spt="202" path="m,l,21600r21600,l21600,xe">
          <v:stroke joinstyle="miter"/>
          <v:path gradientshapeok="t" o:connecttype="rect"/>
        </v:shapetype>
        <v:shape id="_x0000_s2186" type="#_x0000_t202" style="position:absolute;margin-left:567.85pt;margin-top:0;width:12.5pt;height:14pt;z-index:251750400;mso-position-horizontal-relative:page;mso-position-vertical:center;mso-position-vertical-relative:page;v-text-anchor:middle" filled="f" fillcolor="#76923c [2406]" stroked="f" strokecolor="red" strokeweight=".25pt">
          <v:textbox style="mso-next-textbox:#_x0000_s2186" inset="0,0,0,0">
            <w:txbxContent>
              <w:p w:rsidR="009650CF" w:rsidRPr="00C74465" w:rsidRDefault="00570122" w:rsidP="00C74465">
                <w:pPr>
                  <w:spacing w:after="0" w:line="200" w:lineRule="atLeast"/>
                  <w:jc w:val="center"/>
                  <w:rPr>
                    <w:rFonts w:ascii="Times New Roman" w:hAnsi="Times New Roman"/>
                    <w:b/>
                    <w:color w:val="FFFFFF" w:themeColor="background1"/>
                    <w:sz w:val="21"/>
                    <w:szCs w:val="21"/>
                  </w:rPr>
                </w:pPr>
                <w:r w:rsidRPr="00C74465">
                  <w:rPr>
                    <w:rFonts w:ascii="Times New Roman" w:hAnsi="Times New Roman"/>
                    <w:b/>
                    <w:color w:val="FFFFFF" w:themeColor="background1"/>
                    <w:sz w:val="21"/>
                    <w:szCs w:val="21"/>
                  </w:rPr>
                  <w:fldChar w:fldCharType="begin"/>
                </w:r>
                <w:r w:rsidR="009650CF" w:rsidRPr="00C74465">
                  <w:rPr>
                    <w:rFonts w:ascii="Times New Roman" w:hAnsi="Times New Roman"/>
                    <w:b/>
                    <w:color w:val="FFFFFF" w:themeColor="background1"/>
                    <w:sz w:val="21"/>
                    <w:szCs w:val="21"/>
                  </w:rPr>
                  <w:instrText xml:space="preserve"> PAGE   \* MERGEFORMAT </w:instrText>
                </w:r>
                <w:r w:rsidRPr="00C74465">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9</w:t>
                </w:r>
                <w:r w:rsidRPr="00C74465">
                  <w:rPr>
                    <w:rFonts w:ascii="Times New Roman" w:hAnsi="Times New Roman"/>
                    <w:b/>
                    <w:color w:val="FFFFFF" w:themeColor="background1"/>
                    <w:sz w:val="21"/>
                    <w:szCs w:val="21"/>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E475F1" w:rsidRDefault="009650CF" w:rsidP="00C74465">
    <w:pPr>
      <w:pStyle w:val="Header"/>
      <w:rPr>
        <w:szCs w:val="14"/>
      </w:rPr>
    </w:pPr>
    <w:r>
      <w:rPr>
        <w:noProof/>
        <w:szCs w:val="14"/>
        <w:lang w:val="en-NZ" w:eastAsia="en-NZ"/>
      </w:rPr>
      <w:drawing>
        <wp:anchor distT="0" distB="0" distL="114300" distR="114300" simplePos="0" relativeHeight="251675642" behindDoc="0" locked="0" layoutInCell="1" allowOverlap="1">
          <wp:simplePos x="0" y="0"/>
          <wp:positionH relativeFrom="page">
            <wp:posOffset>177800</wp:posOffset>
          </wp:positionH>
          <wp:positionV relativeFrom="page">
            <wp:posOffset>3935095</wp:posOffset>
          </wp:positionV>
          <wp:extent cx="177800" cy="2623820"/>
          <wp:effectExtent l="0" t="0" r="0" b="0"/>
          <wp:wrapSquare wrapText="bothSides"/>
          <wp:docPr id="38" name="Picture 3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2_v2.png"/>
                  <pic:cNvPicPr/>
                </pic:nvPicPr>
                <pic:blipFill>
                  <a:blip r:embed="rId1"/>
                  <a:stretch>
                    <a:fillRect/>
                  </a:stretch>
                </pic:blipFill>
                <pic:spPr>
                  <a:xfrm>
                    <a:off x="0" y="0"/>
                    <a:ext cx="177800" cy="2623820"/>
                  </a:xfrm>
                  <a:prstGeom prst="rect">
                    <a:avLst/>
                  </a:prstGeom>
                </pic:spPr>
              </pic:pic>
            </a:graphicData>
          </a:graphic>
        </wp:anchor>
      </w:drawing>
    </w:r>
    <w:r w:rsidR="00570122">
      <w:rPr>
        <w:noProof/>
        <w:szCs w:val="14"/>
        <w:lang w:val="en-NZ" w:eastAsia="en-NZ"/>
      </w:rPr>
      <w:pict>
        <v:shapetype id="_x0000_t202" coordsize="21600,21600" o:spt="202" path="m,l,21600r21600,l21600,xe">
          <v:stroke joinstyle="miter"/>
          <v:path gradientshapeok="t" o:connecttype="rect"/>
        </v:shapetype>
        <v:shape id="_x0000_s2189" type="#_x0000_t202" style="position:absolute;margin-left:15.05pt;margin-top:413pt;width:12.5pt;height:14pt;z-index:251756544;mso-position-horizontal-relative:page;mso-position-vertical-relative:page;v-text-anchor:middle" filled="f" fillcolor="black [3213]" stroked="f">
          <v:textbox style="mso-next-textbox:#_x0000_s2189" inset="0,0,0,0">
            <w:txbxContent>
              <w:p w:rsidR="009650CF" w:rsidRPr="00C74465" w:rsidRDefault="00570122" w:rsidP="00C74465">
                <w:pPr>
                  <w:spacing w:after="0" w:line="200" w:lineRule="atLeast"/>
                  <w:jc w:val="center"/>
                  <w:rPr>
                    <w:rFonts w:ascii="Times New Roman" w:hAnsi="Times New Roman"/>
                    <w:b/>
                    <w:color w:val="FFFFFF" w:themeColor="background1"/>
                    <w:sz w:val="21"/>
                    <w:szCs w:val="21"/>
                  </w:rPr>
                </w:pPr>
                <w:r w:rsidRPr="00C74465">
                  <w:rPr>
                    <w:rFonts w:ascii="Times New Roman" w:hAnsi="Times New Roman"/>
                    <w:b/>
                    <w:color w:val="FFFFFF" w:themeColor="background1"/>
                    <w:sz w:val="21"/>
                    <w:szCs w:val="21"/>
                  </w:rPr>
                  <w:fldChar w:fldCharType="begin"/>
                </w:r>
                <w:r w:rsidR="009650CF" w:rsidRPr="00C74465">
                  <w:rPr>
                    <w:rFonts w:ascii="Times New Roman" w:hAnsi="Times New Roman"/>
                    <w:b/>
                    <w:color w:val="FFFFFF" w:themeColor="background1"/>
                    <w:sz w:val="21"/>
                    <w:szCs w:val="21"/>
                  </w:rPr>
                  <w:instrText xml:space="preserve"> PAGE   \* MERGEFORMAT </w:instrText>
                </w:r>
                <w:r w:rsidRPr="00C74465">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28</w:t>
                </w:r>
                <w:r w:rsidRPr="00C74465">
                  <w:rPr>
                    <w:rFonts w:ascii="Times New Roman" w:hAnsi="Times New Roman"/>
                    <w:b/>
                    <w:color w:val="FFFFFF" w:themeColor="background1"/>
                    <w:sz w:val="21"/>
                    <w:szCs w:val="21"/>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C74465" w:rsidRDefault="009650CF" w:rsidP="00C74465">
    <w:pPr>
      <w:pStyle w:val="Header"/>
      <w:rPr>
        <w:szCs w:val="14"/>
      </w:rPr>
    </w:pPr>
    <w:r w:rsidRPr="00711305">
      <w:rPr>
        <w:noProof/>
        <w:szCs w:val="14"/>
        <w:lang w:val="en-NZ" w:eastAsia="en-NZ"/>
      </w:rPr>
      <w:drawing>
        <wp:anchor distT="0" distB="0" distL="114300" distR="114300" simplePos="0" relativeHeight="251674617" behindDoc="0" locked="0" layoutInCell="1" allowOverlap="1">
          <wp:simplePos x="0" y="0"/>
          <wp:positionH relativeFrom="page">
            <wp:posOffset>7200900</wp:posOffset>
          </wp:positionH>
          <wp:positionV relativeFrom="page">
            <wp:posOffset>3937000</wp:posOffset>
          </wp:positionV>
          <wp:extent cx="177800" cy="2628900"/>
          <wp:effectExtent l="0" t="0" r="0" b="0"/>
          <wp:wrapSquare wrapText="bothSides"/>
          <wp:docPr id="39" name="Picture 3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2_v2.png"/>
                  <pic:cNvPicPr/>
                </pic:nvPicPr>
                <pic:blipFill>
                  <a:blip r:embed="rId1"/>
                  <a:stretch>
                    <a:fillRect/>
                  </a:stretch>
                </pic:blipFill>
                <pic:spPr>
                  <a:xfrm>
                    <a:off x="0" y="0"/>
                    <a:ext cx="177800" cy="2628900"/>
                  </a:xfrm>
                  <a:prstGeom prst="rect">
                    <a:avLst/>
                  </a:prstGeom>
                </pic:spPr>
              </pic:pic>
            </a:graphicData>
          </a:graphic>
        </wp:anchor>
      </w:drawing>
    </w:r>
    <w:r w:rsidR="00570122">
      <w:rPr>
        <w:noProof/>
        <w:szCs w:val="14"/>
        <w:lang w:val="en-NZ" w:eastAsia="en-NZ"/>
      </w:rPr>
      <w:pict>
        <v:shapetype id="_x0000_t202" coordsize="21600,21600" o:spt="202" path="m,l,21600r21600,l21600,xe">
          <v:stroke joinstyle="miter"/>
          <v:path gradientshapeok="t" o:connecttype="rect"/>
        </v:shapetype>
        <v:shape id="_x0000_s2187" type="#_x0000_t202" style="position:absolute;margin-left:567.85pt;margin-top:0;width:12.5pt;height:14pt;z-index:251753472;mso-position-horizontal-relative:page;mso-position-vertical:center;mso-position-vertical-relative:page;v-text-anchor:middle" filled="f" fillcolor="#76923c [2406]" stroked="f" strokecolor="red" strokeweight=".25pt">
          <v:textbox style="mso-next-textbox:#_x0000_s2187" inset="0,0,0,0">
            <w:txbxContent>
              <w:p w:rsidR="009650CF" w:rsidRPr="00C74465" w:rsidRDefault="00570122" w:rsidP="00C74465">
                <w:pPr>
                  <w:spacing w:after="0" w:line="200" w:lineRule="atLeast"/>
                  <w:jc w:val="center"/>
                  <w:rPr>
                    <w:rFonts w:ascii="Times New Roman" w:hAnsi="Times New Roman"/>
                    <w:b/>
                    <w:color w:val="FFFFFF" w:themeColor="background1"/>
                    <w:sz w:val="21"/>
                    <w:szCs w:val="21"/>
                  </w:rPr>
                </w:pPr>
                <w:r w:rsidRPr="00C74465">
                  <w:rPr>
                    <w:rFonts w:ascii="Times New Roman" w:hAnsi="Times New Roman"/>
                    <w:b/>
                    <w:color w:val="FFFFFF" w:themeColor="background1"/>
                    <w:sz w:val="21"/>
                    <w:szCs w:val="21"/>
                  </w:rPr>
                  <w:fldChar w:fldCharType="begin"/>
                </w:r>
                <w:r w:rsidR="009650CF" w:rsidRPr="00C74465">
                  <w:rPr>
                    <w:rFonts w:ascii="Times New Roman" w:hAnsi="Times New Roman"/>
                    <w:b/>
                    <w:color w:val="FFFFFF" w:themeColor="background1"/>
                    <w:sz w:val="21"/>
                    <w:szCs w:val="21"/>
                  </w:rPr>
                  <w:instrText xml:space="preserve"> PAGE   \* MERGEFORMAT </w:instrText>
                </w:r>
                <w:r w:rsidRPr="00C74465">
                  <w:rPr>
                    <w:rFonts w:ascii="Times New Roman" w:hAnsi="Times New Roman"/>
                    <w:b/>
                    <w:color w:val="FFFFFF" w:themeColor="background1"/>
                    <w:sz w:val="21"/>
                    <w:szCs w:val="21"/>
                  </w:rPr>
                  <w:fldChar w:fldCharType="separate"/>
                </w:r>
                <w:r w:rsidR="00A776DA">
                  <w:rPr>
                    <w:rFonts w:ascii="Times New Roman" w:hAnsi="Times New Roman"/>
                    <w:b/>
                    <w:noProof/>
                    <w:color w:val="FFFFFF" w:themeColor="background1"/>
                    <w:sz w:val="21"/>
                    <w:szCs w:val="21"/>
                  </w:rPr>
                  <w:t>27</w:t>
                </w:r>
                <w:r w:rsidRPr="00C74465">
                  <w:rPr>
                    <w:rFonts w:ascii="Times New Roman" w:hAnsi="Times New Roman"/>
                    <w:b/>
                    <w:color w:val="FFFFFF" w:themeColor="background1"/>
                    <w:sz w:val="21"/>
                    <w:szCs w:val="21"/>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8822B7" w:rsidRDefault="009650CF" w:rsidP="008822B7">
    <w:pPr>
      <w:pStyle w:val="Header"/>
      <w:rPr>
        <w:szCs w:val="14"/>
      </w:rPr>
    </w:pPr>
    <w:r>
      <w:rPr>
        <w:rFonts w:ascii="Times New Roman" w:hAnsi="Times New Roman"/>
        <w:noProof/>
        <w:sz w:val="14"/>
        <w:szCs w:val="14"/>
        <w:lang w:val="en-NZ" w:eastAsia="en-NZ"/>
      </w:rPr>
      <w:drawing>
        <wp:anchor distT="0" distB="0" distL="114300" distR="114300" simplePos="0" relativeHeight="251673592" behindDoc="0" locked="0" layoutInCell="1" allowOverlap="1">
          <wp:simplePos x="0" y="0"/>
          <wp:positionH relativeFrom="page">
            <wp:posOffset>180340</wp:posOffset>
          </wp:positionH>
          <wp:positionV relativeFrom="paragraph">
            <wp:posOffset>3268980</wp:posOffset>
          </wp:positionV>
          <wp:extent cx="177800" cy="2838450"/>
          <wp:effectExtent l="0" t="0" r="0" b="0"/>
          <wp:wrapSquare wrapText="bothSides"/>
          <wp:docPr id="40" name="Picture 3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Chapter 3_v2.png"/>
                  <pic:cNvPicPr/>
                </pic:nvPicPr>
                <pic:blipFill>
                  <a:blip r:embed="rId1"/>
                  <a:stretch>
                    <a:fillRect/>
                  </a:stretch>
                </pic:blipFill>
                <pic:spPr>
                  <a:xfrm>
                    <a:off x="0" y="0"/>
                    <a:ext cx="177800" cy="2838450"/>
                  </a:xfrm>
                  <a:prstGeom prst="rect">
                    <a:avLst/>
                  </a:prstGeom>
                </pic:spPr>
              </pic:pic>
            </a:graphicData>
          </a:graphic>
        </wp:anchor>
      </w:drawing>
    </w:r>
    <w:r w:rsidR="00570122" w:rsidRPr="00570122">
      <w:rPr>
        <w:rFonts w:ascii="Times New Roman" w:hAnsi="Times New Roman"/>
        <w:noProof/>
        <w:sz w:val="14"/>
        <w:szCs w:val="14"/>
        <w:lang w:val="en-NZ" w:eastAsia="en-NZ"/>
      </w:rPr>
      <w:pict>
        <v:shapetype id="_x0000_t202" coordsize="21600,21600" o:spt="202" path="m,l,21600r21600,l21600,xe">
          <v:stroke joinstyle="miter"/>
          <v:path gradientshapeok="t" o:connecttype="rect"/>
        </v:shapetype>
        <v:shape id="_x0000_s2166" type="#_x0000_t202" style="position:absolute;margin-left:15.3pt;margin-top:0;width:12.5pt;height:14pt;z-index:251703296;mso-position-horizontal:absolute;mso-position-horizontal-relative:page;mso-position-vertical:center;mso-position-vertical-relative:page;v-text-anchor:middle" filled="f" fillcolor="#76923c [2406]" stroked="f" strokecolor="red" strokeweight=".25pt">
          <v:textbox style="mso-next-textbox:#_x0000_s2166" inset="0,0,0,0">
            <w:txbxContent>
              <w:p w:rsidR="009650CF" w:rsidRPr="00C04961" w:rsidRDefault="00570122" w:rsidP="008822B7">
                <w:pPr>
                  <w:spacing w:after="0" w:line="200" w:lineRule="atLeast"/>
                  <w:jc w:val="center"/>
                  <w:rPr>
                    <w:rFonts w:ascii="Times New Roman" w:hAnsi="Times New Roman"/>
                    <w:b/>
                    <w:color w:val="FFFFFF" w:themeColor="background1"/>
                    <w:sz w:val="21"/>
                    <w:szCs w:val="21"/>
                  </w:rPr>
                </w:pPr>
                <w:r w:rsidRPr="00C04961">
                  <w:rPr>
                    <w:rFonts w:ascii="Times New Roman" w:hAnsi="Times New Roman"/>
                    <w:b/>
                    <w:color w:val="FFFFFF" w:themeColor="background1"/>
                    <w:sz w:val="21"/>
                    <w:szCs w:val="21"/>
                  </w:rPr>
                  <w:fldChar w:fldCharType="begin"/>
                </w:r>
                <w:r w:rsidR="009650CF" w:rsidRPr="00C04961">
                  <w:rPr>
                    <w:rFonts w:ascii="Times New Roman" w:hAnsi="Times New Roman"/>
                    <w:b/>
                    <w:color w:val="FFFFFF" w:themeColor="background1"/>
                    <w:sz w:val="21"/>
                    <w:szCs w:val="21"/>
                  </w:rPr>
                  <w:instrText xml:space="preserve"> PAGE   \* MERGEFORMAT </w:instrText>
                </w:r>
                <w:r w:rsidRPr="00C04961">
                  <w:rPr>
                    <w:rFonts w:ascii="Times New Roman" w:hAnsi="Times New Roman"/>
                    <w:b/>
                    <w:color w:val="FFFFFF" w:themeColor="background1"/>
                    <w:sz w:val="21"/>
                    <w:szCs w:val="21"/>
                  </w:rPr>
                  <w:fldChar w:fldCharType="separate"/>
                </w:r>
                <w:r w:rsidR="00311B65">
                  <w:rPr>
                    <w:rFonts w:ascii="Times New Roman" w:hAnsi="Times New Roman"/>
                    <w:b/>
                    <w:noProof/>
                    <w:color w:val="FFFFFF" w:themeColor="background1"/>
                    <w:sz w:val="21"/>
                    <w:szCs w:val="21"/>
                  </w:rPr>
                  <w:t>46</w:t>
                </w:r>
                <w:r w:rsidRPr="00C04961">
                  <w:rPr>
                    <w:rFonts w:ascii="Times New Roman" w:hAnsi="Times New Roman"/>
                    <w:b/>
                    <w:color w:val="FFFFFF" w:themeColor="background1"/>
                    <w:sz w:val="21"/>
                    <w:szCs w:val="21"/>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CF" w:rsidRPr="00830A57" w:rsidRDefault="009650CF" w:rsidP="00830A57">
    <w:pPr>
      <w:tabs>
        <w:tab w:val="left" w:pos="8931"/>
      </w:tabs>
      <w:spacing w:after="0" w:line="200" w:lineRule="atLeast"/>
      <w:rPr>
        <w:rFonts w:ascii="Centennial Maori" w:hAnsi="Centennial Maori"/>
        <w:b/>
        <w:color w:val="005187"/>
        <w:sz w:val="14"/>
        <w:szCs w:val="14"/>
      </w:rPr>
    </w:pPr>
    <w:r w:rsidRPr="00830A57">
      <w:rPr>
        <w:rFonts w:ascii="Centennial Maori" w:hAnsi="Centennial Maori"/>
        <w:sz w:val="14"/>
        <w:szCs w:val="14"/>
      </w:rPr>
      <w:t>New Zealand Schools 201</w:t>
    </w:r>
    <w:r>
      <w:rPr>
        <w:rFonts w:ascii="Centennial Maori" w:hAnsi="Centennial Maori"/>
        <w:sz w:val="14"/>
        <w:szCs w:val="14"/>
      </w:rPr>
      <w:t>1</w:t>
    </w:r>
    <w:r w:rsidRPr="00830A57">
      <w:rPr>
        <w:rFonts w:ascii="Centennial Maori" w:hAnsi="Centennial Maori"/>
        <w:sz w:val="14"/>
        <w:szCs w:val="14"/>
      </w:rPr>
      <w:tab/>
      <w:t xml:space="preserve">//Page </w:t>
    </w:r>
    <w:r w:rsidR="00570122" w:rsidRPr="00830A57">
      <w:rPr>
        <w:rFonts w:ascii="Centennial Maori" w:hAnsi="Centennial Maori"/>
        <w:sz w:val="14"/>
        <w:szCs w:val="14"/>
      </w:rPr>
      <w:fldChar w:fldCharType="begin"/>
    </w:r>
    <w:r w:rsidRPr="00830A57">
      <w:rPr>
        <w:rFonts w:ascii="Centennial Maori" w:hAnsi="Centennial Maori"/>
        <w:sz w:val="14"/>
        <w:szCs w:val="14"/>
      </w:rPr>
      <w:instrText xml:space="preserve"> PAGE   \* MERGEFORMAT </w:instrText>
    </w:r>
    <w:r w:rsidR="00570122" w:rsidRPr="00830A57">
      <w:rPr>
        <w:rFonts w:ascii="Centennial Maori" w:hAnsi="Centennial Maori"/>
        <w:sz w:val="14"/>
        <w:szCs w:val="14"/>
      </w:rPr>
      <w:fldChar w:fldCharType="separate"/>
    </w:r>
    <w:r>
      <w:rPr>
        <w:rFonts w:ascii="Centennial Maori" w:hAnsi="Centennial Maori"/>
        <w:noProof/>
        <w:sz w:val="14"/>
        <w:szCs w:val="14"/>
      </w:rPr>
      <w:t>28</w:t>
    </w:r>
    <w:r w:rsidR="00570122" w:rsidRPr="00830A57">
      <w:rPr>
        <w:rFonts w:ascii="Centennial Maori" w:hAnsi="Centennial Maori"/>
        <w:sz w:val="14"/>
        <w:szCs w:val="14"/>
      </w:rPr>
      <w:fldChar w:fldCharType="end"/>
    </w:r>
    <w:r w:rsidRPr="00830A57">
      <w:rPr>
        <w:rFonts w:ascii="Centennial Maori" w:hAnsi="Centennial Maori"/>
        <w:sz w:val="14"/>
        <w:szCs w:val="14"/>
      </w:rPr>
      <w:br/>
    </w:r>
    <w:r w:rsidRPr="007A60C8">
      <w:rPr>
        <w:rFonts w:ascii="Centennial Maori" w:hAnsi="Centennial Maori"/>
        <w:b/>
        <w:color w:val="F0B600"/>
        <w:sz w:val="14"/>
        <w:szCs w:val="14"/>
      </w:rPr>
      <w:t xml:space="preserve">Chapter </w:t>
    </w:r>
    <w:r>
      <w:rPr>
        <w:rFonts w:ascii="Centennial Maori" w:hAnsi="Centennial Maori"/>
        <w:b/>
        <w:color w:val="F0B600"/>
        <w:sz w:val="14"/>
        <w:szCs w:val="14"/>
      </w:rPr>
      <w:t>3</w:t>
    </w:r>
    <w:r w:rsidRPr="007A60C8">
      <w:rPr>
        <w:rFonts w:ascii="Centennial Maori" w:hAnsi="Centennial Maori"/>
        <w:b/>
        <w:color w:val="F0B600"/>
        <w:sz w:val="14"/>
        <w:szCs w:val="14"/>
      </w:rPr>
      <w:t>:</w:t>
    </w:r>
    <w:r>
      <w:rPr>
        <w:rFonts w:ascii="Centennial Maori" w:hAnsi="Centennial Maori"/>
        <w:b/>
        <w:color w:val="F0B600"/>
        <w:sz w:val="14"/>
        <w:szCs w:val="14"/>
      </w:rPr>
      <w:t xml:space="preserve"> Foundation learner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styleLink w:val="MainList"/>
    <w:lvl w:ilvl="0" w:tplc="FFFFFFFF">
      <w:start w:val="1"/>
      <w:numFmt w:val="bullet"/>
      <w:lvlText w:val="·"/>
      <w:lvlJc w:val="left"/>
      <w:pPr>
        <w:tabs>
          <w:tab w:val="num" w:pos="283"/>
        </w:tabs>
        <w:ind w:left="283" w:hanging="283"/>
      </w:pPr>
      <w:rPr>
        <w:rFonts w:ascii="Symbol" w:eastAsia="Symbol" w:hAnsi="Symbol" w:cs="Symbol"/>
        <w:sz w:val="20"/>
        <w:lang w:val="en-NZ"/>
      </w:rPr>
    </w:lvl>
    <w:lvl w:ilvl="1" w:tplc="FFFFFFFF">
      <w:start w:val="1"/>
      <w:numFmt w:val="bullet"/>
      <w:lvlText w:val="-"/>
      <w:lvlJc w:val="left"/>
      <w:pPr>
        <w:tabs>
          <w:tab w:val="num" w:pos="566"/>
        </w:tabs>
        <w:ind w:left="566" w:hanging="283"/>
      </w:pPr>
      <w:rPr>
        <w:rFonts w:ascii="Symbol" w:eastAsia="Symbol" w:hAnsi="Symbol" w:cs="Symbol"/>
        <w:sz w:val="20"/>
        <w:lang w:val="en-NZ"/>
      </w:rPr>
    </w:lvl>
    <w:lvl w:ilvl="2" w:tplc="FFFFFFFF">
      <w:start w:val="1"/>
      <w:numFmt w:val="bullet"/>
      <w:lvlText w:val="·"/>
      <w:lvlJc w:val="right"/>
      <w:pPr>
        <w:tabs>
          <w:tab w:val="num" w:pos="850"/>
        </w:tabs>
        <w:ind w:left="850" w:hanging="284"/>
      </w:pPr>
      <w:rPr>
        <w:rFonts w:ascii="Symbol" w:eastAsia="Symbol" w:hAnsi="Symbol" w:cs="Symbol"/>
        <w:sz w:val="20"/>
        <w:lang w:val="en-NZ"/>
      </w:rPr>
    </w:lvl>
    <w:lvl w:ilvl="3" w:tplc="FFFFFFFF">
      <w:start w:val="1"/>
      <w:numFmt w:val="bullet"/>
      <w:lvlText w:val="·"/>
      <w:lvlJc w:val="left"/>
      <w:pPr>
        <w:tabs>
          <w:tab w:val="num" w:pos="1133"/>
        </w:tabs>
        <w:ind w:left="1133" w:hanging="283"/>
      </w:pPr>
      <w:rPr>
        <w:rFonts w:ascii="Symbol" w:eastAsia="Symbol" w:hAnsi="Symbol" w:cs="Symbol"/>
        <w:sz w:val="20"/>
        <w:lang w:val="en-NZ"/>
      </w:rPr>
    </w:lvl>
    <w:lvl w:ilvl="4" w:tplc="FFFFFFFF">
      <w:start w:val="1"/>
      <w:numFmt w:val="bullet"/>
      <w:lvlText w:val="·"/>
      <w:lvlJc w:val="left"/>
      <w:pPr>
        <w:tabs>
          <w:tab w:val="num" w:pos="1417"/>
        </w:tabs>
        <w:ind w:left="1417" w:hanging="284"/>
      </w:pPr>
      <w:rPr>
        <w:rFonts w:ascii="Symbol" w:eastAsia="Symbol" w:hAnsi="Symbol" w:cs="Symbol"/>
        <w:sz w:val="20"/>
        <w:lang w:val="en-NZ"/>
      </w:rPr>
    </w:lvl>
    <w:lvl w:ilvl="5" w:tplc="FFFFFFFF">
      <w:start w:val="1"/>
      <w:numFmt w:val="bullet"/>
      <w:lvlText w:val="·"/>
      <w:lvlJc w:val="right"/>
      <w:pPr>
        <w:tabs>
          <w:tab w:val="num" w:pos="1700"/>
        </w:tabs>
        <w:ind w:left="1700" w:hanging="283"/>
      </w:pPr>
      <w:rPr>
        <w:rFonts w:ascii="Symbol" w:eastAsia="Symbol" w:hAnsi="Symbol" w:cs="Symbol"/>
        <w:sz w:val="20"/>
        <w:lang w:val="en-NZ"/>
      </w:rPr>
    </w:lvl>
    <w:lvl w:ilvl="6" w:tplc="FFFFFFFF">
      <w:start w:val="1"/>
      <w:numFmt w:val="bullet"/>
      <w:lvlText w:val="·"/>
      <w:lvlJc w:val="left"/>
      <w:pPr>
        <w:tabs>
          <w:tab w:val="num" w:pos="1984"/>
        </w:tabs>
        <w:ind w:left="1984" w:hanging="284"/>
      </w:pPr>
      <w:rPr>
        <w:rFonts w:ascii="Symbol" w:eastAsia="Symbol" w:hAnsi="Symbol" w:cs="Symbol"/>
        <w:sz w:val="20"/>
        <w:lang w:val="en-NZ"/>
      </w:rPr>
    </w:lvl>
    <w:lvl w:ilvl="7" w:tplc="FFFFFFFF">
      <w:start w:val="1"/>
      <w:numFmt w:val="bullet"/>
      <w:lvlText w:val="·"/>
      <w:lvlJc w:val="left"/>
      <w:pPr>
        <w:tabs>
          <w:tab w:val="num" w:pos="2267"/>
        </w:tabs>
        <w:ind w:left="2267" w:hanging="283"/>
      </w:pPr>
      <w:rPr>
        <w:rFonts w:ascii="Symbol" w:eastAsia="Symbol" w:hAnsi="Symbol" w:cs="Symbol"/>
        <w:sz w:val="20"/>
        <w:lang w:val="en-NZ"/>
      </w:rPr>
    </w:lvl>
    <w:lvl w:ilvl="8" w:tplc="FFFFFFFF">
      <w:start w:val="1"/>
      <w:numFmt w:val="bullet"/>
      <w:lvlText w:val="·"/>
      <w:lvlJc w:val="right"/>
      <w:pPr>
        <w:tabs>
          <w:tab w:val="num" w:pos="2551"/>
        </w:tabs>
        <w:ind w:left="2551" w:hanging="284"/>
      </w:pPr>
      <w:rPr>
        <w:rFonts w:ascii="Symbol" w:eastAsia="Symbol" w:hAnsi="Symbol" w:cs="Symbol"/>
        <w:sz w:val="20"/>
        <w:lang w:val="en-NZ"/>
      </w:rPr>
    </w:lvl>
  </w:abstractNum>
  <w:abstractNum w:abstractNumId="1">
    <w:nsid w:val="05AF4022"/>
    <w:multiLevelType w:val="hybridMultilevel"/>
    <w:tmpl w:val="178005A8"/>
    <w:lvl w:ilvl="0" w:tplc="236AF43E">
      <w:start w:val="1"/>
      <w:numFmt w:val="bullet"/>
      <w:lvlText w:val=""/>
      <w:lvlJc w:val="left"/>
      <w:pPr>
        <w:ind w:left="720" w:hanging="360"/>
      </w:pPr>
      <w:rPr>
        <w:rFonts w:ascii="Symbol" w:hAnsi="Symbol" w:hint="default"/>
        <w:color w:val="447A1C"/>
      </w:rPr>
    </w:lvl>
    <w:lvl w:ilvl="1" w:tplc="559A4BC6" w:tentative="1">
      <w:start w:val="1"/>
      <w:numFmt w:val="bullet"/>
      <w:lvlText w:val="o"/>
      <w:lvlJc w:val="left"/>
      <w:pPr>
        <w:ind w:left="1800" w:hanging="360"/>
      </w:pPr>
      <w:rPr>
        <w:rFonts w:ascii="Courier New" w:hAnsi="Courier New" w:cs="Courier New" w:hint="default"/>
      </w:rPr>
    </w:lvl>
    <w:lvl w:ilvl="2" w:tplc="50AC60B8" w:tentative="1">
      <w:start w:val="1"/>
      <w:numFmt w:val="bullet"/>
      <w:lvlText w:val=""/>
      <w:lvlJc w:val="left"/>
      <w:pPr>
        <w:ind w:left="2520" w:hanging="360"/>
      </w:pPr>
      <w:rPr>
        <w:rFonts w:ascii="Wingdings" w:hAnsi="Wingdings" w:hint="default"/>
      </w:rPr>
    </w:lvl>
    <w:lvl w:ilvl="3" w:tplc="F3CC6A26" w:tentative="1">
      <w:start w:val="1"/>
      <w:numFmt w:val="bullet"/>
      <w:lvlText w:val=""/>
      <w:lvlJc w:val="left"/>
      <w:pPr>
        <w:ind w:left="3240" w:hanging="360"/>
      </w:pPr>
      <w:rPr>
        <w:rFonts w:ascii="Symbol" w:hAnsi="Symbol" w:hint="default"/>
      </w:rPr>
    </w:lvl>
    <w:lvl w:ilvl="4" w:tplc="B1524D16" w:tentative="1">
      <w:start w:val="1"/>
      <w:numFmt w:val="bullet"/>
      <w:lvlText w:val="o"/>
      <w:lvlJc w:val="left"/>
      <w:pPr>
        <w:ind w:left="3960" w:hanging="360"/>
      </w:pPr>
      <w:rPr>
        <w:rFonts w:ascii="Courier New" w:hAnsi="Courier New" w:cs="Courier New" w:hint="default"/>
      </w:rPr>
    </w:lvl>
    <w:lvl w:ilvl="5" w:tplc="D3C246BC" w:tentative="1">
      <w:start w:val="1"/>
      <w:numFmt w:val="bullet"/>
      <w:lvlText w:val=""/>
      <w:lvlJc w:val="left"/>
      <w:pPr>
        <w:ind w:left="4680" w:hanging="360"/>
      </w:pPr>
      <w:rPr>
        <w:rFonts w:ascii="Wingdings" w:hAnsi="Wingdings" w:hint="default"/>
      </w:rPr>
    </w:lvl>
    <w:lvl w:ilvl="6" w:tplc="102EF26C" w:tentative="1">
      <w:start w:val="1"/>
      <w:numFmt w:val="bullet"/>
      <w:lvlText w:val=""/>
      <w:lvlJc w:val="left"/>
      <w:pPr>
        <w:ind w:left="5400" w:hanging="360"/>
      </w:pPr>
      <w:rPr>
        <w:rFonts w:ascii="Symbol" w:hAnsi="Symbol" w:hint="default"/>
      </w:rPr>
    </w:lvl>
    <w:lvl w:ilvl="7" w:tplc="CF20A750" w:tentative="1">
      <w:start w:val="1"/>
      <w:numFmt w:val="bullet"/>
      <w:lvlText w:val="o"/>
      <w:lvlJc w:val="left"/>
      <w:pPr>
        <w:ind w:left="6120" w:hanging="360"/>
      </w:pPr>
      <w:rPr>
        <w:rFonts w:ascii="Courier New" w:hAnsi="Courier New" w:cs="Courier New" w:hint="default"/>
      </w:rPr>
    </w:lvl>
    <w:lvl w:ilvl="8" w:tplc="258488B6" w:tentative="1">
      <w:start w:val="1"/>
      <w:numFmt w:val="bullet"/>
      <w:lvlText w:val=""/>
      <w:lvlJc w:val="left"/>
      <w:pPr>
        <w:ind w:left="6840" w:hanging="360"/>
      </w:pPr>
      <w:rPr>
        <w:rFonts w:ascii="Wingdings" w:hAnsi="Wingdings" w:hint="default"/>
      </w:rPr>
    </w:lvl>
  </w:abstractNum>
  <w:abstractNum w:abstractNumId="2">
    <w:nsid w:val="15F05B94"/>
    <w:multiLevelType w:val="hybridMultilevel"/>
    <w:tmpl w:val="6994F006"/>
    <w:lvl w:ilvl="0" w:tplc="06C29C20">
      <w:start w:val="1"/>
      <w:numFmt w:val="bullet"/>
      <w:pStyle w:val="BodyTextBullets"/>
      <w:lvlText w:val=""/>
      <w:lvlJc w:val="left"/>
      <w:pPr>
        <w:ind w:left="644" w:hanging="360"/>
      </w:pPr>
      <w:rPr>
        <w:rFonts w:ascii="Symbol" w:hAnsi="Symbol" w:hint="default"/>
        <w:color w:val="447A1C"/>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9B312D3"/>
    <w:multiLevelType w:val="hybridMultilevel"/>
    <w:tmpl w:val="EE26D10E"/>
    <w:lvl w:ilvl="0" w:tplc="AD8C4C8E">
      <w:start w:val="1"/>
      <w:numFmt w:val="decimal"/>
      <w:pStyle w:val="FigureHeading"/>
      <w:lvlText w:val="Figure %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A270578"/>
    <w:multiLevelType w:val="hybridMultilevel"/>
    <w:tmpl w:val="3BA46BAA"/>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5">
    <w:nsid w:val="1E0A2DCC"/>
    <w:multiLevelType w:val="hybridMultilevel"/>
    <w:tmpl w:val="66427A24"/>
    <w:lvl w:ilvl="0" w:tplc="7A64B66E">
      <w:start w:val="1"/>
      <w:numFmt w:val="bullet"/>
      <w:lvlText w:val=""/>
      <w:lvlJc w:val="left"/>
      <w:pPr>
        <w:ind w:left="720" w:hanging="360"/>
      </w:pPr>
      <w:rPr>
        <w:rFonts w:ascii="Symbol" w:hAnsi="Symbol" w:hint="default"/>
        <w:color w:val="FFC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9AA1ECE"/>
    <w:multiLevelType w:val="hybridMultilevel"/>
    <w:tmpl w:val="C8AA98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71725CB"/>
    <w:multiLevelType w:val="hybridMultilevel"/>
    <w:tmpl w:val="2306E9C4"/>
    <w:lvl w:ilvl="0" w:tplc="236AF43E">
      <w:start w:val="1"/>
      <w:numFmt w:val="bullet"/>
      <w:lvlText w:val=""/>
      <w:lvlJc w:val="left"/>
      <w:pPr>
        <w:ind w:left="720" w:hanging="360"/>
      </w:pPr>
      <w:rPr>
        <w:rFonts w:ascii="Symbol" w:hAnsi="Symbol" w:hint="default"/>
        <w:color w:val="447A1C"/>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A516240"/>
    <w:multiLevelType w:val="hybridMultilevel"/>
    <w:tmpl w:val="1EA29368"/>
    <w:lvl w:ilvl="0" w:tplc="7A64B66E">
      <w:start w:val="1"/>
      <w:numFmt w:val="bullet"/>
      <w:lvlText w:val=""/>
      <w:lvlJc w:val="left"/>
      <w:pPr>
        <w:tabs>
          <w:tab w:val="num" w:pos="786"/>
        </w:tabs>
        <w:ind w:left="786" w:hanging="360"/>
      </w:pPr>
      <w:rPr>
        <w:rFonts w:ascii="Symbol" w:hAnsi="Symbol" w:hint="default"/>
        <w:color w:val="FFC000"/>
      </w:rPr>
    </w:lvl>
    <w:lvl w:ilvl="1" w:tplc="08090003" w:tentative="1">
      <w:start w:val="1"/>
      <w:numFmt w:val="bullet"/>
      <w:lvlText w:val="o"/>
      <w:lvlJc w:val="left"/>
      <w:pPr>
        <w:tabs>
          <w:tab w:val="num" w:pos="1441"/>
        </w:tabs>
        <w:ind w:left="1441" w:hanging="360"/>
      </w:pPr>
      <w:rPr>
        <w:rFonts w:ascii="Courier New" w:hAnsi="Courier New" w:cs="Courier New" w:hint="default"/>
      </w:rPr>
    </w:lvl>
    <w:lvl w:ilvl="2" w:tplc="08090005" w:tentative="1">
      <w:start w:val="1"/>
      <w:numFmt w:val="bullet"/>
      <w:lvlText w:val=""/>
      <w:lvlJc w:val="left"/>
      <w:pPr>
        <w:tabs>
          <w:tab w:val="num" w:pos="2161"/>
        </w:tabs>
        <w:ind w:left="2161" w:hanging="360"/>
      </w:pPr>
      <w:rPr>
        <w:rFonts w:ascii="Wingdings" w:hAnsi="Wingdings" w:hint="default"/>
      </w:rPr>
    </w:lvl>
    <w:lvl w:ilvl="3" w:tplc="08090001" w:tentative="1">
      <w:start w:val="1"/>
      <w:numFmt w:val="bullet"/>
      <w:lvlText w:val=""/>
      <w:lvlJc w:val="left"/>
      <w:pPr>
        <w:tabs>
          <w:tab w:val="num" w:pos="2881"/>
        </w:tabs>
        <w:ind w:left="2881" w:hanging="360"/>
      </w:pPr>
      <w:rPr>
        <w:rFonts w:ascii="Symbol" w:hAnsi="Symbol" w:hint="default"/>
      </w:rPr>
    </w:lvl>
    <w:lvl w:ilvl="4" w:tplc="08090003" w:tentative="1">
      <w:start w:val="1"/>
      <w:numFmt w:val="bullet"/>
      <w:lvlText w:val="o"/>
      <w:lvlJc w:val="left"/>
      <w:pPr>
        <w:tabs>
          <w:tab w:val="num" w:pos="3601"/>
        </w:tabs>
        <w:ind w:left="3601" w:hanging="360"/>
      </w:pPr>
      <w:rPr>
        <w:rFonts w:ascii="Courier New" w:hAnsi="Courier New" w:cs="Courier New" w:hint="default"/>
      </w:rPr>
    </w:lvl>
    <w:lvl w:ilvl="5" w:tplc="08090005" w:tentative="1">
      <w:start w:val="1"/>
      <w:numFmt w:val="bullet"/>
      <w:lvlText w:val=""/>
      <w:lvlJc w:val="left"/>
      <w:pPr>
        <w:tabs>
          <w:tab w:val="num" w:pos="4321"/>
        </w:tabs>
        <w:ind w:left="4321" w:hanging="360"/>
      </w:pPr>
      <w:rPr>
        <w:rFonts w:ascii="Wingdings" w:hAnsi="Wingdings" w:hint="default"/>
      </w:rPr>
    </w:lvl>
    <w:lvl w:ilvl="6" w:tplc="08090001" w:tentative="1">
      <w:start w:val="1"/>
      <w:numFmt w:val="bullet"/>
      <w:lvlText w:val=""/>
      <w:lvlJc w:val="left"/>
      <w:pPr>
        <w:tabs>
          <w:tab w:val="num" w:pos="5041"/>
        </w:tabs>
        <w:ind w:left="5041" w:hanging="360"/>
      </w:pPr>
      <w:rPr>
        <w:rFonts w:ascii="Symbol" w:hAnsi="Symbol" w:hint="default"/>
      </w:rPr>
    </w:lvl>
    <w:lvl w:ilvl="7" w:tplc="08090003" w:tentative="1">
      <w:start w:val="1"/>
      <w:numFmt w:val="bullet"/>
      <w:lvlText w:val="o"/>
      <w:lvlJc w:val="left"/>
      <w:pPr>
        <w:tabs>
          <w:tab w:val="num" w:pos="5761"/>
        </w:tabs>
        <w:ind w:left="5761" w:hanging="360"/>
      </w:pPr>
      <w:rPr>
        <w:rFonts w:ascii="Courier New" w:hAnsi="Courier New" w:cs="Courier New" w:hint="default"/>
      </w:rPr>
    </w:lvl>
    <w:lvl w:ilvl="8" w:tplc="08090005" w:tentative="1">
      <w:start w:val="1"/>
      <w:numFmt w:val="bullet"/>
      <w:lvlText w:val=""/>
      <w:lvlJc w:val="left"/>
      <w:pPr>
        <w:tabs>
          <w:tab w:val="num" w:pos="6481"/>
        </w:tabs>
        <w:ind w:left="6481" w:hanging="360"/>
      </w:pPr>
      <w:rPr>
        <w:rFonts w:ascii="Wingdings" w:hAnsi="Wingdings" w:hint="default"/>
      </w:rPr>
    </w:lvl>
  </w:abstractNum>
  <w:abstractNum w:abstractNumId="9">
    <w:nsid w:val="40E97816"/>
    <w:multiLevelType w:val="hybridMultilevel"/>
    <w:tmpl w:val="664868BA"/>
    <w:lvl w:ilvl="0" w:tplc="DE1A3A9E">
      <w:start w:val="1"/>
      <w:numFmt w:val="decimal"/>
      <w:pStyle w:val="Heading5"/>
      <w:lvlText w:val="%1."/>
      <w:lvlJc w:val="left"/>
      <w:pPr>
        <w:ind w:left="720" w:hanging="360"/>
      </w:pPr>
    </w:lvl>
    <w:lvl w:ilvl="1" w:tplc="1B40B0A4" w:tentative="1">
      <w:start w:val="1"/>
      <w:numFmt w:val="lowerLetter"/>
      <w:lvlText w:val="%2."/>
      <w:lvlJc w:val="left"/>
      <w:pPr>
        <w:ind w:left="1440" w:hanging="360"/>
      </w:pPr>
    </w:lvl>
    <w:lvl w:ilvl="2" w:tplc="FE7EACE4" w:tentative="1">
      <w:start w:val="1"/>
      <w:numFmt w:val="lowerRoman"/>
      <w:lvlText w:val="%3."/>
      <w:lvlJc w:val="right"/>
      <w:pPr>
        <w:ind w:left="2160" w:hanging="180"/>
      </w:pPr>
    </w:lvl>
    <w:lvl w:ilvl="3" w:tplc="17E4F146" w:tentative="1">
      <w:start w:val="1"/>
      <w:numFmt w:val="decimal"/>
      <w:lvlText w:val="%4."/>
      <w:lvlJc w:val="left"/>
      <w:pPr>
        <w:ind w:left="2880" w:hanging="360"/>
      </w:pPr>
    </w:lvl>
    <w:lvl w:ilvl="4" w:tplc="A644F642" w:tentative="1">
      <w:start w:val="1"/>
      <w:numFmt w:val="lowerLetter"/>
      <w:lvlText w:val="%5."/>
      <w:lvlJc w:val="left"/>
      <w:pPr>
        <w:ind w:left="3600" w:hanging="360"/>
      </w:pPr>
    </w:lvl>
    <w:lvl w:ilvl="5" w:tplc="C33C46FE" w:tentative="1">
      <w:start w:val="1"/>
      <w:numFmt w:val="lowerRoman"/>
      <w:lvlText w:val="%6."/>
      <w:lvlJc w:val="right"/>
      <w:pPr>
        <w:ind w:left="4320" w:hanging="180"/>
      </w:pPr>
    </w:lvl>
    <w:lvl w:ilvl="6" w:tplc="05C6D3B0" w:tentative="1">
      <w:start w:val="1"/>
      <w:numFmt w:val="decimal"/>
      <w:lvlText w:val="%7."/>
      <w:lvlJc w:val="left"/>
      <w:pPr>
        <w:ind w:left="5040" w:hanging="360"/>
      </w:pPr>
    </w:lvl>
    <w:lvl w:ilvl="7" w:tplc="A536A6F8" w:tentative="1">
      <w:start w:val="1"/>
      <w:numFmt w:val="lowerLetter"/>
      <w:lvlText w:val="%8."/>
      <w:lvlJc w:val="left"/>
      <w:pPr>
        <w:ind w:left="5760" w:hanging="360"/>
      </w:pPr>
    </w:lvl>
    <w:lvl w:ilvl="8" w:tplc="12C45C36" w:tentative="1">
      <w:start w:val="1"/>
      <w:numFmt w:val="lowerRoman"/>
      <w:lvlText w:val="%9."/>
      <w:lvlJc w:val="right"/>
      <w:pPr>
        <w:ind w:left="6480" w:hanging="180"/>
      </w:pPr>
    </w:lvl>
  </w:abstractNum>
  <w:abstractNum w:abstractNumId="10">
    <w:nsid w:val="50F101A7"/>
    <w:multiLevelType w:val="hybridMultilevel"/>
    <w:tmpl w:val="351AA7AE"/>
    <w:lvl w:ilvl="0" w:tplc="D6B80FB4">
      <w:start w:val="1"/>
      <w:numFmt w:val="lowerLetter"/>
      <w:pStyle w:val="BodyTextNumbered"/>
      <w:lvlText w:val="%1."/>
      <w:lvlJc w:val="left"/>
      <w:pPr>
        <w:ind w:left="720" w:hanging="360"/>
      </w:pPr>
    </w:lvl>
    <w:lvl w:ilvl="1" w:tplc="BA4CAAA8" w:tentative="1">
      <w:start w:val="1"/>
      <w:numFmt w:val="lowerLetter"/>
      <w:lvlText w:val="%2."/>
      <w:lvlJc w:val="left"/>
      <w:pPr>
        <w:ind w:left="1440" w:hanging="360"/>
      </w:pPr>
    </w:lvl>
    <w:lvl w:ilvl="2" w:tplc="A3AA1C10" w:tentative="1">
      <w:start w:val="1"/>
      <w:numFmt w:val="lowerRoman"/>
      <w:lvlText w:val="%3."/>
      <w:lvlJc w:val="right"/>
      <w:pPr>
        <w:ind w:left="2160" w:hanging="180"/>
      </w:pPr>
    </w:lvl>
    <w:lvl w:ilvl="3" w:tplc="107A678A" w:tentative="1">
      <w:start w:val="1"/>
      <w:numFmt w:val="decimal"/>
      <w:lvlText w:val="%4."/>
      <w:lvlJc w:val="left"/>
      <w:pPr>
        <w:ind w:left="2880" w:hanging="360"/>
      </w:pPr>
    </w:lvl>
    <w:lvl w:ilvl="4" w:tplc="75D85282" w:tentative="1">
      <w:start w:val="1"/>
      <w:numFmt w:val="lowerLetter"/>
      <w:lvlText w:val="%5."/>
      <w:lvlJc w:val="left"/>
      <w:pPr>
        <w:ind w:left="3600" w:hanging="360"/>
      </w:pPr>
    </w:lvl>
    <w:lvl w:ilvl="5" w:tplc="AB209F3C" w:tentative="1">
      <w:start w:val="1"/>
      <w:numFmt w:val="lowerRoman"/>
      <w:lvlText w:val="%6."/>
      <w:lvlJc w:val="right"/>
      <w:pPr>
        <w:ind w:left="4320" w:hanging="180"/>
      </w:pPr>
    </w:lvl>
    <w:lvl w:ilvl="6" w:tplc="4D66D808" w:tentative="1">
      <w:start w:val="1"/>
      <w:numFmt w:val="decimal"/>
      <w:lvlText w:val="%7."/>
      <w:lvlJc w:val="left"/>
      <w:pPr>
        <w:ind w:left="5040" w:hanging="360"/>
      </w:pPr>
    </w:lvl>
    <w:lvl w:ilvl="7" w:tplc="2CA40892" w:tentative="1">
      <w:start w:val="1"/>
      <w:numFmt w:val="lowerLetter"/>
      <w:lvlText w:val="%8."/>
      <w:lvlJc w:val="left"/>
      <w:pPr>
        <w:ind w:left="5760" w:hanging="360"/>
      </w:pPr>
    </w:lvl>
    <w:lvl w:ilvl="8" w:tplc="12268246" w:tentative="1">
      <w:start w:val="1"/>
      <w:numFmt w:val="lowerRoman"/>
      <w:lvlText w:val="%9."/>
      <w:lvlJc w:val="right"/>
      <w:pPr>
        <w:ind w:left="6480" w:hanging="180"/>
      </w:pPr>
    </w:lvl>
  </w:abstractNum>
  <w:abstractNum w:abstractNumId="11">
    <w:nsid w:val="5CCF3C94"/>
    <w:multiLevelType w:val="multilevel"/>
    <w:tmpl w:val="2A463928"/>
    <w:styleLink w:val="StyleBulletedSymbolsymbol10ptOrangeLeft0cmHangin"/>
    <w:lvl w:ilvl="0">
      <w:start w:val="1"/>
      <w:numFmt w:val="bullet"/>
      <w:lvlText w:val=""/>
      <w:lvlJc w:val="left"/>
      <w:pPr>
        <w:tabs>
          <w:tab w:val="num" w:pos="283"/>
        </w:tabs>
        <w:ind w:left="283" w:hanging="283"/>
      </w:pPr>
      <w:rPr>
        <w:rFonts w:ascii="Symbol" w:hAnsi="Symbol" w:hint="default"/>
        <w:color w:val="4A7729"/>
      </w:rPr>
    </w:lvl>
    <w:lvl w:ilvl="1">
      <w:start w:val="1"/>
      <w:numFmt w:val="bullet"/>
      <w:lvlText w:val="-"/>
      <w:lvlJc w:val="left"/>
      <w:pPr>
        <w:tabs>
          <w:tab w:val="num" w:pos="566"/>
        </w:tabs>
        <w:ind w:left="566" w:hanging="283"/>
      </w:pPr>
      <w:rPr>
        <w:rFonts w:ascii="Symbol" w:eastAsia="Symbol" w:hAnsi="Symbol" w:cs="Symbol"/>
        <w:sz w:val="20"/>
        <w:lang w:val="en-NZ"/>
      </w:rPr>
    </w:lvl>
    <w:lvl w:ilvl="2">
      <w:start w:val="1"/>
      <w:numFmt w:val="bullet"/>
      <w:lvlText w:val="·"/>
      <w:lvlJc w:val="right"/>
      <w:pPr>
        <w:tabs>
          <w:tab w:val="num" w:pos="850"/>
        </w:tabs>
        <w:ind w:left="850" w:hanging="284"/>
      </w:pPr>
      <w:rPr>
        <w:rFonts w:ascii="Symbol" w:eastAsia="Symbol" w:hAnsi="Symbol" w:cs="Symbol"/>
        <w:sz w:val="20"/>
        <w:lang w:val="en-NZ"/>
      </w:rPr>
    </w:lvl>
    <w:lvl w:ilvl="3">
      <w:start w:val="1"/>
      <w:numFmt w:val="bullet"/>
      <w:lvlText w:val="·"/>
      <w:lvlJc w:val="left"/>
      <w:pPr>
        <w:tabs>
          <w:tab w:val="num" w:pos="1133"/>
        </w:tabs>
        <w:ind w:left="1133" w:hanging="283"/>
      </w:pPr>
      <w:rPr>
        <w:rFonts w:ascii="Symbol" w:eastAsia="Symbol" w:hAnsi="Symbol" w:cs="Symbol"/>
        <w:sz w:val="20"/>
        <w:lang w:val="en-NZ"/>
      </w:rPr>
    </w:lvl>
    <w:lvl w:ilvl="4">
      <w:start w:val="1"/>
      <w:numFmt w:val="bullet"/>
      <w:lvlText w:val="·"/>
      <w:lvlJc w:val="left"/>
      <w:pPr>
        <w:tabs>
          <w:tab w:val="num" w:pos="1417"/>
        </w:tabs>
        <w:ind w:left="1417" w:hanging="284"/>
      </w:pPr>
      <w:rPr>
        <w:rFonts w:ascii="Symbol" w:eastAsia="Symbol" w:hAnsi="Symbol" w:cs="Symbol"/>
        <w:sz w:val="20"/>
        <w:lang w:val="en-NZ"/>
      </w:rPr>
    </w:lvl>
    <w:lvl w:ilvl="5">
      <w:start w:val="1"/>
      <w:numFmt w:val="bullet"/>
      <w:lvlText w:val="·"/>
      <w:lvlJc w:val="right"/>
      <w:pPr>
        <w:tabs>
          <w:tab w:val="num" w:pos="1700"/>
        </w:tabs>
        <w:ind w:left="1700" w:hanging="283"/>
      </w:pPr>
      <w:rPr>
        <w:rFonts w:ascii="Symbol" w:eastAsia="Symbol" w:hAnsi="Symbol" w:cs="Symbol"/>
        <w:sz w:val="20"/>
        <w:lang w:val="en-NZ"/>
      </w:rPr>
    </w:lvl>
    <w:lvl w:ilvl="6">
      <w:start w:val="1"/>
      <w:numFmt w:val="bullet"/>
      <w:lvlText w:val="·"/>
      <w:lvlJc w:val="left"/>
      <w:pPr>
        <w:tabs>
          <w:tab w:val="num" w:pos="1984"/>
        </w:tabs>
        <w:ind w:left="1984" w:hanging="284"/>
      </w:pPr>
      <w:rPr>
        <w:rFonts w:ascii="Symbol" w:eastAsia="Symbol" w:hAnsi="Symbol" w:cs="Symbol"/>
        <w:sz w:val="20"/>
        <w:lang w:val="en-NZ"/>
      </w:rPr>
    </w:lvl>
    <w:lvl w:ilvl="7">
      <w:start w:val="1"/>
      <w:numFmt w:val="bullet"/>
      <w:lvlText w:val="·"/>
      <w:lvlJc w:val="left"/>
      <w:pPr>
        <w:tabs>
          <w:tab w:val="num" w:pos="2267"/>
        </w:tabs>
        <w:ind w:left="2267" w:hanging="283"/>
      </w:pPr>
      <w:rPr>
        <w:rFonts w:ascii="Symbol" w:eastAsia="Symbol" w:hAnsi="Symbol" w:cs="Symbol"/>
        <w:sz w:val="20"/>
        <w:lang w:val="en-NZ"/>
      </w:rPr>
    </w:lvl>
    <w:lvl w:ilvl="8">
      <w:start w:val="1"/>
      <w:numFmt w:val="bullet"/>
      <w:lvlText w:val="·"/>
      <w:lvlJc w:val="right"/>
      <w:pPr>
        <w:tabs>
          <w:tab w:val="num" w:pos="2551"/>
        </w:tabs>
        <w:ind w:left="2551" w:hanging="284"/>
      </w:pPr>
      <w:rPr>
        <w:rFonts w:ascii="Symbol" w:eastAsia="Symbol" w:hAnsi="Symbol" w:cs="Symbol"/>
        <w:sz w:val="20"/>
        <w:lang w:val="en-NZ"/>
      </w:rPr>
    </w:lvl>
  </w:abstractNum>
  <w:abstractNum w:abstractNumId="12">
    <w:nsid w:val="6B1007DB"/>
    <w:multiLevelType w:val="hybridMultilevel"/>
    <w:tmpl w:val="2B54A4A0"/>
    <w:lvl w:ilvl="0" w:tplc="34028386">
      <w:start w:val="1"/>
      <w:numFmt w:val="bullet"/>
      <w:pStyle w:val="TableTextAppendicesBullet"/>
      <w:lvlText w:val=""/>
      <w:lvlJc w:val="left"/>
      <w:pPr>
        <w:ind w:left="360" w:hanging="360"/>
      </w:pPr>
      <w:rPr>
        <w:rFonts w:ascii="Symbol" w:hAnsi="Symbol" w:hint="default"/>
      </w:rPr>
    </w:lvl>
    <w:lvl w:ilvl="1" w:tplc="559A4BC6" w:tentative="1">
      <w:start w:val="1"/>
      <w:numFmt w:val="bullet"/>
      <w:lvlText w:val="o"/>
      <w:lvlJc w:val="left"/>
      <w:pPr>
        <w:ind w:left="1440" w:hanging="360"/>
      </w:pPr>
      <w:rPr>
        <w:rFonts w:ascii="Courier New" w:hAnsi="Courier New" w:cs="Courier New" w:hint="default"/>
      </w:rPr>
    </w:lvl>
    <w:lvl w:ilvl="2" w:tplc="50AC60B8" w:tentative="1">
      <w:start w:val="1"/>
      <w:numFmt w:val="bullet"/>
      <w:lvlText w:val=""/>
      <w:lvlJc w:val="left"/>
      <w:pPr>
        <w:ind w:left="2160" w:hanging="360"/>
      </w:pPr>
      <w:rPr>
        <w:rFonts w:ascii="Wingdings" w:hAnsi="Wingdings" w:hint="default"/>
      </w:rPr>
    </w:lvl>
    <w:lvl w:ilvl="3" w:tplc="F3CC6A26" w:tentative="1">
      <w:start w:val="1"/>
      <w:numFmt w:val="bullet"/>
      <w:lvlText w:val=""/>
      <w:lvlJc w:val="left"/>
      <w:pPr>
        <w:ind w:left="2880" w:hanging="360"/>
      </w:pPr>
      <w:rPr>
        <w:rFonts w:ascii="Symbol" w:hAnsi="Symbol" w:hint="default"/>
      </w:rPr>
    </w:lvl>
    <w:lvl w:ilvl="4" w:tplc="B1524D16" w:tentative="1">
      <w:start w:val="1"/>
      <w:numFmt w:val="bullet"/>
      <w:lvlText w:val="o"/>
      <w:lvlJc w:val="left"/>
      <w:pPr>
        <w:ind w:left="3600" w:hanging="360"/>
      </w:pPr>
      <w:rPr>
        <w:rFonts w:ascii="Courier New" w:hAnsi="Courier New" w:cs="Courier New" w:hint="default"/>
      </w:rPr>
    </w:lvl>
    <w:lvl w:ilvl="5" w:tplc="D3C246BC" w:tentative="1">
      <w:start w:val="1"/>
      <w:numFmt w:val="bullet"/>
      <w:lvlText w:val=""/>
      <w:lvlJc w:val="left"/>
      <w:pPr>
        <w:ind w:left="4320" w:hanging="360"/>
      </w:pPr>
      <w:rPr>
        <w:rFonts w:ascii="Wingdings" w:hAnsi="Wingdings" w:hint="default"/>
      </w:rPr>
    </w:lvl>
    <w:lvl w:ilvl="6" w:tplc="102EF26C" w:tentative="1">
      <w:start w:val="1"/>
      <w:numFmt w:val="bullet"/>
      <w:lvlText w:val=""/>
      <w:lvlJc w:val="left"/>
      <w:pPr>
        <w:ind w:left="5040" w:hanging="360"/>
      </w:pPr>
      <w:rPr>
        <w:rFonts w:ascii="Symbol" w:hAnsi="Symbol" w:hint="default"/>
      </w:rPr>
    </w:lvl>
    <w:lvl w:ilvl="7" w:tplc="CF20A750" w:tentative="1">
      <w:start w:val="1"/>
      <w:numFmt w:val="bullet"/>
      <w:lvlText w:val="o"/>
      <w:lvlJc w:val="left"/>
      <w:pPr>
        <w:ind w:left="5760" w:hanging="360"/>
      </w:pPr>
      <w:rPr>
        <w:rFonts w:ascii="Courier New" w:hAnsi="Courier New" w:cs="Courier New" w:hint="default"/>
      </w:rPr>
    </w:lvl>
    <w:lvl w:ilvl="8" w:tplc="258488B6" w:tentative="1">
      <w:start w:val="1"/>
      <w:numFmt w:val="bullet"/>
      <w:lvlText w:val=""/>
      <w:lvlJc w:val="left"/>
      <w:pPr>
        <w:ind w:left="6480" w:hanging="360"/>
      </w:pPr>
      <w:rPr>
        <w:rFonts w:ascii="Wingdings" w:hAnsi="Wingdings" w:hint="default"/>
      </w:rPr>
    </w:lvl>
  </w:abstractNum>
  <w:abstractNum w:abstractNumId="13">
    <w:nsid w:val="73752F36"/>
    <w:multiLevelType w:val="hybridMultilevel"/>
    <w:tmpl w:val="C74E7D96"/>
    <w:lvl w:ilvl="0" w:tplc="7A64B66E">
      <w:start w:val="1"/>
      <w:numFmt w:val="bullet"/>
      <w:pStyle w:val="Shadingbullets"/>
      <w:lvlText w:val=""/>
      <w:lvlJc w:val="left"/>
      <w:pPr>
        <w:ind w:left="360" w:hanging="360"/>
      </w:pPr>
      <w:rPr>
        <w:rFonts w:ascii="Symbol" w:hAnsi="Symbol" w:hint="default"/>
        <w:color w:val="447A1C"/>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4">
    <w:nsid w:val="756E4190"/>
    <w:multiLevelType w:val="multilevel"/>
    <w:tmpl w:val="B43AB6B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76475DA8"/>
    <w:multiLevelType w:val="hybridMultilevel"/>
    <w:tmpl w:val="BBA2AD1E"/>
    <w:lvl w:ilvl="0" w:tplc="41586032">
      <w:start w:val="1"/>
      <w:numFmt w:val="bullet"/>
      <w:pStyle w:val="BodyTextBullet2"/>
      <w:lvlText w:val=""/>
      <w:lvlJc w:val="left"/>
      <w:pPr>
        <w:tabs>
          <w:tab w:val="num" w:pos="786"/>
        </w:tabs>
        <w:ind w:left="786" w:hanging="360"/>
      </w:pPr>
      <w:rPr>
        <w:rFonts w:ascii="Symbol" w:hAnsi="Symbol" w:hint="default"/>
        <w:color w:val="005187"/>
      </w:rPr>
    </w:lvl>
    <w:lvl w:ilvl="1" w:tplc="DB1EB95A" w:tentative="1">
      <w:start w:val="1"/>
      <w:numFmt w:val="bullet"/>
      <w:lvlText w:val="o"/>
      <w:lvlJc w:val="left"/>
      <w:pPr>
        <w:tabs>
          <w:tab w:val="num" w:pos="1441"/>
        </w:tabs>
        <w:ind w:left="1441" w:hanging="360"/>
      </w:pPr>
      <w:rPr>
        <w:rFonts w:ascii="Courier New" w:hAnsi="Courier New" w:cs="Courier New" w:hint="default"/>
      </w:rPr>
    </w:lvl>
    <w:lvl w:ilvl="2" w:tplc="54D620FC" w:tentative="1">
      <w:start w:val="1"/>
      <w:numFmt w:val="bullet"/>
      <w:lvlText w:val=""/>
      <w:lvlJc w:val="left"/>
      <w:pPr>
        <w:tabs>
          <w:tab w:val="num" w:pos="2161"/>
        </w:tabs>
        <w:ind w:left="2161" w:hanging="360"/>
      </w:pPr>
      <w:rPr>
        <w:rFonts w:ascii="Wingdings" w:hAnsi="Wingdings" w:hint="default"/>
      </w:rPr>
    </w:lvl>
    <w:lvl w:ilvl="3" w:tplc="E4E4B35E" w:tentative="1">
      <w:start w:val="1"/>
      <w:numFmt w:val="bullet"/>
      <w:lvlText w:val=""/>
      <w:lvlJc w:val="left"/>
      <w:pPr>
        <w:tabs>
          <w:tab w:val="num" w:pos="2881"/>
        </w:tabs>
        <w:ind w:left="2881" w:hanging="360"/>
      </w:pPr>
      <w:rPr>
        <w:rFonts w:ascii="Symbol" w:hAnsi="Symbol" w:hint="default"/>
      </w:rPr>
    </w:lvl>
    <w:lvl w:ilvl="4" w:tplc="C312099C" w:tentative="1">
      <w:start w:val="1"/>
      <w:numFmt w:val="bullet"/>
      <w:lvlText w:val="o"/>
      <w:lvlJc w:val="left"/>
      <w:pPr>
        <w:tabs>
          <w:tab w:val="num" w:pos="3601"/>
        </w:tabs>
        <w:ind w:left="3601" w:hanging="360"/>
      </w:pPr>
      <w:rPr>
        <w:rFonts w:ascii="Courier New" w:hAnsi="Courier New" w:cs="Courier New" w:hint="default"/>
      </w:rPr>
    </w:lvl>
    <w:lvl w:ilvl="5" w:tplc="F11684D4" w:tentative="1">
      <w:start w:val="1"/>
      <w:numFmt w:val="bullet"/>
      <w:lvlText w:val=""/>
      <w:lvlJc w:val="left"/>
      <w:pPr>
        <w:tabs>
          <w:tab w:val="num" w:pos="4321"/>
        </w:tabs>
        <w:ind w:left="4321" w:hanging="360"/>
      </w:pPr>
      <w:rPr>
        <w:rFonts w:ascii="Wingdings" w:hAnsi="Wingdings" w:hint="default"/>
      </w:rPr>
    </w:lvl>
    <w:lvl w:ilvl="6" w:tplc="24C038A8" w:tentative="1">
      <w:start w:val="1"/>
      <w:numFmt w:val="bullet"/>
      <w:lvlText w:val=""/>
      <w:lvlJc w:val="left"/>
      <w:pPr>
        <w:tabs>
          <w:tab w:val="num" w:pos="5041"/>
        </w:tabs>
        <w:ind w:left="5041" w:hanging="360"/>
      </w:pPr>
      <w:rPr>
        <w:rFonts w:ascii="Symbol" w:hAnsi="Symbol" w:hint="default"/>
      </w:rPr>
    </w:lvl>
    <w:lvl w:ilvl="7" w:tplc="F3AC9762" w:tentative="1">
      <w:start w:val="1"/>
      <w:numFmt w:val="bullet"/>
      <w:lvlText w:val="o"/>
      <w:lvlJc w:val="left"/>
      <w:pPr>
        <w:tabs>
          <w:tab w:val="num" w:pos="5761"/>
        </w:tabs>
        <w:ind w:left="5761" w:hanging="360"/>
      </w:pPr>
      <w:rPr>
        <w:rFonts w:ascii="Courier New" w:hAnsi="Courier New" w:cs="Courier New" w:hint="default"/>
      </w:rPr>
    </w:lvl>
    <w:lvl w:ilvl="8" w:tplc="2FEA7D6C" w:tentative="1">
      <w:start w:val="1"/>
      <w:numFmt w:val="bullet"/>
      <w:lvlText w:val=""/>
      <w:lvlJc w:val="left"/>
      <w:pPr>
        <w:tabs>
          <w:tab w:val="num" w:pos="6481"/>
        </w:tabs>
        <w:ind w:left="6481" w:hanging="360"/>
      </w:pPr>
      <w:rPr>
        <w:rFonts w:ascii="Wingdings" w:hAnsi="Wingdings" w:hint="default"/>
      </w:rPr>
    </w:lvl>
  </w:abstractNum>
  <w:abstractNum w:abstractNumId="16">
    <w:nsid w:val="7C2F6908"/>
    <w:multiLevelType w:val="hybridMultilevel"/>
    <w:tmpl w:val="A9163622"/>
    <w:lvl w:ilvl="0" w:tplc="7A64B66E">
      <w:start w:val="1"/>
      <w:numFmt w:val="decimal"/>
      <w:pStyle w:val="TableHeading"/>
      <w:lvlText w:val="Table %1:"/>
      <w:lvlJc w:val="left"/>
      <w:pPr>
        <w:ind w:left="360" w:hanging="360"/>
      </w:pPr>
      <w:rPr>
        <w:rFonts w:hint="default"/>
      </w:rPr>
    </w:lvl>
    <w:lvl w:ilvl="1" w:tplc="08090003" w:tentative="1">
      <w:start w:val="1"/>
      <w:numFmt w:val="lowerLetter"/>
      <w:lvlText w:val="%2."/>
      <w:lvlJc w:val="left"/>
      <w:pPr>
        <w:ind w:left="2228" w:hanging="360"/>
      </w:pPr>
    </w:lvl>
    <w:lvl w:ilvl="2" w:tplc="08090005" w:tentative="1">
      <w:start w:val="1"/>
      <w:numFmt w:val="lowerRoman"/>
      <w:lvlText w:val="%3."/>
      <w:lvlJc w:val="right"/>
      <w:pPr>
        <w:ind w:left="2948" w:hanging="180"/>
      </w:pPr>
    </w:lvl>
    <w:lvl w:ilvl="3" w:tplc="08090001" w:tentative="1">
      <w:start w:val="1"/>
      <w:numFmt w:val="decimal"/>
      <w:lvlText w:val="%4."/>
      <w:lvlJc w:val="left"/>
      <w:pPr>
        <w:ind w:left="3668" w:hanging="360"/>
      </w:pPr>
    </w:lvl>
    <w:lvl w:ilvl="4" w:tplc="08090003" w:tentative="1">
      <w:start w:val="1"/>
      <w:numFmt w:val="lowerLetter"/>
      <w:lvlText w:val="%5."/>
      <w:lvlJc w:val="left"/>
      <w:pPr>
        <w:ind w:left="4388" w:hanging="360"/>
      </w:pPr>
    </w:lvl>
    <w:lvl w:ilvl="5" w:tplc="08090005" w:tentative="1">
      <w:start w:val="1"/>
      <w:numFmt w:val="lowerRoman"/>
      <w:lvlText w:val="%6."/>
      <w:lvlJc w:val="right"/>
      <w:pPr>
        <w:ind w:left="5108" w:hanging="180"/>
      </w:pPr>
    </w:lvl>
    <w:lvl w:ilvl="6" w:tplc="08090001" w:tentative="1">
      <w:start w:val="1"/>
      <w:numFmt w:val="decimal"/>
      <w:lvlText w:val="%7."/>
      <w:lvlJc w:val="left"/>
      <w:pPr>
        <w:ind w:left="5828" w:hanging="360"/>
      </w:pPr>
    </w:lvl>
    <w:lvl w:ilvl="7" w:tplc="08090003" w:tentative="1">
      <w:start w:val="1"/>
      <w:numFmt w:val="lowerLetter"/>
      <w:lvlText w:val="%8."/>
      <w:lvlJc w:val="left"/>
      <w:pPr>
        <w:ind w:left="6548" w:hanging="360"/>
      </w:pPr>
    </w:lvl>
    <w:lvl w:ilvl="8" w:tplc="08090005" w:tentative="1">
      <w:start w:val="1"/>
      <w:numFmt w:val="lowerRoman"/>
      <w:lvlText w:val="%9."/>
      <w:lvlJc w:val="right"/>
      <w:pPr>
        <w:ind w:left="7268" w:hanging="180"/>
      </w:pPr>
    </w:lvl>
  </w:abstractNum>
  <w:num w:numId="1">
    <w:abstractNumId w:val="2"/>
  </w:num>
  <w:num w:numId="2">
    <w:abstractNumId w:val="3"/>
  </w:num>
  <w:num w:numId="3">
    <w:abstractNumId w:val="15"/>
  </w:num>
  <w:num w:numId="4">
    <w:abstractNumId w:val="0"/>
  </w:num>
  <w:num w:numId="5">
    <w:abstractNumId w:val="12"/>
  </w:num>
  <w:num w:numId="6">
    <w:abstractNumId w:val="16"/>
  </w:num>
  <w:num w:numId="7">
    <w:abstractNumId w:val="13"/>
  </w:num>
  <w:num w:numId="8">
    <w:abstractNumId w:val="9"/>
  </w:num>
  <w:num w:numId="9">
    <w:abstractNumId w:val="10"/>
  </w:num>
  <w:num w:numId="10">
    <w:abstractNumId w:val="11"/>
  </w:num>
  <w:num w:numId="11">
    <w:abstractNumId w:val="6"/>
  </w:num>
  <w:num w:numId="12">
    <w:abstractNumId w:val="7"/>
  </w:num>
  <w:num w:numId="13">
    <w:abstractNumId w:val="1"/>
  </w:num>
  <w:num w:numId="14">
    <w:abstractNumId w:val="14"/>
  </w:num>
  <w:num w:numId="15">
    <w:abstractNumId w:val="5"/>
  </w:num>
  <w:num w:numId="16">
    <w:abstractNumId w:val="8"/>
  </w:num>
  <w:num w:numId="17">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saveSubsetFonts/>
  <w:mirrorMargins/>
  <w:activeWritingStyle w:appName="MSWord" w:lang="en-GB" w:vendorID="64" w:dllVersion="131078" w:nlCheck="1" w:checkStyle="0"/>
  <w:activeWritingStyle w:appName="MSWord" w:lang="en-NZ" w:vendorID="64" w:dllVersion="131078" w:nlCheck="1" w:checkStyle="1"/>
  <w:activeWritingStyle w:appName="MSWord" w:lang="en-AU" w:vendorID="64" w:dllVersion="131078" w:nlCheck="1" w:checkStyle="1"/>
  <w:activeWritingStyle w:appName="MSWord" w:lang="en-US" w:vendorID="64" w:dllVersion="131078" w:nlCheck="1" w:checkStyle="1"/>
  <w:stylePaneFormatFilter w:val="3F01"/>
  <w:stylePaneSortMethod w:val="0000"/>
  <w:defaultTabStop w:val="851"/>
  <w:evenAndOddHeaders/>
  <w:drawingGridHorizontalSpacing w:val="120"/>
  <w:displayHorizontalDrawingGridEvery w:val="2"/>
  <w:characterSpacingControl w:val="doNotCompress"/>
  <w:hdrShapeDefaults>
    <o:shapedefaults v:ext="edit" spidmax="2276" fill="f" fillcolor="white" stroke="f">
      <v:fill color="white" on="f"/>
      <v:stroke on="f"/>
    </o:shapedefaults>
    <o:shapelayout v:ext="edit">
      <o:idmap v:ext="edit" data="2"/>
      <o:rules v:ext="edit">
        <o:r id="V:Rule2" type="connector" idref="#_x0000_s2172"/>
      </o:rules>
    </o:shapelayout>
  </w:hdrShapeDefaults>
  <w:footnotePr>
    <w:footnote w:id="-1"/>
    <w:footnote w:id="0"/>
    <w:footnote w:id="1"/>
  </w:footnotePr>
  <w:endnotePr>
    <w:endnote w:id="-1"/>
    <w:endnote w:id="0"/>
  </w:endnotePr>
  <w:compat/>
  <w:rsids>
    <w:rsidRoot w:val="00F80154"/>
    <w:rsid w:val="00000FAF"/>
    <w:rsid w:val="0000100E"/>
    <w:rsid w:val="00001145"/>
    <w:rsid w:val="0000389E"/>
    <w:rsid w:val="00003EF0"/>
    <w:rsid w:val="0000505D"/>
    <w:rsid w:val="00005156"/>
    <w:rsid w:val="00010150"/>
    <w:rsid w:val="00011074"/>
    <w:rsid w:val="000112D7"/>
    <w:rsid w:val="00012E71"/>
    <w:rsid w:val="000136A4"/>
    <w:rsid w:val="0001488F"/>
    <w:rsid w:val="00014E84"/>
    <w:rsid w:val="00015087"/>
    <w:rsid w:val="000169D4"/>
    <w:rsid w:val="00017136"/>
    <w:rsid w:val="00017334"/>
    <w:rsid w:val="000211C7"/>
    <w:rsid w:val="00024073"/>
    <w:rsid w:val="000245CB"/>
    <w:rsid w:val="0002553C"/>
    <w:rsid w:val="000256A4"/>
    <w:rsid w:val="000260D4"/>
    <w:rsid w:val="00026DE8"/>
    <w:rsid w:val="00027052"/>
    <w:rsid w:val="00030190"/>
    <w:rsid w:val="00030453"/>
    <w:rsid w:val="00030B24"/>
    <w:rsid w:val="00030D63"/>
    <w:rsid w:val="000319A0"/>
    <w:rsid w:val="00031B63"/>
    <w:rsid w:val="00034B4B"/>
    <w:rsid w:val="00036E59"/>
    <w:rsid w:val="00037601"/>
    <w:rsid w:val="000408B9"/>
    <w:rsid w:val="00040CA3"/>
    <w:rsid w:val="00041DDF"/>
    <w:rsid w:val="00042DC7"/>
    <w:rsid w:val="00043297"/>
    <w:rsid w:val="00043B3F"/>
    <w:rsid w:val="000448C0"/>
    <w:rsid w:val="000448D7"/>
    <w:rsid w:val="000451F6"/>
    <w:rsid w:val="00045C8B"/>
    <w:rsid w:val="00046094"/>
    <w:rsid w:val="000468D8"/>
    <w:rsid w:val="00046A55"/>
    <w:rsid w:val="00046FDE"/>
    <w:rsid w:val="00047C55"/>
    <w:rsid w:val="00051C07"/>
    <w:rsid w:val="00051F5E"/>
    <w:rsid w:val="00052953"/>
    <w:rsid w:val="00053E00"/>
    <w:rsid w:val="000541F4"/>
    <w:rsid w:val="0005489E"/>
    <w:rsid w:val="0005549A"/>
    <w:rsid w:val="0005553E"/>
    <w:rsid w:val="00055C6F"/>
    <w:rsid w:val="0005715B"/>
    <w:rsid w:val="0005753D"/>
    <w:rsid w:val="00057854"/>
    <w:rsid w:val="00060152"/>
    <w:rsid w:val="00060E4F"/>
    <w:rsid w:val="000618DC"/>
    <w:rsid w:val="0006190C"/>
    <w:rsid w:val="000627D1"/>
    <w:rsid w:val="000629C5"/>
    <w:rsid w:val="0006309A"/>
    <w:rsid w:val="000631E9"/>
    <w:rsid w:val="00063811"/>
    <w:rsid w:val="00064C30"/>
    <w:rsid w:val="00065FA8"/>
    <w:rsid w:val="000660F7"/>
    <w:rsid w:val="000661BA"/>
    <w:rsid w:val="00066D8E"/>
    <w:rsid w:val="00066ECB"/>
    <w:rsid w:val="00066FE6"/>
    <w:rsid w:val="00070366"/>
    <w:rsid w:val="00071424"/>
    <w:rsid w:val="000715AE"/>
    <w:rsid w:val="00071A9A"/>
    <w:rsid w:val="000765DF"/>
    <w:rsid w:val="00076689"/>
    <w:rsid w:val="00076DEA"/>
    <w:rsid w:val="00076F9C"/>
    <w:rsid w:val="00077015"/>
    <w:rsid w:val="00077E19"/>
    <w:rsid w:val="0008011A"/>
    <w:rsid w:val="00080A97"/>
    <w:rsid w:val="000812C7"/>
    <w:rsid w:val="000813F7"/>
    <w:rsid w:val="0008168B"/>
    <w:rsid w:val="00081690"/>
    <w:rsid w:val="000824E5"/>
    <w:rsid w:val="00083939"/>
    <w:rsid w:val="00083A43"/>
    <w:rsid w:val="0008425E"/>
    <w:rsid w:val="000845FD"/>
    <w:rsid w:val="000847A5"/>
    <w:rsid w:val="00084DBC"/>
    <w:rsid w:val="00085376"/>
    <w:rsid w:val="00085B15"/>
    <w:rsid w:val="00085C7A"/>
    <w:rsid w:val="00086169"/>
    <w:rsid w:val="00086B4B"/>
    <w:rsid w:val="00087236"/>
    <w:rsid w:val="00091827"/>
    <w:rsid w:val="000930EC"/>
    <w:rsid w:val="000944F4"/>
    <w:rsid w:val="00094C02"/>
    <w:rsid w:val="00095480"/>
    <w:rsid w:val="000960F2"/>
    <w:rsid w:val="000A2187"/>
    <w:rsid w:val="000A2D9C"/>
    <w:rsid w:val="000A301E"/>
    <w:rsid w:val="000A333A"/>
    <w:rsid w:val="000A3501"/>
    <w:rsid w:val="000A383D"/>
    <w:rsid w:val="000A4825"/>
    <w:rsid w:val="000A59E5"/>
    <w:rsid w:val="000A5F84"/>
    <w:rsid w:val="000A758B"/>
    <w:rsid w:val="000A7E48"/>
    <w:rsid w:val="000B050F"/>
    <w:rsid w:val="000B0A62"/>
    <w:rsid w:val="000B1D63"/>
    <w:rsid w:val="000B24D9"/>
    <w:rsid w:val="000B252E"/>
    <w:rsid w:val="000B26A0"/>
    <w:rsid w:val="000B37DE"/>
    <w:rsid w:val="000B3FB1"/>
    <w:rsid w:val="000B7258"/>
    <w:rsid w:val="000B739B"/>
    <w:rsid w:val="000B755E"/>
    <w:rsid w:val="000B7A48"/>
    <w:rsid w:val="000C24FA"/>
    <w:rsid w:val="000C2CA3"/>
    <w:rsid w:val="000C2EDD"/>
    <w:rsid w:val="000C4C95"/>
    <w:rsid w:val="000C65AF"/>
    <w:rsid w:val="000D0977"/>
    <w:rsid w:val="000D229D"/>
    <w:rsid w:val="000D4ABA"/>
    <w:rsid w:val="000D5392"/>
    <w:rsid w:val="000D6283"/>
    <w:rsid w:val="000D62B2"/>
    <w:rsid w:val="000D6C03"/>
    <w:rsid w:val="000D783A"/>
    <w:rsid w:val="000E05F0"/>
    <w:rsid w:val="000E22AD"/>
    <w:rsid w:val="000E2B56"/>
    <w:rsid w:val="000E5A42"/>
    <w:rsid w:val="000E5D49"/>
    <w:rsid w:val="000E6F4D"/>
    <w:rsid w:val="000F1311"/>
    <w:rsid w:val="000F3284"/>
    <w:rsid w:val="000F42A9"/>
    <w:rsid w:val="000F503E"/>
    <w:rsid w:val="000F5C3F"/>
    <w:rsid w:val="000F5F5A"/>
    <w:rsid w:val="000F618D"/>
    <w:rsid w:val="000F64E0"/>
    <w:rsid w:val="000F6DB5"/>
    <w:rsid w:val="000F7066"/>
    <w:rsid w:val="00101917"/>
    <w:rsid w:val="00102F0B"/>
    <w:rsid w:val="00102FE5"/>
    <w:rsid w:val="00103A93"/>
    <w:rsid w:val="00105BA3"/>
    <w:rsid w:val="00110C72"/>
    <w:rsid w:val="00110FFF"/>
    <w:rsid w:val="00111084"/>
    <w:rsid w:val="001114E9"/>
    <w:rsid w:val="001129B1"/>
    <w:rsid w:val="0011334A"/>
    <w:rsid w:val="001164D1"/>
    <w:rsid w:val="00117085"/>
    <w:rsid w:val="00120D53"/>
    <w:rsid w:val="00120DBF"/>
    <w:rsid w:val="00121F81"/>
    <w:rsid w:val="00123035"/>
    <w:rsid w:val="001231C3"/>
    <w:rsid w:val="001239FD"/>
    <w:rsid w:val="00124D54"/>
    <w:rsid w:val="00126644"/>
    <w:rsid w:val="00130410"/>
    <w:rsid w:val="0013081F"/>
    <w:rsid w:val="00130CE1"/>
    <w:rsid w:val="001312E1"/>
    <w:rsid w:val="00132735"/>
    <w:rsid w:val="00133623"/>
    <w:rsid w:val="0013498D"/>
    <w:rsid w:val="0013680A"/>
    <w:rsid w:val="001420B3"/>
    <w:rsid w:val="0014272D"/>
    <w:rsid w:val="00144852"/>
    <w:rsid w:val="00146A66"/>
    <w:rsid w:val="00147156"/>
    <w:rsid w:val="00147CD6"/>
    <w:rsid w:val="001504A8"/>
    <w:rsid w:val="0015073E"/>
    <w:rsid w:val="00152BBA"/>
    <w:rsid w:val="001530AC"/>
    <w:rsid w:val="00154104"/>
    <w:rsid w:val="00154E44"/>
    <w:rsid w:val="001555B5"/>
    <w:rsid w:val="00157026"/>
    <w:rsid w:val="00157A26"/>
    <w:rsid w:val="00157B37"/>
    <w:rsid w:val="0016080D"/>
    <w:rsid w:val="00160BC2"/>
    <w:rsid w:val="00161EB5"/>
    <w:rsid w:val="0016267F"/>
    <w:rsid w:val="00164B9A"/>
    <w:rsid w:val="00165316"/>
    <w:rsid w:val="001653E4"/>
    <w:rsid w:val="0016718E"/>
    <w:rsid w:val="001676D2"/>
    <w:rsid w:val="00167E01"/>
    <w:rsid w:val="00170104"/>
    <w:rsid w:val="00170312"/>
    <w:rsid w:val="0017067F"/>
    <w:rsid w:val="001729EF"/>
    <w:rsid w:val="00173208"/>
    <w:rsid w:val="00173C84"/>
    <w:rsid w:val="00174067"/>
    <w:rsid w:val="001747C1"/>
    <w:rsid w:val="001758FD"/>
    <w:rsid w:val="001776EE"/>
    <w:rsid w:val="00181E7B"/>
    <w:rsid w:val="001832B6"/>
    <w:rsid w:val="001837B3"/>
    <w:rsid w:val="0018571E"/>
    <w:rsid w:val="001868DD"/>
    <w:rsid w:val="00187B0F"/>
    <w:rsid w:val="00187D49"/>
    <w:rsid w:val="00190A6F"/>
    <w:rsid w:val="00191080"/>
    <w:rsid w:val="001911E4"/>
    <w:rsid w:val="00191FEF"/>
    <w:rsid w:val="001926D5"/>
    <w:rsid w:val="00192ED1"/>
    <w:rsid w:val="00193D0E"/>
    <w:rsid w:val="00195363"/>
    <w:rsid w:val="00196FFC"/>
    <w:rsid w:val="00197E3B"/>
    <w:rsid w:val="00197E82"/>
    <w:rsid w:val="001A0126"/>
    <w:rsid w:val="001A062F"/>
    <w:rsid w:val="001A10D4"/>
    <w:rsid w:val="001A2316"/>
    <w:rsid w:val="001A37D7"/>
    <w:rsid w:val="001A3F68"/>
    <w:rsid w:val="001A59CA"/>
    <w:rsid w:val="001A5F91"/>
    <w:rsid w:val="001A618E"/>
    <w:rsid w:val="001A6AF3"/>
    <w:rsid w:val="001A7705"/>
    <w:rsid w:val="001A77D5"/>
    <w:rsid w:val="001B0DAD"/>
    <w:rsid w:val="001B1B0D"/>
    <w:rsid w:val="001B1D22"/>
    <w:rsid w:val="001B244B"/>
    <w:rsid w:val="001B57E2"/>
    <w:rsid w:val="001B5C52"/>
    <w:rsid w:val="001C0B1C"/>
    <w:rsid w:val="001C1598"/>
    <w:rsid w:val="001C1C85"/>
    <w:rsid w:val="001C2139"/>
    <w:rsid w:val="001C325F"/>
    <w:rsid w:val="001C3BDC"/>
    <w:rsid w:val="001C583B"/>
    <w:rsid w:val="001C5F53"/>
    <w:rsid w:val="001C5F88"/>
    <w:rsid w:val="001C6F8B"/>
    <w:rsid w:val="001D05AC"/>
    <w:rsid w:val="001D0606"/>
    <w:rsid w:val="001D0FED"/>
    <w:rsid w:val="001D28D9"/>
    <w:rsid w:val="001D2C5C"/>
    <w:rsid w:val="001D4DE8"/>
    <w:rsid w:val="001D5F03"/>
    <w:rsid w:val="001D63BB"/>
    <w:rsid w:val="001D668A"/>
    <w:rsid w:val="001D7198"/>
    <w:rsid w:val="001E06BE"/>
    <w:rsid w:val="001E1EF0"/>
    <w:rsid w:val="001E242E"/>
    <w:rsid w:val="001E4117"/>
    <w:rsid w:val="001E4FFD"/>
    <w:rsid w:val="001E6190"/>
    <w:rsid w:val="001E629D"/>
    <w:rsid w:val="001E6478"/>
    <w:rsid w:val="001E6C53"/>
    <w:rsid w:val="001F0A09"/>
    <w:rsid w:val="001F0E9E"/>
    <w:rsid w:val="001F215F"/>
    <w:rsid w:val="001F5223"/>
    <w:rsid w:val="001F59AE"/>
    <w:rsid w:val="001F77BC"/>
    <w:rsid w:val="00200620"/>
    <w:rsid w:val="002014DF"/>
    <w:rsid w:val="00202800"/>
    <w:rsid w:val="00203BB8"/>
    <w:rsid w:val="00205E1D"/>
    <w:rsid w:val="002073BA"/>
    <w:rsid w:val="00207676"/>
    <w:rsid w:val="002104BC"/>
    <w:rsid w:val="00210AA4"/>
    <w:rsid w:val="00210EE8"/>
    <w:rsid w:val="00210FDF"/>
    <w:rsid w:val="00211882"/>
    <w:rsid w:val="00211EA3"/>
    <w:rsid w:val="00212C40"/>
    <w:rsid w:val="00212DA3"/>
    <w:rsid w:val="00212F59"/>
    <w:rsid w:val="00213F0C"/>
    <w:rsid w:val="00214079"/>
    <w:rsid w:val="00214262"/>
    <w:rsid w:val="00214537"/>
    <w:rsid w:val="002151F6"/>
    <w:rsid w:val="00216816"/>
    <w:rsid w:val="002200EA"/>
    <w:rsid w:val="002205BA"/>
    <w:rsid w:val="00221561"/>
    <w:rsid w:val="00221863"/>
    <w:rsid w:val="00221A2C"/>
    <w:rsid w:val="00221A49"/>
    <w:rsid w:val="0022287E"/>
    <w:rsid w:val="00223A79"/>
    <w:rsid w:val="002242C1"/>
    <w:rsid w:val="00224B14"/>
    <w:rsid w:val="002258E8"/>
    <w:rsid w:val="002264B6"/>
    <w:rsid w:val="002265B6"/>
    <w:rsid w:val="0022746B"/>
    <w:rsid w:val="0022760C"/>
    <w:rsid w:val="002311D6"/>
    <w:rsid w:val="0023180C"/>
    <w:rsid w:val="0023258F"/>
    <w:rsid w:val="0023408B"/>
    <w:rsid w:val="00234A20"/>
    <w:rsid w:val="002356DD"/>
    <w:rsid w:val="00235FD2"/>
    <w:rsid w:val="00236493"/>
    <w:rsid w:val="002422D8"/>
    <w:rsid w:val="00242398"/>
    <w:rsid w:val="00242CE0"/>
    <w:rsid w:val="00245088"/>
    <w:rsid w:val="00247064"/>
    <w:rsid w:val="00247B3A"/>
    <w:rsid w:val="002514F8"/>
    <w:rsid w:val="00251F83"/>
    <w:rsid w:val="00252B03"/>
    <w:rsid w:val="00252F95"/>
    <w:rsid w:val="00253485"/>
    <w:rsid w:val="00253F25"/>
    <w:rsid w:val="00254690"/>
    <w:rsid w:val="00254823"/>
    <w:rsid w:val="0025551A"/>
    <w:rsid w:val="00255CBD"/>
    <w:rsid w:val="00255E14"/>
    <w:rsid w:val="00256B11"/>
    <w:rsid w:val="00256F20"/>
    <w:rsid w:val="002572D1"/>
    <w:rsid w:val="00257BC8"/>
    <w:rsid w:val="0026270A"/>
    <w:rsid w:val="00262B48"/>
    <w:rsid w:val="0026332C"/>
    <w:rsid w:val="00263B84"/>
    <w:rsid w:val="002663AF"/>
    <w:rsid w:val="00266544"/>
    <w:rsid w:val="0026666F"/>
    <w:rsid w:val="00266A04"/>
    <w:rsid w:val="00271176"/>
    <w:rsid w:val="00271423"/>
    <w:rsid w:val="002717B9"/>
    <w:rsid w:val="00271AD6"/>
    <w:rsid w:val="00274BA9"/>
    <w:rsid w:val="00274C71"/>
    <w:rsid w:val="0027731F"/>
    <w:rsid w:val="0028115E"/>
    <w:rsid w:val="002830F2"/>
    <w:rsid w:val="0028386F"/>
    <w:rsid w:val="00285877"/>
    <w:rsid w:val="00286A84"/>
    <w:rsid w:val="002872D6"/>
    <w:rsid w:val="00287DF5"/>
    <w:rsid w:val="002902A5"/>
    <w:rsid w:val="002913DF"/>
    <w:rsid w:val="0029150A"/>
    <w:rsid w:val="00292862"/>
    <w:rsid w:val="00292E09"/>
    <w:rsid w:val="00293BA8"/>
    <w:rsid w:val="00294538"/>
    <w:rsid w:val="002945D3"/>
    <w:rsid w:val="0029494E"/>
    <w:rsid w:val="00295A94"/>
    <w:rsid w:val="002972E3"/>
    <w:rsid w:val="002A0927"/>
    <w:rsid w:val="002A14B2"/>
    <w:rsid w:val="002A1C02"/>
    <w:rsid w:val="002A1EB0"/>
    <w:rsid w:val="002A1F57"/>
    <w:rsid w:val="002A290A"/>
    <w:rsid w:val="002A2E8D"/>
    <w:rsid w:val="002A2FDB"/>
    <w:rsid w:val="002A38E4"/>
    <w:rsid w:val="002A3D06"/>
    <w:rsid w:val="002A4457"/>
    <w:rsid w:val="002A5920"/>
    <w:rsid w:val="002A59D1"/>
    <w:rsid w:val="002A5FFB"/>
    <w:rsid w:val="002B0B59"/>
    <w:rsid w:val="002B0EAA"/>
    <w:rsid w:val="002B211F"/>
    <w:rsid w:val="002B2AFD"/>
    <w:rsid w:val="002B2EFE"/>
    <w:rsid w:val="002B3E55"/>
    <w:rsid w:val="002B4A1E"/>
    <w:rsid w:val="002B62A3"/>
    <w:rsid w:val="002B6373"/>
    <w:rsid w:val="002B7787"/>
    <w:rsid w:val="002C0DBF"/>
    <w:rsid w:val="002C1516"/>
    <w:rsid w:val="002C1532"/>
    <w:rsid w:val="002C1865"/>
    <w:rsid w:val="002C198F"/>
    <w:rsid w:val="002C19A5"/>
    <w:rsid w:val="002C2B71"/>
    <w:rsid w:val="002C4864"/>
    <w:rsid w:val="002C5240"/>
    <w:rsid w:val="002C5375"/>
    <w:rsid w:val="002C6052"/>
    <w:rsid w:val="002C7C40"/>
    <w:rsid w:val="002C7D7B"/>
    <w:rsid w:val="002D0C5A"/>
    <w:rsid w:val="002D180B"/>
    <w:rsid w:val="002D4352"/>
    <w:rsid w:val="002D4CD7"/>
    <w:rsid w:val="002D50CE"/>
    <w:rsid w:val="002D5107"/>
    <w:rsid w:val="002D57F8"/>
    <w:rsid w:val="002D645A"/>
    <w:rsid w:val="002D6A18"/>
    <w:rsid w:val="002E0224"/>
    <w:rsid w:val="002E0C53"/>
    <w:rsid w:val="002E2C33"/>
    <w:rsid w:val="002E31B5"/>
    <w:rsid w:val="002E405A"/>
    <w:rsid w:val="002E4955"/>
    <w:rsid w:val="002E4A86"/>
    <w:rsid w:val="002E66FF"/>
    <w:rsid w:val="002E741F"/>
    <w:rsid w:val="002E7606"/>
    <w:rsid w:val="002E7661"/>
    <w:rsid w:val="002E7958"/>
    <w:rsid w:val="002F02BA"/>
    <w:rsid w:val="002F254A"/>
    <w:rsid w:val="002F370E"/>
    <w:rsid w:val="002F46BB"/>
    <w:rsid w:val="002F47C6"/>
    <w:rsid w:val="002F4C3F"/>
    <w:rsid w:val="002F6CD7"/>
    <w:rsid w:val="002F7A9A"/>
    <w:rsid w:val="002F7B90"/>
    <w:rsid w:val="0030028A"/>
    <w:rsid w:val="00300442"/>
    <w:rsid w:val="003068EF"/>
    <w:rsid w:val="00306DD5"/>
    <w:rsid w:val="00307106"/>
    <w:rsid w:val="00307C74"/>
    <w:rsid w:val="00307E40"/>
    <w:rsid w:val="0031003F"/>
    <w:rsid w:val="0031101A"/>
    <w:rsid w:val="00311B65"/>
    <w:rsid w:val="003123C8"/>
    <w:rsid w:val="00313B1E"/>
    <w:rsid w:val="00314E1F"/>
    <w:rsid w:val="003151EB"/>
    <w:rsid w:val="003158B4"/>
    <w:rsid w:val="00316234"/>
    <w:rsid w:val="00316322"/>
    <w:rsid w:val="00316501"/>
    <w:rsid w:val="00320EF1"/>
    <w:rsid w:val="00321B36"/>
    <w:rsid w:val="003252A8"/>
    <w:rsid w:val="00326015"/>
    <w:rsid w:val="003271C0"/>
    <w:rsid w:val="003275B4"/>
    <w:rsid w:val="00330292"/>
    <w:rsid w:val="003317E3"/>
    <w:rsid w:val="00331FD4"/>
    <w:rsid w:val="0033232E"/>
    <w:rsid w:val="003327E8"/>
    <w:rsid w:val="00332C52"/>
    <w:rsid w:val="00332DDD"/>
    <w:rsid w:val="00332F5A"/>
    <w:rsid w:val="00332F8F"/>
    <w:rsid w:val="003333EB"/>
    <w:rsid w:val="0033423E"/>
    <w:rsid w:val="003348F5"/>
    <w:rsid w:val="00334AC5"/>
    <w:rsid w:val="00334B42"/>
    <w:rsid w:val="003365AA"/>
    <w:rsid w:val="003370C8"/>
    <w:rsid w:val="00337678"/>
    <w:rsid w:val="00340ACD"/>
    <w:rsid w:val="00340CCA"/>
    <w:rsid w:val="00340CD3"/>
    <w:rsid w:val="00341081"/>
    <w:rsid w:val="00341545"/>
    <w:rsid w:val="00341BAE"/>
    <w:rsid w:val="00342117"/>
    <w:rsid w:val="0034392C"/>
    <w:rsid w:val="00344054"/>
    <w:rsid w:val="00344CBD"/>
    <w:rsid w:val="003456F3"/>
    <w:rsid w:val="00345BF3"/>
    <w:rsid w:val="00346043"/>
    <w:rsid w:val="0034745A"/>
    <w:rsid w:val="00351D71"/>
    <w:rsid w:val="00351FF5"/>
    <w:rsid w:val="003524CA"/>
    <w:rsid w:val="00352E23"/>
    <w:rsid w:val="0035410D"/>
    <w:rsid w:val="003541AB"/>
    <w:rsid w:val="00354292"/>
    <w:rsid w:val="00354389"/>
    <w:rsid w:val="00354F47"/>
    <w:rsid w:val="00355454"/>
    <w:rsid w:val="00355B4F"/>
    <w:rsid w:val="00355F85"/>
    <w:rsid w:val="00356D6C"/>
    <w:rsid w:val="00357E1C"/>
    <w:rsid w:val="00357EAD"/>
    <w:rsid w:val="00357F99"/>
    <w:rsid w:val="00361420"/>
    <w:rsid w:val="00363813"/>
    <w:rsid w:val="003652EE"/>
    <w:rsid w:val="0036599E"/>
    <w:rsid w:val="00365C8C"/>
    <w:rsid w:val="00366463"/>
    <w:rsid w:val="00366F86"/>
    <w:rsid w:val="00367771"/>
    <w:rsid w:val="00370EC9"/>
    <w:rsid w:val="00371D6A"/>
    <w:rsid w:val="003727C2"/>
    <w:rsid w:val="003731AA"/>
    <w:rsid w:val="00373A63"/>
    <w:rsid w:val="003760ED"/>
    <w:rsid w:val="00377626"/>
    <w:rsid w:val="00380E74"/>
    <w:rsid w:val="0038115E"/>
    <w:rsid w:val="003813E3"/>
    <w:rsid w:val="003834BF"/>
    <w:rsid w:val="00383C74"/>
    <w:rsid w:val="00383D42"/>
    <w:rsid w:val="00384A2E"/>
    <w:rsid w:val="00385249"/>
    <w:rsid w:val="003860F4"/>
    <w:rsid w:val="00387070"/>
    <w:rsid w:val="003872DB"/>
    <w:rsid w:val="00390386"/>
    <w:rsid w:val="0039121E"/>
    <w:rsid w:val="00391D8F"/>
    <w:rsid w:val="00393C22"/>
    <w:rsid w:val="0039471C"/>
    <w:rsid w:val="00394D43"/>
    <w:rsid w:val="00394DFD"/>
    <w:rsid w:val="003958F6"/>
    <w:rsid w:val="003A05E3"/>
    <w:rsid w:val="003A0B0B"/>
    <w:rsid w:val="003A2B49"/>
    <w:rsid w:val="003A37C8"/>
    <w:rsid w:val="003A45E4"/>
    <w:rsid w:val="003A4BE8"/>
    <w:rsid w:val="003A4C4A"/>
    <w:rsid w:val="003B009F"/>
    <w:rsid w:val="003B1775"/>
    <w:rsid w:val="003B17FF"/>
    <w:rsid w:val="003B3479"/>
    <w:rsid w:val="003B39EB"/>
    <w:rsid w:val="003B4951"/>
    <w:rsid w:val="003B602A"/>
    <w:rsid w:val="003B6A2D"/>
    <w:rsid w:val="003B7483"/>
    <w:rsid w:val="003B7DCC"/>
    <w:rsid w:val="003C04E9"/>
    <w:rsid w:val="003C05FF"/>
    <w:rsid w:val="003C18A6"/>
    <w:rsid w:val="003C2617"/>
    <w:rsid w:val="003C293C"/>
    <w:rsid w:val="003C2ACE"/>
    <w:rsid w:val="003C332F"/>
    <w:rsid w:val="003C3648"/>
    <w:rsid w:val="003C3AB1"/>
    <w:rsid w:val="003C3BCE"/>
    <w:rsid w:val="003C48DD"/>
    <w:rsid w:val="003C4A36"/>
    <w:rsid w:val="003C538F"/>
    <w:rsid w:val="003C5C6A"/>
    <w:rsid w:val="003C658C"/>
    <w:rsid w:val="003C74C3"/>
    <w:rsid w:val="003C7503"/>
    <w:rsid w:val="003C7E9E"/>
    <w:rsid w:val="003D03A7"/>
    <w:rsid w:val="003D0B7A"/>
    <w:rsid w:val="003D113F"/>
    <w:rsid w:val="003D3C30"/>
    <w:rsid w:val="003D48CC"/>
    <w:rsid w:val="003D4EAF"/>
    <w:rsid w:val="003D56E4"/>
    <w:rsid w:val="003D59D2"/>
    <w:rsid w:val="003D5F46"/>
    <w:rsid w:val="003D6088"/>
    <w:rsid w:val="003D649A"/>
    <w:rsid w:val="003D7A6E"/>
    <w:rsid w:val="003D7C97"/>
    <w:rsid w:val="003D7E7F"/>
    <w:rsid w:val="003E21CF"/>
    <w:rsid w:val="003E21F7"/>
    <w:rsid w:val="003E2438"/>
    <w:rsid w:val="003E2956"/>
    <w:rsid w:val="003E32F8"/>
    <w:rsid w:val="003E38B7"/>
    <w:rsid w:val="003E44C1"/>
    <w:rsid w:val="003E4CA6"/>
    <w:rsid w:val="003E5011"/>
    <w:rsid w:val="003E548A"/>
    <w:rsid w:val="003E5604"/>
    <w:rsid w:val="003E7E4A"/>
    <w:rsid w:val="003E7FB6"/>
    <w:rsid w:val="003F0501"/>
    <w:rsid w:val="003F0715"/>
    <w:rsid w:val="003F1853"/>
    <w:rsid w:val="003F1C89"/>
    <w:rsid w:val="003F2278"/>
    <w:rsid w:val="003F2492"/>
    <w:rsid w:val="003F2C13"/>
    <w:rsid w:val="003F43AC"/>
    <w:rsid w:val="003F441C"/>
    <w:rsid w:val="003F4FD4"/>
    <w:rsid w:val="003F6862"/>
    <w:rsid w:val="0040080E"/>
    <w:rsid w:val="00400B36"/>
    <w:rsid w:val="00401199"/>
    <w:rsid w:val="004013A1"/>
    <w:rsid w:val="00402F7E"/>
    <w:rsid w:val="004036F3"/>
    <w:rsid w:val="004039F1"/>
    <w:rsid w:val="0040442B"/>
    <w:rsid w:val="00404F56"/>
    <w:rsid w:val="00405183"/>
    <w:rsid w:val="00407322"/>
    <w:rsid w:val="004103B0"/>
    <w:rsid w:val="00410649"/>
    <w:rsid w:val="004116FD"/>
    <w:rsid w:val="00411A2E"/>
    <w:rsid w:val="00411B01"/>
    <w:rsid w:val="00411CFC"/>
    <w:rsid w:val="00412183"/>
    <w:rsid w:val="00415E90"/>
    <w:rsid w:val="004166F6"/>
    <w:rsid w:val="00416B22"/>
    <w:rsid w:val="00416FEA"/>
    <w:rsid w:val="004175DB"/>
    <w:rsid w:val="00417604"/>
    <w:rsid w:val="00417E8E"/>
    <w:rsid w:val="00420FDB"/>
    <w:rsid w:val="00421091"/>
    <w:rsid w:val="00421231"/>
    <w:rsid w:val="004212E7"/>
    <w:rsid w:val="00424644"/>
    <w:rsid w:val="0042481E"/>
    <w:rsid w:val="00424ED8"/>
    <w:rsid w:val="00425587"/>
    <w:rsid w:val="00425C4D"/>
    <w:rsid w:val="00426BD6"/>
    <w:rsid w:val="0042711D"/>
    <w:rsid w:val="004271E2"/>
    <w:rsid w:val="00427750"/>
    <w:rsid w:val="004278C3"/>
    <w:rsid w:val="00427905"/>
    <w:rsid w:val="00427A36"/>
    <w:rsid w:val="004309D4"/>
    <w:rsid w:val="00431080"/>
    <w:rsid w:val="00432711"/>
    <w:rsid w:val="004334ED"/>
    <w:rsid w:val="00433832"/>
    <w:rsid w:val="00433DCE"/>
    <w:rsid w:val="00434AEC"/>
    <w:rsid w:val="00434B15"/>
    <w:rsid w:val="00435705"/>
    <w:rsid w:val="00436026"/>
    <w:rsid w:val="0043715A"/>
    <w:rsid w:val="00442614"/>
    <w:rsid w:val="0044352D"/>
    <w:rsid w:val="00445016"/>
    <w:rsid w:val="00446024"/>
    <w:rsid w:val="00446DCE"/>
    <w:rsid w:val="00447D6E"/>
    <w:rsid w:val="004509B6"/>
    <w:rsid w:val="0045113E"/>
    <w:rsid w:val="00451C04"/>
    <w:rsid w:val="00452115"/>
    <w:rsid w:val="0045291E"/>
    <w:rsid w:val="00452EED"/>
    <w:rsid w:val="00453422"/>
    <w:rsid w:val="00453DAE"/>
    <w:rsid w:val="00461010"/>
    <w:rsid w:val="0046174D"/>
    <w:rsid w:val="00461A22"/>
    <w:rsid w:val="00462045"/>
    <w:rsid w:val="004634BC"/>
    <w:rsid w:val="0046559C"/>
    <w:rsid w:val="00466658"/>
    <w:rsid w:val="00467EC6"/>
    <w:rsid w:val="004737C0"/>
    <w:rsid w:val="00473EC6"/>
    <w:rsid w:val="00475987"/>
    <w:rsid w:val="00475C91"/>
    <w:rsid w:val="00476CA3"/>
    <w:rsid w:val="004775CD"/>
    <w:rsid w:val="00477AFE"/>
    <w:rsid w:val="004801C2"/>
    <w:rsid w:val="00480D50"/>
    <w:rsid w:val="00481761"/>
    <w:rsid w:val="004836F3"/>
    <w:rsid w:val="004844E3"/>
    <w:rsid w:val="00484574"/>
    <w:rsid w:val="004850E7"/>
    <w:rsid w:val="004852D2"/>
    <w:rsid w:val="00485CCD"/>
    <w:rsid w:val="00486122"/>
    <w:rsid w:val="00486A5A"/>
    <w:rsid w:val="004871F7"/>
    <w:rsid w:val="00491BEA"/>
    <w:rsid w:val="004921C8"/>
    <w:rsid w:val="00492618"/>
    <w:rsid w:val="0049340C"/>
    <w:rsid w:val="00493E24"/>
    <w:rsid w:val="0049477C"/>
    <w:rsid w:val="00494981"/>
    <w:rsid w:val="00494F40"/>
    <w:rsid w:val="0049588A"/>
    <w:rsid w:val="0049696E"/>
    <w:rsid w:val="004A0099"/>
    <w:rsid w:val="004A04BD"/>
    <w:rsid w:val="004A17EC"/>
    <w:rsid w:val="004A21A5"/>
    <w:rsid w:val="004A23C9"/>
    <w:rsid w:val="004A4DAD"/>
    <w:rsid w:val="004B10A6"/>
    <w:rsid w:val="004B1150"/>
    <w:rsid w:val="004B185F"/>
    <w:rsid w:val="004B1D20"/>
    <w:rsid w:val="004B2112"/>
    <w:rsid w:val="004B450E"/>
    <w:rsid w:val="004B564D"/>
    <w:rsid w:val="004B5B35"/>
    <w:rsid w:val="004B7D29"/>
    <w:rsid w:val="004C0056"/>
    <w:rsid w:val="004C0917"/>
    <w:rsid w:val="004C163E"/>
    <w:rsid w:val="004C1A4B"/>
    <w:rsid w:val="004C23BD"/>
    <w:rsid w:val="004C26EB"/>
    <w:rsid w:val="004C405A"/>
    <w:rsid w:val="004C4C26"/>
    <w:rsid w:val="004C6266"/>
    <w:rsid w:val="004C65F7"/>
    <w:rsid w:val="004C68CB"/>
    <w:rsid w:val="004C6FA1"/>
    <w:rsid w:val="004C79B6"/>
    <w:rsid w:val="004D0DAF"/>
    <w:rsid w:val="004D0EF6"/>
    <w:rsid w:val="004D0FAA"/>
    <w:rsid w:val="004D109D"/>
    <w:rsid w:val="004D2450"/>
    <w:rsid w:val="004D42E7"/>
    <w:rsid w:val="004D4A1C"/>
    <w:rsid w:val="004D534C"/>
    <w:rsid w:val="004D5E0C"/>
    <w:rsid w:val="004D633F"/>
    <w:rsid w:val="004D7DD1"/>
    <w:rsid w:val="004D7E7F"/>
    <w:rsid w:val="004E04DF"/>
    <w:rsid w:val="004E19F8"/>
    <w:rsid w:val="004E2335"/>
    <w:rsid w:val="004E4064"/>
    <w:rsid w:val="004E46A7"/>
    <w:rsid w:val="004E553A"/>
    <w:rsid w:val="004E694D"/>
    <w:rsid w:val="004E6E15"/>
    <w:rsid w:val="004E75A5"/>
    <w:rsid w:val="004E7BBC"/>
    <w:rsid w:val="004F027F"/>
    <w:rsid w:val="004F1429"/>
    <w:rsid w:val="004F147A"/>
    <w:rsid w:val="004F2193"/>
    <w:rsid w:val="004F32C6"/>
    <w:rsid w:val="004F447B"/>
    <w:rsid w:val="004F4A09"/>
    <w:rsid w:val="004F4D15"/>
    <w:rsid w:val="004F54B0"/>
    <w:rsid w:val="004F6DC3"/>
    <w:rsid w:val="00503434"/>
    <w:rsid w:val="00503631"/>
    <w:rsid w:val="00503CB7"/>
    <w:rsid w:val="00504273"/>
    <w:rsid w:val="00505B2B"/>
    <w:rsid w:val="00506A23"/>
    <w:rsid w:val="005072E1"/>
    <w:rsid w:val="0051089F"/>
    <w:rsid w:val="005108E9"/>
    <w:rsid w:val="00510BF8"/>
    <w:rsid w:val="005118E6"/>
    <w:rsid w:val="00512294"/>
    <w:rsid w:val="005123BA"/>
    <w:rsid w:val="00515078"/>
    <w:rsid w:val="00516380"/>
    <w:rsid w:val="00517292"/>
    <w:rsid w:val="0052072A"/>
    <w:rsid w:val="00521B59"/>
    <w:rsid w:val="005223E9"/>
    <w:rsid w:val="00522733"/>
    <w:rsid w:val="00522926"/>
    <w:rsid w:val="00523719"/>
    <w:rsid w:val="00524D7A"/>
    <w:rsid w:val="005253AB"/>
    <w:rsid w:val="00525788"/>
    <w:rsid w:val="00527145"/>
    <w:rsid w:val="00527273"/>
    <w:rsid w:val="0052729B"/>
    <w:rsid w:val="00527C10"/>
    <w:rsid w:val="00527D1E"/>
    <w:rsid w:val="00531A3E"/>
    <w:rsid w:val="005321A0"/>
    <w:rsid w:val="0053228D"/>
    <w:rsid w:val="00532574"/>
    <w:rsid w:val="00532E1D"/>
    <w:rsid w:val="00533D38"/>
    <w:rsid w:val="00533E46"/>
    <w:rsid w:val="00534C35"/>
    <w:rsid w:val="00534F9E"/>
    <w:rsid w:val="00535712"/>
    <w:rsid w:val="00535F78"/>
    <w:rsid w:val="00536198"/>
    <w:rsid w:val="005376E0"/>
    <w:rsid w:val="005379D7"/>
    <w:rsid w:val="00537A3E"/>
    <w:rsid w:val="005402C1"/>
    <w:rsid w:val="005405F2"/>
    <w:rsid w:val="00540ED5"/>
    <w:rsid w:val="005413D1"/>
    <w:rsid w:val="00542BD0"/>
    <w:rsid w:val="00543181"/>
    <w:rsid w:val="005433FA"/>
    <w:rsid w:val="00543BA4"/>
    <w:rsid w:val="00544BB3"/>
    <w:rsid w:val="00545D67"/>
    <w:rsid w:val="005466FF"/>
    <w:rsid w:val="00546C49"/>
    <w:rsid w:val="00547BC2"/>
    <w:rsid w:val="0055086C"/>
    <w:rsid w:val="00550BF6"/>
    <w:rsid w:val="0055107A"/>
    <w:rsid w:val="00551773"/>
    <w:rsid w:val="00551E86"/>
    <w:rsid w:val="0055218D"/>
    <w:rsid w:val="0055258D"/>
    <w:rsid w:val="00552F14"/>
    <w:rsid w:val="0055300F"/>
    <w:rsid w:val="0055459F"/>
    <w:rsid w:val="00555324"/>
    <w:rsid w:val="00555AA7"/>
    <w:rsid w:val="005567E5"/>
    <w:rsid w:val="00557D9E"/>
    <w:rsid w:val="00560592"/>
    <w:rsid w:val="005607DC"/>
    <w:rsid w:val="00560FE7"/>
    <w:rsid w:val="00562773"/>
    <w:rsid w:val="00562D84"/>
    <w:rsid w:val="00563612"/>
    <w:rsid w:val="00566921"/>
    <w:rsid w:val="005669F6"/>
    <w:rsid w:val="00566EF8"/>
    <w:rsid w:val="00567789"/>
    <w:rsid w:val="005678A8"/>
    <w:rsid w:val="005679D3"/>
    <w:rsid w:val="00570122"/>
    <w:rsid w:val="0057116C"/>
    <w:rsid w:val="00571678"/>
    <w:rsid w:val="00571CBB"/>
    <w:rsid w:val="0057268F"/>
    <w:rsid w:val="00572C22"/>
    <w:rsid w:val="00572DB2"/>
    <w:rsid w:val="00575755"/>
    <w:rsid w:val="00575F64"/>
    <w:rsid w:val="005764DD"/>
    <w:rsid w:val="005766DE"/>
    <w:rsid w:val="00576A83"/>
    <w:rsid w:val="00576C9B"/>
    <w:rsid w:val="005812BC"/>
    <w:rsid w:val="00583E5A"/>
    <w:rsid w:val="005842DF"/>
    <w:rsid w:val="005866B9"/>
    <w:rsid w:val="00587AED"/>
    <w:rsid w:val="00590C86"/>
    <w:rsid w:val="00591C74"/>
    <w:rsid w:val="00592096"/>
    <w:rsid w:val="005929DB"/>
    <w:rsid w:val="00592CE9"/>
    <w:rsid w:val="00593064"/>
    <w:rsid w:val="00594856"/>
    <w:rsid w:val="005953B7"/>
    <w:rsid w:val="00596057"/>
    <w:rsid w:val="005962BB"/>
    <w:rsid w:val="005964B8"/>
    <w:rsid w:val="005A36B4"/>
    <w:rsid w:val="005A6110"/>
    <w:rsid w:val="005A6516"/>
    <w:rsid w:val="005B024E"/>
    <w:rsid w:val="005B0603"/>
    <w:rsid w:val="005B0A1C"/>
    <w:rsid w:val="005B1F69"/>
    <w:rsid w:val="005B2EFD"/>
    <w:rsid w:val="005B371D"/>
    <w:rsid w:val="005B4673"/>
    <w:rsid w:val="005B47AE"/>
    <w:rsid w:val="005B582F"/>
    <w:rsid w:val="005B5AE2"/>
    <w:rsid w:val="005B6CAE"/>
    <w:rsid w:val="005B7403"/>
    <w:rsid w:val="005B7C6B"/>
    <w:rsid w:val="005C019B"/>
    <w:rsid w:val="005C2354"/>
    <w:rsid w:val="005C4094"/>
    <w:rsid w:val="005C5CBD"/>
    <w:rsid w:val="005C64CD"/>
    <w:rsid w:val="005C693C"/>
    <w:rsid w:val="005C6AA2"/>
    <w:rsid w:val="005C6C70"/>
    <w:rsid w:val="005C71FE"/>
    <w:rsid w:val="005C74C7"/>
    <w:rsid w:val="005D049E"/>
    <w:rsid w:val="005D0A0B"/>
    <w:rsid w:val="005D0A65"/>
    <w:rsid w:val="005D16DF"/>
    <w:rsid w:val="005D21C6"/>
    <w:rsid w:val="005D36D8"/>
    <w:rsid w:val="005D47F5"/>
    <w:rsid w:val="005D5A36"/>
    <w:rsid w:val="005D71A2"/>
    <w:rsid w:val="005D7AFB"/>
    <w:rsid w:val="005D7CB6"/>
    <w:rsid w:val="005D7FF2"/>
    <w:rsid w:val="005E1B62"/>
    <w:rsid w:val="005E22E3"/>
    <w:rsid w:val="005E2659"/>
    <w:rsid w:val="005E4382"/>
    <w:rsid w:val="005E70BB"/>
    <w:rsid w:val="005E76CC"/>
    <w:rsid w:val="005F0268"/>
    <w:rsid w:val="005F1684"/>
    <w:rsid w:val="005F18D0"/>
    <w:rsid w:val="005F29EB"/>
    <w:rsid w:val="005F3EA2"/>
    <w:rsid w:val="005F4207"/>
    <w:rsid w:val="005F4802"/>
    <w:rsid w:val="005F560E"/>
    <w:rsid w:val="0060013A"/>
    <w:rsid w:val="00601846"/>
    <w:rsid w:val="00601C55"/>
    <w:rsid w:val="00603529"/>
    <w:rsid w:val="006041B2"/>
    <w:rsid w:val="006041BC"/>
    <w:rsid w:val="00604364"/>
    <w:rsid w:val="00607A5B"/>
    <w:rsid w:val="00607C36"/>
    <w:rsid w:val="00607D64"/>
    <w:rsid w:val="00607F79"/>
    <w:rsid w:val="00610BB7"/>
    <w:rsid w:val="0061157C"/>
    <w:rsid w:val="00613D8D"/>
    <w:rsid w:val="006143BA"/>
    <w:rsid w:val="00614614"/>
    <w:rsid w:val="00615966"/>
    <w:rsid w:val="006159D8"/>
    <w:rsid w:val="00615D24"/>
    <w:rsid w:val="006172EC"/>
    <w:rsid w:val="00620192"/>
    <w:rsid w:val="00620B16"/>
    <w:rsid w:val="00620BA0"/>
    <w:rsid w:val="006213D3"/>
    <w:rsid w:val="0062262B"/>
    <w:rsid w:val="00624D59"/>
    <w:rsid w:val="006250FD"/>
    <w:rsid w:val="00625112"/>
    <w:rsid w:val="0062563E"/>
    <w:rsid w:val="0062566C"/>
    <w:rsid w:val="00626E53"/>
    <w:rsid w:val="00627BCC"/>
    <w:rsid w:val="00630E1B"/>
    <w:rsid w:val="006316A6"/>
    <w:rsid w:val="006331EA"/>
    <w:rsid w:val="006350A6"/>
    <w:rsid w:val="00636016"/>
    <w:rsid w:val="00636328"/>
    <w:rsid w:val="0063633C"/>
    <w:rsid w:val="00640B47"/>
    <w:rsid w:val="00642483"/>
    <w:rsid w:val="00643031"/>
    <w:rsid w:val="00643628"/>
    <w:rsid w:val="0064402E"/>
    <w:rsid w:val="00644594"/>
    <w:rsid w:val="00644660"/>
    <w:rsid w:val="00644929"/>
    <w:rsid w:val="00644D97"/>
    <w:rsid w:val="0064512F"/>
    <w:rsid w:val="006455A3"/>
    <w:rsid w:val="00646AFB"/>
    <w:rsid w:val="00646C21"/>
    <w:rsid w:val="00647022"/>
    <w:rsid w:val="00650CE9"/>
    <w:rsid w:val="00650E6E"/>
    <w:rsid w:val="00650FA1"/>
    <w:rsid w:val="00652E8E"/>
    <w:rsid w:val="00653A6E"/>
    <w:rsid w:val="00653C0C"/>
    <w:rsid w:val="0065563E"/>
    <w:rsid w:val="00656BBB"/>
    <w:rsid w:val="0065713A"/>
    <w:rsid w:val="00661B61"/>
    <w:rsid w:val="006632B3"/>
    <w:rsid w:val="00663395"/>
    <w:rsid w:val="00664FBA"/>
    <w:rsid w:val="00666D2E"/>
    <w:rsid w:val="00667381"/>
    <w:rsid w:val="00667834"/>
    <w:rsid w:val="006700EA"/>
    <w:rsid w:val="006717DA"/>
    <w:rsid w:val="006724B9"/>
    <w:rsid w:val="00672609"/>
    <w:rsid w:val="00673A0A"/>
    <w:rsid w:val="00673A31"/>
    <w:rsid w:val="006747A4"/>
    <w:rsid w:val="006747BE"/>
    <w:rsid w:val="0067490E"/>
    <w:rsid w:val="00675936"/>
    <w:rsid w:val="006762AF"/>
    <w:rsid w:val="00676705"/>
    <w:rsid w:val="00677948"/>
    <w:rsid w:val="00677A18"/>
    <w:rsid w:val="0068041E"/>
    <w:rsid w:val="00680555"/>
    <w:rsid w:val="00680557"/>
    <w:rsid w:val="00681FF7"/>
    <w:rsid w:val="00682720"/>
    <w:rsid w:val="00682B54"/>
    <w:rsid w:val="00683E10"/>
    <w:rsid w:val="00685B6E"/>
    <w:rsid w:val="006869EE"/>
    <w:rsid w:val="006870FC"/>
    <w:rsid w:val="00687B43"/>
    <w:rsid w:val="00687C92"/>
    <w:rsid w:val="00687DF0"/>
    <w:rsid w:val="0069062C"/>
    <w:rsid w:val="00690B7F"/>
    <w:rsid w:val="00690EA9"/>
    <w:rsid w:val="0069108C"/>
    <w:rsid w:val="00691308"/>
    <w:rsid w:val="00691CB9"/>
    <w:rsid w:val="006937CC"/>
    <w:rsid w:val="00693B27"/>
    <w:rsid w:val="006955CB"/>
    <w:rsid w:val="006959BA"/>
    <w:rsid w:val="00695FA2"/>
    <w:rsid w:val="00697758"/>
    <w:rsid w:val="0069794E"/>
    <w:rsid w:val="006A0E41"/>
    <w:rsid w:val="006A1D0A"/>
    <w:rsid w:val="006A25EF"/>
    <w:rsid w:val="006A27C3"/>
    <w:rsid w:val="006A3041"/>
    <w:rsid w:val="006A63DD"/>
    <w:rsid w:val="006A69CE"/>
    <w:rsid w:val="006A71EF"/>
    <w:rsid w:val="006A7DB0"/>
    <w:rsid w:val="006B0010"/>
    <w:rsid w:val="006B2548"/>
    <w:rsid w:val="006B3D78"/>
    <w:rsid w:val="006B5E38"/>
    <w:rsid w:val="006B68E2"/>
    <w:rsid w:val="006B75CA"/>
    <w:rsid w:val="006B7EDA"/>
    <w:rsid w:val="006C1C3E"/>
    <w:rsid w:val="006C1E7E"/>
    <w:rsid w:val="006C3129"/>
    <w:rsid w:val="006C317D"/>
    <w:rsid w:val="006C34EC"/>
    <w:rsid w:val="006C56D3"/>
    <w:rsid w:val="006C5D78"/>
    <w:rsid w:val="006C764F"/>
    <w:rsid w:val="006C7B1F"/>
    <w:rsid w:val="006C7D01"/>
    <w:rsid w:val="006D282C"/>
    <w:rsid w:val="006D2D1A"/>
    <w:rsid w:val="006D2F3C"/>
    <w:rsid w:val="006D432A"/>
    <w:rsid w:val="006D4D5D"/>
    <w:rsid w:val="006D4DCC"/>
    <w:rsid w:val="006D528F"/>
    <w:rsid w:val="006D68BB"/>
    <w:rsid w:val="006D6A2D"/>
    <w:rsid w:val="006D6B87"/>
    <w:rsid w:val="006D731C"/>
    <w:rsid w:val="006D7839"/>
    <w:rsid w:val="006D7875"/>
    <w:rsid w:val="006D78F5"/>
    <w:rsid w:val="006E07CA"/>
    <w:rsid w:val="006E085B"/>
    <w:rsid w:val="006E0DDD"/>
    <w:rsid w:val="006E10C2"/>
    <w:rsid w:val="006E1554"/>
    <w:rsid w:val="006E16D4"/>
    <w:rsid w:val="006E3B5A"/>
    <w:rsid w:val="006E48F0"/>
    <w:rsid w:val="006E72FB"/>
    <w:rsid w:val="006E78CD"/>
    <w:rsid w:val="006E7A35"/>
    <w:rsid w:val="006F30A7"/>
    <w:rsid w:val="006F4C05"/>
    <w:rsid w:val="006F5743"/>
    <w:rsid w:val="006F5C9D"/>
    <w:rsid w:val="006F6AD8"/>
    <w:rsid w:val="006F6AF9"/>
    <w:rsid w:val="006F74FA"/>
    <w:rsid w:val="007001D9"/>
    <w:rsid w:val="0070262E"/>
    <w:rsid w:val="00702F10"/>
    <w:rsid w:val="0070426E"/>
    <w:rsid w:val="0070453C"/>
    <w:rsid w:val="0070463D"/>
    <w:rsid w:val="00704E0F"/>
    <w:rsid w:val="00706D4B"/>
    <w:rsid w:val="007073E9"/>
    <w:rsid w:val="00710D54"/>
    <w:rsid w:val="00711305"/>
    <w:rsid w:val="0071170C"/>
    <w:rsid w:val="00711F29"/>
    <w:rsid w:val="007138D1"/>
    <w:rsid w:val="0071410E"/>
    <w:rsid w:val="00714201"/>
    <w:rsid w:val="0071503A"/>
    <w:rsid w:val="0071534A"/>
    <w:rsid w:val="0071584C"/>
    <w:rsid w:val="00716405"/>
    <w:rsid w:val="00716510"/>
    <w:rsid w:val="00717295"/>
    <w:rsid w:val="00717976"/>
    <w:rsid w:val="00717B5D"/>
    <w:rsid w:val="007203F9"/>
    <w:rsid w:val="007212F0"/>
    <w:rsid w:val="0072209F"/>
    <w:rsid w:val="00722422"/>
    <w:rsid w:val="00722624"/>
    <w:rsid w:val="00723C63"/>
    <w:rsid w:val="00724046"/>
    <w:rsid w:val="007249B4"/>
    <w:rsid w:val="00724FEB"/>
    <w:rsid w:val="0072507F"/>
    <w:rsid w:val="00727163"/>
    <w:rsid w:val="00727273"/>
    <w:rsid w:val="00727BB8"/>
    <w:rsid w:val="007308B2"/>
    <w:rsid w:val="00733627"/>
    <w:rsid w:val="00733E0E"/>
    <w:rsid w:val="00735206"/>
    <w:rsid w:val="007360F7"/>
    <w:rsid w:val="00736193"/>
    <w:rsid w:val="0073643C"/>
    <w:rsid w:val="00737120"/>
    <w:rsid w:val="00742927"/>
    <w:rsid w:val="00743172"/>
    <w:rsid w:val="00743925"/>
    <w:rsid w:val="0074398E"/>
    <w:rsid w:val="0074458F"/>
    <w:rsid w:val="00744B30"/>
    <w:rsid w:val="00744B31"/>
    <w:rsid w:val="00745B1B"/>
    <w:rsid w:val="00745CAC"/>
    <w:rsid w:val="00746C99"/>
    <w:rsid w:val="00746DCA"/>
    <w:rsid w:val="00746EE6"/>
    <w:rsid w:val="00747398"/>
    <w:rsid w:val="00747831"/>
    <w:rsid w:val="00750169"/>
    <w:rsid w:val="00750F5B"/>
    <w:rsid w:val="0075192B"/>
    <w:rsid w:val="007524E5"/>
    <w:rsid w:val="00752B8E"/>
    <w:rsid w:val="00753581"/>
    <w:rsid w:val="0075397C"/>
    <w:rsid w:val="007545A3"/>
    <w:rsid w:val="00754AD6"/>
    <w:rsid w:val="00756684"/>
    <w:rsid w:val="007566BE"/>
    <w:rsid w:val="00756A3E"/>
    <w:rsid w:val="00756AA2"/>
    <w:rsid w:val="00756E8F"/>
    <w:rsid w:val="007610C6"/>
    <w:rsid w:val="00764534"/>
    <w:rsid w:val="007645D0"/>
    <w:rsid w:val="0076565F"/>
    <w:rsid w:val="007657CC"/>
    <w:rsid w:val="00766927"/>
    <w:rsid w:val="00767BCE"/>
    <w:rsid w:val="00770F24"/>
    <w:rsid w:val="00771B85"/>
    <w:rsid w:val="00773A39"/>
    <w:rsid w:val="0077457F"/>
    <w:rsid w:val="00775850"/>
    <w:rsid w:val="00776302"/>
    <w:rsid w:val="007805C2"/>
    <w:rsid w:val="0078137D"/>
    <w:rsid w:val="00781C04"/>
    <w:rsid w:val="00784481"/>
    <w:rsid w:val="007848AA"/>
    <w:rsid w:val="007850BC"/>
    <w:rsid w:val="007857B6"/>
    <w:rsid w:val="007866E5"/>
    <w:rsid w:val="00786939"/>
    <w:rsid w:val="00787DF7"/>
    <w:rsid w:val="007913F3"/>
    <w:rsid w:val="00791BAA"/>
    <w:rsid w:val="007929F6"/>
    <w:rsid w:val="0079395E"/>
    <w:rsid w:val="00793B84"/>
    <w:rsid w:val="00793E88"/>
    <w:rsid w:val="00794514"/>
    <w:rsid w:val="00795016"/>
    <w:rsid w:val="00795822"/>
    <w:rsid w:val="00797A42"/>
    <w:rsid w:val="007A1BE9"/>
    <w:rsid w:val="007A2D41"/>
    <w:rsid w:val="007A33B9"/>
    <w:rsid w:val="007A3F0B"/>
    <w:rsid w:val="007A427D"/>
    <w:rsid w:val="007A43DF"/>
    <w:rsid w:val="007A60C8"/>
    <w:rsid w:val="007A7625"/>
    <w:rsid w:val="007B04A3"/>
    <w:rsid w:val="007B179B"/>
    <w:rsid w:val="007B18C0"/>
    <w:rsid w:val="007B297F"/>
    <w:rsid w:val="007B2E6E"/>
    <w:rsid w:val="007B3565"/>
    <w:rsid w:val="007B3EA5"/>
    <w:rsid w:val="007B4689"/>
    <w:rsid w:val="007B4D49"/>
    <w:rsid w:val="007B52EF"/>
    <w:rsid w:val="007B5A0C"/>
    <w:rsid w:val="007B5A12"/>
    <w:rsid w:val="007B6094"/>
    <w:rsid w:val="007B6B81"/>
    <w:rsid w:val="007B6E34"/>
    <w:rsid w:val="007C02AD"/>
    <w:rsid w:val="007C0332"/>
    <w:rsid w:val="007C2631"/>
    <w:rsid w:val="007C2B03"/>
    <w:rsid w:val="007C36DD"/>
    <w:rsid w:val="007C37CB"/>
    <w:rsid w:val="007C5227"/>
    <w:rsid w:val="007C5694"/>
    <w:rsid w:val="007C5EE0"/>
    <w:rsid w:val="007C6061"/>
    <w:rsid w:val="007C642C"/>
    <w:rsid w:val="007C6DBB"/>
    <w:rsid w:val="007C709E"/>
    <w:rsid w:val="007C70A4"/>
    <w:rsid w:val="007D07C5"/>
    <w:rsid w:val="007D1F9A"/>
    <w:rsid w:val="007D2296"/>
    <w:rsid w:val="007D2F7B"/>
    <w:rsid w:val="007D38E0"/>
    <w:rsid w:val="007D3A9F"/>
    <w:rsid w:val="007D7EC5"/>
    <w:rsid w:val="007E09B0"/>
    <w:rsid w:val="007E19BD"/>
    <w:rsid w:val="007E30B5"/>
    <w:rsid w:val="007E5060"/>
    <w:rsid w:val="007E5428"/>
    <w:rsid w:val="007E580F"/>
    <w:rsid w:val="007E5AF6"/>
    <w:rsid w:val="007E5B3E"/>
    <w:rsid w:val="007F16C6"/>
    <w:rsid w:val="007F1ABA"/>
    <w:rsid w:val="007F2361"/>
    <w:rsid w:val="007F2917"/>
    <w:rsid w:val="007F2C68"/>
    <w:rsid w:val="007F2CAF"/>
    <w:rsid w:val="007F4C60"/>
    <w:rsid w:val="007F5210"/>
    <w:rsid w:val="007F5899"/>
    <w:rsid w:val="007F5A21"/>
    <w:rsid w:val="007F5B28"/>
    <w:rsid w:val="007F5DCC"/>
    <w:rsid w:val="007F5FE3"/>
    <w:rsid w:val="007F6E7A"/>
    <w:rsid w:val="008005FD"/>
    <w:rsid w:val="00800A45"/>
    <w:rsid w:val="00801AB1"/>
    <w:rsid w:val="00801BAA"/>
    <w:rsid w:val="00801D0A"/>
    <w:rsid w:val="0080275C"/>
    <w:rsid w:val="008038E9"/>
    <w:rsid w:val="00803ABE"/>
    <w:rsid w:val="00805633"/>
    <w:rsid w:val="00807E5C"/>
    <w:rsid w:val="00810A66"/>
    <w:rsid w:val="00811F8E"/>
    <w:rsid w:val="0081302F"/>
    <w:rsid w:val="0081555F"/>
    <w:rsid w:val="008168E8"/>
    <w:rsid w:val="008168FD"/>
    <w:rsid w:val="00816C3E"/>
    <w:rsid w:val="00816DC1"/>
    <w:rsid w:val="008172C2"/>
    <w:rsid w:val="00817356"/>
    <w:rsid w:val="00817B3F"/>
    <w:rsid w:val="00820E3E"/>
    <w:rsid w:val="008211B6"/>
    <w:rsid w:val="0082195E"/>
    <w:rsid w:val="00822D0B"/>
    <w:rsid w:val="00822E73"/>
    <w:rsid w:val="008231D2"/>
    <w:rsid w:val="00823F59"/>
    <w:rsid w:val="008242B4"/>
    <w:rsid w:val="00825191"/>
    <w:rsid w:val="0082608E"/>
    <w:rsid w:val="00826F06"/>
    <w:rsid w:val="008307D8"/>
    <w:rsid w:val="00830A57"/>
    <w:rsid w:val="0083136A"/>
    <w:rsid w:val="00831875"/>
    <w:rsid w:val="00831F0F"/>
    <w:rsid w:val="00832B69"/>
    <w:rsid w:val="00833756"/>
    <w:rsid w:val="00833C1C"/>
    <w:rsid w:val="00834CA7"/>
    <w:rsid w:val="00835BF4"/>
    <w:rsid w:val="0083604C"/>
    <w:rsid w:val="00836C66"/>
    <w:rsid w:val="00836D4E"/>
    <w:rsid w:val="008371CB"/>
    <w:rsid w:val="00840C04"/>
    <w:rsid w:val="008412B1"/>
    <w:rsid w:val="008421A4"/>
    <w:rsid w:val="008429FD"/>
    <w:rsid w:val="0084446C"/>
    <w:rsid w:val="00844A7A"/>
    <w:rsid w:val="0085220C"/>
    <w:rsid w:val="00852B59"/>
    <w:rsid w:val="00852EF8"/>
    <w:rsid w:val="008539A9"/>
    <w:rsid w:val="00854C73"/>
    <w:rsid w:val="00860205"/>
    <w:rsid w:val="00860441"/>
    <w:rsid w:val="008607E3"/>
    <w:rsid w:val="00860A59"/>
    <w:rsid w:val="00860AB7"/>
    <w:rsid w:val="00861ABA"/>
    <w:rsid w:val="00861BF1"/>
    <w:rsid w:val="00861CEE"/>
    <w:rsid w:val="00863BD9"/>
    <w:rsid w:val="00865024"/>
    <w:rsid w:val="008656C1"/>
    <w:rsid w:val="008662DE"/>
    <w:rsid w:val="0086773D"/>
    <w:rsid w:val="008701C7"/>
    <w:rsid w:val="0087074E"/>
    <w:rsid w:val="00873DC4"/>
    <w:rsid w:val="00874280"/>
    <w:rsid w:val="0087432F"/>
    <w:rsid w:val="0087625B"/>
    <w:rsid w:val="00876704"/>
    <w:rsid w:val="00876BEC"/>
    <w:rsid w:val="00877179"/>
    <w:rsid w:val="00877716"/>
    <w:rsid w:val="008806E0"/>
    <w:rsid w:val="008822B7"/>
    <w:rsid w:val="008829CA"/>
    <w:rsid w:val="008832CD"/>
    <w:rsid w:val="0088430B"/>
    <w:rsid w:val="008843A1"/>
    <w:rsid w:val="0088557F"/>
    <w:rsid w:val="0088665C"/>
    <w:rsid w:val="00886742"/>
    <w:rsid w:val="00886961"/>
    <w:rsid w:val="008873AB"/>
    <w:rsid w:val="00890CB3"/>
    <w:rsid w:val="008919D8"/>
    <w:rsid w:val="0089323C"/>
    <w:rsid w:val="0089420C"/>
    <w:rsid w:val="00894E78"/>
    <w:rsid w:val="008950D1"/>
    <w:rsid w:val="00895501"/>
    <w:rsid w:val="00895E02"/>
    <w:rsid w:val="00896A3D"/>
    <w:rsid w:val="00896C2F"/>
    <w:rsid w:val="00896CCE"/>
    <w:rsid w:val="0089790E"/>
    <w:rsid w:val="00897D38"/>
    <w:rsid w:val="008A0D7C"/>
    <w:rsid w:val="008A1682"/>
    <w:rsid w:val="008A3A70"/>
    <w:rsid w:val="008A450B"/>
    <w:rsid w:val="008A5088"/>
    <w:rsid w:val="008A57D9"/>
    <w:rsid w:val="008A5825"/>
    <w:rsid w:val="008A5BF3"/>
    <w:rsid w:val="008A6837"/>
    <w:rsid w:val="008A6BC1"/>
    <w:rsid w:val="008A77E4"/>
    <w:rsid w:val="008B0C02"/>
    <w:rsid w:val="008B100C"/>
    <w:rsid w:val="008B1C7C"/>
    <w:rsid w:val="008B2320"/>
    <w:rsid w:val="008B2AA3"/>
    <w:rsid w:val="008B38CD"/>
    <w:rsid w:val="008B415C"/>
    <w:rsid w:val="008B52BE"/>
    <w:rsid w:val="008B63EB"/>
    <w:rsid w:val="008B658F"/>
    <w:rsid w:val="008B66B0"/>
    <w:rsid w:val="008B70BE"/>
    <w:rsid w:val="008B792D"/>
    <w:rsid w:val="008C0049"/>
    <w:rsid w:val="008C0165"/>
    <w:rsid w:val="008C0A07"/>
    <w:rsid w:val="008C16B0"/>
    <w:rsid w:val="008C1737"/>
    <w:rsid w:val="008C2743"/>
    <w:rsid w:val="008C2AE8"/>
    <w:rsid w:val="008C419E"/>
    <w:rsid w:val="008C42AA"/>
    <w:rsid w:val="008C4D37"/>
    <w:rsid w:val="008C5048"/>
    <w:rsid w:val="008C6023"/>
    <w:rsid w:val="008C6D61"/>
    <w:rsid w:val="008C7886"/>
    <w:rsid w:val="008C7980"/>
    <w:rsid w:val="008D091D"/>
    <w:rsid w:val="008D1AF9"/>
    <w:rsid w:val="008D2288"/>
    <w:rsid w:val="008D2B8C"/>
    <w:rsid w:val="008D505E"/>
    <w:rsid w:val="008D603E"/>
    <w:rsid w:val="008D634E"/>
    <w:rsid w:val="008D71BA"/>
    <w:rsid w:val="008D76F9"/>
    <w:rsid w:val="008E1822"/>
    <w:rsid w:val="008E2895"/>
    <w:rsid w:val="008E2C5D"/>
    <w:rsid w:val="008E5410"/>
    <w:rsid w:val="008E552B"/>
    <w:rsid w:val="008E6B1F"/>
    <w:rsid w:val="008F33DC"/>
    <w:rsid w:val="008F4FC7"/>
    <w:rsid w:val="008F534E"/>
    <w:rsid w:val="008F6DF4"/>
    <w:rsid w:val="008F71F6"/>
    <w:rsid w:val="008F7FE1"/>
    <w:rsid w:val="00900E3D"/>
    <w:rsid w:val="00901011"/>
    <w:rsid w:val="009013E0"/>
    <w:rsid w:val="00901428"/>
    <w:rsid w:val="009015D1"/>
    <w:rsid w:val="00902D36"/>
    <w:rsid w:val="009047A3"/>
    <w:rsid w:val="00904933"/>
    <w:rsid w:val="00904CDA"/>
    <w:rsid w:val="00910F29"/>
    <w:rsid w:val="00912A9A"/>
    <w:rsid w:val="00912CAD"/>
    <w:rsid w:val="009133D7"/>
    <w:rsid w:val="00913A18"/>
    <w:rsid w:val="0091433A"/>
    <w:rsid w:val="00914C0E"/>
    <w:rsid w:val="0091502E"/>
    <w:rsid w:val="009167C6"/>
    <w:rsid w:val="00917367"/>
    <w:rsid w:val="00917883"/>
    <w:rsid w:val="00917AF1"/>
    <w:rsid w:val="00920153"/>
    <w:rsid w:val="00920B95"/>
    <w:rsid w:val="00920F4B"/>
    <w:rsid w:val="00921511"/>
    <w:rsid w:val="00921866"/>
    <w:rsid w:val="0092222F"/>
    <w:rsid w:val="009223B6"/>
    <w:rsid w:val="00922C59"/>
    <w:rsid w:val="00923853"/>
    <w:rsid w:val="00923E8D"/>
    <w:rsid w:val="00924038"/>
    <w:rsid w:val="00924822"/>
    <w:rsid w:val="00925432"/>
    <w:rsid w:val="00925641"/>
    <w:rsid w:val="00925FB6"/>
    <w:rsid w:val="009260FE"/>
    <w:rsid w:val="00926D94"/>
    <w:rsid w:val="00926F6C"/>
    <w:rsid w:val="00930E3A"/>
    <w:rsid w:val="00930E7F"/>
    <w:rsid w:val="00930F22"/>
    <w:rsid w:val="009310D6"/>
    <w:rsid w:val="00931387"/>
    <w:rsid w:val="00931556"/>
    <w:rsid w:val="00931C2A"/>
    <w:rsid w:val="00932272"/>
    <w:rsid w:val="00933CD0"/>
    <w:rsid w:val="00934B5C"/>
    <w:rsid w:val="00934E21"/>
    <w:rsid w:val="00940695"/>
    <w:rsid w:val="00941C19"/>
    <w:rsid w:val="00941E2A"/>
    <w:rsid w:val="009422EC"/>
    <w:rsid w:val="00942DC8"/>
    <w:rsid w:val="009452EA"/>
    <w:rsid w:val="00946620"/>
    <w:rsid w:val="00946CC6"/>
    <w:rsid w:val="00946E95"/>
    <w:rsid w:val="00947DA2"/>
    <w:rsid w:val="00950D52"/>
    <w:rsid w:val="00950F2A"/>
    <w:rsid w:val="0095188D"/>
    <w:rsid w:val="00951CBE"/>
    <w:rsid w:val="00951F66"/>
    <w:rsid w:val="009520AE"/>
    <w:rsid w:val="0095259A"/>
    <w:rsid w:val="00952D59"/>
    <w:rsid w:val="009538A6"/>
    <w:rsid w:val="00956136"/>
    <w:rsid w:val="009579AD"/>
    <w:rsid w:val="00957F7F"/>
    <w:rsid w:val="00960585"/>
    <w:rsid w:val="0096169F"/>
    <w:rsid w:val="009617DC"/>
    <w:rsid w:val="00961E87"/>
    <w:rsid w:val="00962428"/>
    <w:rsid w:val="009630EB"/>
    <w:rsid w:val="00963910"/>
    <w:rsid w:val="00964126"/>
    <w:rsid w:val="009644B0"/>
    <w:rsid w:val="009650CF"/>
    <w:rsid w:val="00965EC7"/>
    <w:rsid w:val="0096606A"/>
    <w:rsid w:val="00966780"/>
    <w:rsid w:val="0096748D"/>
    <w:rsid w:val="009674AB"/>
    <w:rsid w:val="009677FA"/>
    <w:rsid w:val="009726B0"/>
    <w:rsid w:val="00973008"/>
    <w:rsid w:val="00973366"/>
    <w:rsid w:val="0097379E"/>
    <w:rsid w:val="00973A17"/>
    <w:rsid w:val="00974C48"/>
    <w:rsid w:val="00977442"/>
    <w:rsid w:val="00980156"/>
    <w:rsid w:val="009803B1"/>
    <w:rsid w:val="0098067E"/>
    <w:rsid w:val="0098165E"/>
    <w:rsid w:val="00981A68"/>
    <w:rsid w:val="00982A5C"/>
    <w:rsid w:val="00982CAA"/>
    <w:rsid w:val="00983839"/>
    <w:rsid w:val="00983D1E"/>
    <w:rsid w:val="0098450B"/>
    <w:rsid w:val="00987BDE"/>
    <w:rsid w:val="009901AD"/>
    <w:rsid w:val="0099052B"/>
    <w:rsid w:val="00991EB9"/>
    <w:rsid w:val="009955D7"/>
    <w:rsid w:val="00996ABC"/>
    <w:rsid w:val="00996CC8"/>
    <w:rsid w:val="009A053B"/>
    <w:rsid w:val="009A2C3C"/>
    <w:rsid w:val="009A3BBF"/>
    <w:rsid w:val="009A4B02"/>
    <w:rsid w:val="009A4ED0"/>
    <w:rsid w:val="009A548C"/>
    <w:rsid w:val="009A5B24"/>
    <w:rsid w:val="009A60FF"/>
    <w:rsid w:val="009A6AAC"/>
    <w:rsid w:val="009B0D9A"/>
    <w:rsid w:val="009B178D"/>
    <w:rsid w:val="009B260A"/>
    <w:rsid w:val="009B295B"/>
    <w:rsid w:val="009B425A"/>
    <w:rsid w:val="009B6494"/>
    <w:rsid w:val="009C05F7"/>
    <w:rsid w:val="009C0711"/>
    <w:rsid w:val="009C30C6"/>
    <w:rsid w:val="009C3D0D"/>
    <w:rsid w:val="009C40BC"/>
    <w:rsid w:val="009C5041"/>
    <w:rsid w:val="009C6214"/>
    <w:rsid w:val="009C6300"/>
    <w:rsid w:val="009C7944"/>
    <w:rsid w:val="009D01EC"/>
    <w:rsid w:val="009D126C"/>
    <w:rsid w:val="009D1A3E"/>
    <w:rsid w:val="009D5AA0"/>
    <w:rsid w:val="009D5E3B"/>
    <w:rsid w:val="009D7122"/>
    <w:rsid w:val="009E0224"/>
    <w:rsid w:val="009E0713"/>
    <w:rsid w:val="009E0BFA"/>
    <w:rsid w:val="009E1253"/>
    <w:rsid w:val="009E2861"/>
    <w:rsid w:val="009E400A"/>
    <w:rsid w:val="009F036D"/>
    <w:rsid w:val="009F0502"/>
    <w:rsid w:val="009F170B"/>
    <w:rsid w:val="009F1D06"/>
    <w:rsid w:val="009F1EEC"/>
    <w:rsid w:val="009F35A6"/>
    <w:rsid w:val="009F38F3"/>
    <w:rsid w:val="009F3E07"/>
    <w:rsid w:val="009F3F3E"/>
    <w:rsid w:val="009F5227"/>
    <w:rsid w:val="009F5386"/>
    <w:rsid w:val="009F699F"/>
    <w:rsid w:val="009F69BD"/>
    <w:rsid w:val="009F6D6A"/>
    <w:rsid w:val="009F78C3"/>
    <w:rsid w:val="00A0043B"/>
    <w:rsid w:val="00A02BC1"/>
    <w:rsid w:val="00A03482"/>
    <w:rsid w:val="00A045BB"/>
    <w:rsid w:val="00A06912"/>
    <w:rsid w:val="00A0749D"/>
    <w:rsid w:val="00A110AC"/>
    <w:rsid w:val="00A116E4"/>
    <w:rsid w:val="00A13002"/>
    <w:rsid w:val="00A13F57"/>
    <w:rsid w:val="00A14117"/>
    <w:rsid w:val="00A1453E"/>
    <w:rsid w:val="00A151C2"/>
    <w:rsid w:val="00A15C7D"/>
    <w:rsid w:val="00A15DB4"/>
    <w:rsid w:val="00A15EFD"/>
    <w:rsid w:val="00A16E15"/>
    <w:rsid w:val="00A1756E"/>
    <w:rsid w:val="00A21367"/>
    <w:rsid w:val="00A23151"/>
    <w:rsid w:val="00A238B9"/>
    <w:rsid w:val="00A24639"/>
    <w:rsid w:val="00A25BE8"/>
    <w:rsid w:val="00A27277"/>
    <w:rsid w:val="00A27ADC"/>
    <w:rsid w:val="00A27D71"/>
    <w:rsid w:val="00A27F75"/>
    <w:rsid w:val="00A300DF"/>
    <w:rsid w:val="00A30810"/>
    <w:rsid w:val="00A30B77"/>
    <w:rsid w:val="00A30D00"/>
    <w:rsid w:val="00A30E67"/>
    <w:rsid w:val="00A315E0"/>
    <w:rsid w:val="00A320DF"/>
    <w:rsid w:val="00A32630"/>
    <w:rsid w:val="00A33F35"/>
    <w:rsid w:val="00A35688"/>
    <w:rsid w:val="00A377F9"/>
    <w:rsid w:val="00A40BD7"/>
    <w:rsid w:val="00A40CD8"/>
    <w:rsid w:val="00A41CE6"/>
    <w:rsid w:val="00A41DDF"/>
    <w:rsid w:val="00A42E26"/>
    <w:rsid w:val="00A4319A"/>
    <w:rsid w:val="00A431D0"/>
    <w:rsid w:val="00A442F5"/>
    <w:rsid w:val="00A44BBA"/>
    <w:rsid w:val="00A45165"/>
    <w:rsid w:val="00A451AB"/>
    <w:rsid w:val="00A45D10"/>
    <w:rsid w:val="00A4776C"/>
    <w:rsid w:val="00A51422"/>
    <w:rsid w:val="00A51A41"/>
    <w:rsid w:val="00A540D1"/>
    <w:rsid w:val="00A55860"/>
    <w:rsid w:val="00A55D03"/>
    <w:rsid w:val="00A55E67"/>
    <w:rsid w:val="00A56CBB"/>
    <w:rsid w:val="00A60139"/>
    <w:rsid w:val="00A60D8D"/>
    <w:rsid w:val="00A617C8"/>
    <w:rsid w:val="00A61E72"/>
    <w:rsid w:val="00A63743"/>
    <w:rsid w:val="00A63F1F"/>
    <w:rsid w:val="00A64AC5"/>
    <w:rsid w:val="00A64DE8"/>
    <w:rsid w:val="00A6530F"/>
    <w:rsid w:val="00A659B3"/>
    <w:rsid w:val="00A65B7A"/>
    <w:rsid w:val="00A70AA2"/>
    <w:rsid w:val="00A7126F"/>
    <w:rsid w:val="00A71F61"/>
    <w:rsid w:val="00A7236E"/>
    <w:rsid w:val="00A7389D"/>
    <w:rsid w:val="00A740F8"/>
    <w:rsid w:val="00A74340"/>
    <w:rsid w:val="00A74647"/>
    <w:rsid w:val="00A74AEB"/>
    <w:rsid w:val="00A75772"/>
    <w:rsid w:val="00A771A1"/>
    <w:rsid w:val="00A7751D"/>
    <w:rsid w:val="00A7768D"/>
    <w:rsid w:val="00A776DA"/>
    <w:rsid w:val="00A80548"/>
    <w:rsid w:val="00A80C8D"/>
    <w:rsid w:val="00A81321"/>
    <w:rsid w:val="00A81591"/>
    <w:rsid w:val="00A82661"/>
    <w:rsid w:val="00A83AF4"/>
    <w:rsid w:val="00A842B1"/>
    <w:rsid w:val="00A84753"/>
    <w:rsid w:val="00A8756B"/>
    <w:rsid w:val="00A90187"/>
    <w:rsid w:val="00A902DB"/>
    <w:rsid w:val="00A920F0"/>
    <w:rsid w:val="00A929A9"/>
    <w:rsid w:val="00A93C25"/>
    <w:rsid w:val="00A945D4"/>
    <w:rsid w:val="00A94BB0"/>
    <w:rsid w:val="00A95524"/>
    <w:rsid w:val="00A97B36"/>
    <w:rsid w:val="00AA14F9"/>
    <w:rsid w:val="00AA2BEA"/>
    <w:rsid w:val="00AA2C30"/>
    <w:rsid w:val="00AA2D98"/>
    <w:rsid w:val="00AA5EE7"/>
    <w:rsid w:val="00AA784D"/>
    <w:rsid w:val="00AB0CA0"/>
    <w:rsid w:val="00AB1683"/>
    <w:rsid w:val="00AB1DA0"/>
    <w:rsid w:val="00AB2094"/>
    <w:rsid w:val="00AB2F24"/>
    <w:rsid w:val="00AB3911"/>
    <w:rsid w:val="00AB3AB7"/>
    <w:rsid w:val="00AB4B2A"/>
    <w:rsid w:val="00AB52E7"/>
    <w:rsid w:val="00AB62E4"/>
    <w:rsid w:val="00AB675A"/>
    <w:rsid w:val="00AB7AB9"/>
    <w:rsid w:val="00AC0665"/>
    <w:rsid w:val="00AC08BD"/>
    <w:rsid w:val="00AC08FC"/>
    <w:rsid w:val="00AC0FA8"/>
    <w:rsid w:val="00AC143D"/>
    <w:rsid w:val="00AC1BA8"/>
    <w:rsid w:val="00AC33C1"/>
    <w:rsid w:val="00AC49D3"/>
    <w:rsid w:val="00AC5C5F"/>
    <w:rsid w:val="00AC6090"/>
    <w:rsid w:val="00AC6547"/>
    <w:rsid w:val="00AC6E8D"/>
    <w:rsid w:val="00AC7778"/>
    <w:rsid w:val="00AD0119"/>
    <w:rsid w:val="00AD0D9E"/>
    <w:rsid w:val="00AD12AC"/>
    <w:rsid w:val="00AD2ACB"/>
    <w:rsid w:val="00AD2FF3"/>
    <w:rsid w:val="00AD33F7"/>
    <w:rsid w:val="00AD3E3F"/>
    <w:rsid w:val="00AD4701"/>
    <w:rsid w:val="00AD5BFE"/>
    <w:rsid w:val="00AE0C54"/>
    <w:rsid w:val="00AE19F6"/>
    <w:rsid w:val="00AE1F68"/>
    <w:rsid w:val="00AE2C3A"/>
    <w:rsid w:val="00AE2F79"/>
    <w:rsid w:val="00AE30AF"/>
    <w:rsid w:val="00AE5264"/>
    <w:rsid w:val="00AE533D"/>
    <w:rsid w:val="00AE5FDB"/>
    <w:rsid w:val="00AE713A"/>
    <w:rsid w:val="00AE7225"/>
    <w:rsid w:val="00AE72CB"/>
    <w:rsid w:val="00AE7D45"/>
    <w:rsid w:val="00AF004D"/>
    <w:rsid w:val="00AF07D1"/>
    <w:rsid w:val="00AF0835"/>
    <w:rsid w:val="00AF169E"/>
    <w:rsid w:val="00AF1870"/>
    <w:rsid w:val="00AF40E6"/>
    <w:rsid w:val="00AF467C"/>
    <w:rsid w:val="00AF48BF"/>
    <w:rsid w:val="00AF513B"/>
    <w:rsid w:val="00AF5672"/>
    <w:rsid w:val="00AF596C"/>
    <w:rsid w:val="00AF5C64"/>
    <w:rsid w:val="00AF6D55"/>
    <w:rsid w:val="00AF74BE"/>
    <w:rsid w:val="00B00F62"/>
    <w:rsid w:val="00B010D4"/>
    <w:rsid w:val="00B01FBF"/>
    <w:rsid w:val="00B0207C"/>
    <w:rsid w:val="00B02D91"/>
    <w:rsid w:val="00B0423A"/>
    <w:rsid w:val="00B043BE"/>
    <w:rsid w:val="00B055D6"/>
    <w:rsid w:val="00B06B07"/>
    <w:rsid w:val="00B06C7D"/>
    <w:rsid w:val="00B07820"/>
    <w:rsid w:val="00B07BCB"/>
    <w:rsid w:val="00B10C04"/>
    <w:rsid w:val="00B10E79"/>
    <w:rsid w:val="00B13B1A"/>
    <w:rsid w:val="00B13DCD"/>
    <w:rsid w:val="00B1408B"/>
    <w:rsid w:val="00B16112"/>
    <w:rsid w:val="00B17049"/>
    <w:rsid w:val="00B17366"/>
    <w:rsid w:val="00B17D7C"/>
    <w:rsid w:val="00B205DB"/>
    <w:rsid w:val="00B20C43"/>
    <w:rsid w:val="00B21032"/>
    <w:rsid w:val="00B2132D"/>
    <w:rsid w:val="00B22873"/>
    <w:rsid w:val="00B23A1C"/>
    <w:rsid w:val="00B240E8"/>
    <w:rsid w:val="00B24D9A"/>
    <w:rsid w:val="00B24FC4"/>
    <w:rsid w:val="00B2594C"/>
    <w:rsid w:val="00B25D6F"/>
    <w:rsid w:val="00B274A9"/>
    <w:rsid w:val="00B3004C"/>
    <w:rsid w:val="00B31031"/>
    <w:rsid w:val="00B31ADC"/>
    <w:rsid w:val="00B32293"/>
    <w:rsid w:val="00B32AD9"/>
    <w:rsid w:val="00B331FA"/>
    <w:rsid w:val="00B332A0"/>
    <w:rsid w:val="00B34F81"/>
    <w:rsid w:val="00B35112"/>
    <w:rsid w:val="00B35881"/>
    <w:rsid w:val="00B3676A"/>
    <w:rsid w:val="00B36D02"/>
    <w:rsid w:val="00B3773C"/>
    <w:rsid w:val="00B37BEC"/>
    <w:rsid w:val="00B41C29"/>
    <w:rsid w:val="00B42816"/>
    <w:rsid w:val="00B42CA5"/>
    <w:rsid w:val="00B44266"/>
    <w:rsid w:val="00B451B6"/>
    <w:rsid w:val="00B45223"/>
    <w:rsid w:val="00B4659D"/>
    <w:rsid w:val="00B46639"/>
    <w:rsid w:val="00B4779F"/>
    <w:rsid w:val="00B4798E"/>
    <w:rsid w:val="00B526E0"/>
    <w:rsid w:val="00B53C6A"/>
    <w:rsid w:val="00B53F0B"/>
    <w:rsid w:val="00B53F4E"/>
    <w:rsid w:val="00B54BA2"/>
    <w:rsid w:val="00B558DB"/>
    <w:rsid w:val="00B559A5"/>
    <w:rsid w:val="00B56937"/>
    <w:rsid w:val="00B5716D"/>
    <w:rsid w:val="00B57832"/>
    <w:rsid w:val="00B6098B"/>
    <w:rsid w:val="00B60C25"/>
    <w:rsid w:val="00B60D2E"/>
    <w:rsid w:val="00B60DE9"/>
    <w:rsid w:val="00B61822"/>
    <w:rsid w:val="00B6292B"/>
    <w:rsid w:val="00B63686"/>
    <w:rsid w:val="00B64473"/>
    <w:rsid w:val="00B668CC"/>
    <w:rsid w:val="00B70044"/>
    <w:rsid w:val="00B70F34"/>
    <w:rsid w:val="00B725D3"/>
    <w:rsid w:val="00B739AF"/>
    <w:rsid w:val="00B7404E"/>
    <w:rsid w:val="00B74139"/>
    <w:rsid w:val="00B74D94"/>
    <w:rsid w:val="00B75428"/>
    <w:rsid w:val="00B7680C"/>
    <w:rsid w:val="00B76884"/>
    <w:rsid w:val="00B77696"/>
    <w:rsid w:val="00B77C67"/>
    <w:rsid w:val="00B80413"/>
    <w:rsid w:val="00B80A5A"/>
    <w:rsid w:val="00B82CFA"/>
    <w:rsid w:val="00B83977"/>
    <w:rsid w:val="00B83BC3"/>
    <w:rsid w:val="00B84A0D"/>
    <w:rsid w:val="00B85843"/>
    <w:rsid w:val="00B85FAF"/>
    <w:rsid w:val="00B90BEE"/>
    <w:rsid w:val="00B90E11"/>
    <w:rsid w:val="00B910B5"/>
    <w:rsid w:val="00B92979"/>
    <w:rsid w:val="00B92D79"/>
    <w:rsid w:val="00B939B5"/>
    <w:rsid w:val="00B93E4E"/>
    <w:rsid w:val="00B945B1"/>
    <w:rsid w:val="00B95265"/>
    <w:rsid w:val="00B96F20"/>
    <w:rsid w:val="00BA05B1"/>
    <w:rsid w:val="00BA0C18"/>
    <w:rsid w:val="00BA19A7"/>
    <w:rsid w:val="00BA1E29"/>
    <w:rsid w:val="00BA2467"/>
    <w:rsid w:val="00BA272D"/>
    <w:rsid w:val="00BA2F73"/>
    <w:rsid w:val="00BA3A6F"/>
    <w:rsid w:val="00BA469A"/>
    <w:rsid w:val="00BA4FA3"/>
    <w:rsid w:val="00BA57FB"/>
    <w:rsid w:val="00BA6E67"/>
    <w:rsid w:val="00BA71CF"/>
    <w:rsid w:val="00BA7C60"/>
    <w:rsid w:val="00BA7FFC"/>
    <w:rsid w:val="00BB411D"/>
    <w:rsid w:val="00BB6580"/>
    <w:rsid w:val="00BB76AA"/>
    <w:rsid w:val="00BB792E"/>
    <w:rsid w:val="00BB7B2E"/>
    <w:rsid w:val="00BC0017"/>
    <w:rsid w:val="00BC01D7"/>
    <w:rsid w:val="00BC0C13"/>
    <w:rsid w:val="00BC0E22"/>
    <w:rsid w:val="00BC0EC3"/>
    <w:rsid w:val="00BC3EF1"/>
    <w:rsid w:val="00BC5ECE"/>
    <w:rsid w:val="00BD0E0C"/>
    <w:rsid w:val="00BD0E59"/>
    <w:rsid w:val="00BD21D6"/>
    <w:rsid w:val="00BD246E"/>
    <w:rsid w:val="00BD26AC"/>
    <w:rsid w:val="00BD2DCC"/>
    <w:rsid w:val="00BD32F1"/>
    <w:rsid w:val="00BD4199"/>
    <w:rsid w:val="00BD5208"/>
    <w:rsid w:val="00BD72FD"/>
    <w:rsid w:val="00BD774E"/>
    <w:rsid w:val="00BE058D"/>
    <w:rsid w:val="00BE417F"/>
    <w:rsid w:val="00BE7196"/>
    <w:rsid w:val="00BE78D1"/>
    <w:rsid w:val="00BF0D84"/>
    <w:rsid w:val="00BF0E5C"/>
    <w:rsid w:val="00BF2315"/>
    <w:rsid w:val="00BF3C96"/>
    <w:rsid w:val="00BF3D27"/>
    <w:rsid w:val="00BF3E8F"/>
    <w:rsid w:val="00BF3F34"/>
    <w:rsid w:val="00BF4167"/>
    <w:rsid w:val="00BF48A9"/>
    <w:rsid w:val="00BF533F"/>
    <w:rsid w:val="00BF622F"/>
    <w:rsid w:val="00BF6E11"/>
    <w:rsid w:val="00BF6E17"/>
    <w:rsid w:val="00C003C0"/>
    <w:rsid w:val="00C016E7"/>
    <w:rsid w:val="00C0385D"/>
    <w:rsid w:val="00C03DB7"/>
    <w:rsid w:val="00C041B8"/>
    <w:rsid w:val="00C04961"/>
    <w:rsid w:val="00C04B0B"/>
    <w:rsid w:val="00C04CC2"/>
    <w:rsid w:val="00C06650"/>
    <w:rsid w:val="00C0687E"/>
    <w:rsid w:val="00C07029"/>
    <w:rsid w:val="00C101C4"/>
    <w:rsid w:val="00C112A9"/>
    <w:rsid w:val="00C117D3"/>
    <w:rsid w:val="00C11E3D"/>
    <w:rsid w:val="00C126AB"/>
    <w:rsid w:val="00C1287A"/>
    <w:rsid w:val="00C12FCC"/>
    <w:rsid w:val="00C143E1"/>
    <w:rsid w:val="00C14595"/>
    <w:rsid w:val="00C172D4"/>
    <w:rsid w:val="00C1799C"/>
    <w:rsid w:val="00C2072F"/>
    <w:rsid w:val="00C20CEF"/>
    <w:rsid w:val="00C21FA6"/>
    <w:rsid w:val="00C2242A"/>
    <w:rsid w:val="00C23247"/>
    <w:rsid w:val="00C23992"/>
    <w:rsid w:val="00C26644"/>
    <w:rsid w:val="00C27E6F"/>
    <w:rsid w:val="00C3092B"/>
    <w:rsid w:val="00C3173E"/>
    <w:rsid w:val="00C31F66"/>
    <w:rsid w:val="00C3249A"/>
    <w:rsid w:val="00C3286A"/>
    <w:rsid w:val="00C335B2"/>
    <w:rsid w:val="00C3466C"/>
    <w:rsid w:val="00C350D7"/>
    <w:rsid w:val="00C357AD"/>
    <w:rsid w:val="00C3619B"/>
    <w:rsid w:val="00C40105"/>
    <w:rsid w:val="00C4184A"/>
    <w:rsid w:val="00C42203"/>
    <w:rsid w:val="00C42B72"/>
    <w:rsid w:val="00C433D4"/>
    <w:rsid w:val="00C43F1A"/>
    <w:rsid w:val="00C44809"/>
    <w:rsid w:val="00C45276"/>
    <w:rsid w:val="00C4556C"/>
    <w:rsid w:val="00C45FFD"/>
    <w:rsid w:val="00C473A4"/>
    <w:rsid w:val="00C5002F"/>
    <w:rsid w:val="00C503D1"/>
    <w:rsid w:val="00C50A45"/>
    <w:rsid w:val="00C50BCC"/>
    <w:rsid w:val="00C5100C"/>
    <w:rsid w:val="00C52BF2"/>
    <w:rsid w:val="00C54418"/>
    <w:rsid w:val="00C55BCF"/>
    <w:rsid w:val="00C55E21"/>
    <w:rsid w:val="00C56135"/>
    <w:rsid w:val="00C56C0E"/>
    <w:rsid w:val="00C570DE"/>
    <w:rsid w:val="00C57217"/>
    <w:rsid w:val="00C57BE0"/>
    <w:rsid w:val="00C57ED6"/>
    <w:rsid w:val="00C62B92"/>
    <w:rsid w:val="00C62C9E"/>
    <w:rsid w:val="00C6348D"/>
    <w:rsid w:val="00C6464E"/>
    <w:rsid w:val="00C64945"/>
    <w:rsid w:val="00C64A08"/>
    <w:rsid w:val="00C65291"/>
    <w:rsid w:val="00C65396"/>
    <w:rsid w:val="00C65BB0"/>
    <w:rsid w:val="00C6609F"/>
    <w:rsid w:val="00C66DF6"/>
    <w:rsid w:val="00C70563"/>
    <w:rsid w:val="00C70BE1"/>
    <w:rsid w:val="00C72595"/>
    <w:rsid w:val="00C73700"/>
    <w:rsid w:val="00C73937"/>
    <w:rsid w:val="00C73F5E"/>
    <w:rsid w:val="00C740BC"/>
    <w:rsid w:val="00C74465"/>
    <w:rsid w:val="00C76221"/>
    <w:rsid w:val="00C76388"/>
    <w:rsid w:val="00C77F0F"/>
    <w:rsid w:val="00C807B3"/>
    <w:rsid w:val="00C82F0C"/>
    <w:rsid w:val="00C83597"/>
    <w:rsid w:val="00C83FC7"/>
    <w:rsid w:val="00C847DD"/>
    <w:rsid w:val="00C84940"/>
    <w:rsid w:val="00C84A24"/>
    <w:rsid w:val="00C8646B"/>
    <w:rsid w:val="00C869E7"/>
    <w:rsid w:val="00C916B3"/>
    <w:rsid w:val="00C92C75"/>
    <w:rsid w:val="00C9375E"/>
    <w:rsid w:val="00C937AC"/>
    <w:rsid w:val="00C94920"/>
    <w:rsid w:val="00C9604C"/>
    <w:rsid w:val="00C962BD"/>
    <w:rsid w:val="00C9666D"/>
    <w:rsid w:val="00C97343"/>
    <w:rsid w:val="00C97355"/>
    <w:rsid w:val="00C97519"/>
    <w:rsid w:val="00C979C6"/>
    <w:rsid w:val="00CA04B3"/>
    <w:rsid w:val="00CA0DF6"/>
    <w:rsid w:val="00CA3E5F"/>
    <w:rsid w:val="00CA4CA3"/>
    <w:rsid w:val="00CA4F55"/>
    <w:rsid w:val="00CA5D39"/>
    <w:rsid w:val="00CA6C5B"/>
    <w:rsid w:val="00CA7251"/>
    <w:rsid w:val="00CB0279"/>
    <w:rsid w:val="00CB0F94"/>
    <w:rsid w:val="00CB1C07"/>
    <w:rsid w:val="00CB1D81"/>
    <w:rsid w:val="00CB2630"/>
    <w:rsid w:val="00CB2901"/>
    <w:rsid w:val="00CB2B58"/>
    <w:rsid w:val="00CB48D5"/>
    <w:rsid w:val="00CB49B5"/>
    <w:rsid w:val="00CB51D4"/>
    <w:rsid w:val="00CB6674"/>
    <w:rsid w:val="00CB6916"/>
    <w:rsid w:val="00CC1AD8"/>
    <w:rsid w:val="00CC3BBC"/>
    <w:rsid w:val="00CC4320"/>
    <w:rsid w:val="00CC5645"/>
    <w:rsid w:val="00CC5714"/>
    <w:rsid w:val="00CC5856"/>
    <w:rsid w:val="00CC6F7D"/>
    <w:rsid w:val="00CC754D"/>
    <w:rsid w:val="00CC7EEF"/>
    <w:rsid w:val="00CD0141"/>
    <w:rsid w:val="00CD115F"/>
    <w:rsid w:val="00CD1291"/>
    <w:rsid w:val="00CD2568"/>
    <w:rsid w:val="00CD2639"/>
    <w:rsid w:val="00CD4273"/>
    <w:rsid w:val="00CD49DC"/>
    <w:rsid w:val="00CD6267"/>
    <w:rsid w:val="00CE0621"/>
    <w:rsid w:val="00CE0B02"/>
    <w:rsid w:val="00CE2FC2"/>
    <w:rsid w:val="00CE2FD6"/>
    <w:rsid w:val="00CE3699"/>
    <w:rsid w:val="00CE3BFB"/>
    <w:rsid w:val="00CE3E6B"/>
    <w:rsid w:val="00CE4167"/>
    <w:rsid w:val="00CE5381"/>
    <w:rsid w:val="00CE594F"/>
    <w:rsid w:val="00CE6327"/>
    <w:rsid w:val="00CE6553"/>
    <w:rsid w:val="00CE6637"/>
    <w:rsid w:val="00CE6BF2"/>
    <w:rsid w:val="00CE6C6C"/>
    <w:rsid w:val="00CE6E64"/>
    <w:rsid w:val="00CE7310"/>
    <w:rsid w:val="00CE759F"/>
    <w:rsid w:val="00CE75E4"/>
    <w:rsid w:val="00CE76EE"/>
    <w:rsid w:val="00CF0D71"/>
    <w:rsid w:val="00CF1F50"/>
    <w:rsid w:val="00CF2657"/>
    <w:rsid w:val="00CF439A"/>
    <w:rsid w:val="00CF530F"/>
    <w:rsid w:val="00CF5E55"/>
    <w:rsid w:val="00CF6405"/>
    <w:rsid w:val="00CF644B"/>
    <w:rsid w:val="00CF65E4"/>
    <w:rsid w:val="00D00B84"/>
    <w:rsid w:val="00D00FCF"/>
    <w:rsid w:val="00D01C32"/>
    <w:rsid w:val="00D01C51"/>
    <w:rsid w:val="00D02795"/>
    <w:rsid w:val="00D032E8"/>
    <w:rsid w:val="00D03A1B"/>
    <w:rsid w:val="00D0472C"/>
    <w:rsid w:val="00D06ECD"/>
    <w:rsid w:val="00D06EF7"/>
    <w:rsid w:val="00D07A9E"/>
    <w:rsid w:val="00D101B9"/>
    <w:rsid w:val="00D10922"/>
    <w:rsid w:val="00D11A9D"/>
    <w:rsid w:val="00D11E41"/>
    <w:rsid w:val="00D12DFF"/>
    <w:rsid w:val="00D13194"/>
    <w:rsid w:val="00D14675"/>
    <w:rsid w:val="00D14B97"/>
    <w:rsid w:val="00D153B7"/>
    <w:rsid w:val="00D156B4"/>
    <w:rsid w:val="00D15739"/>
    <w:rsid w:val="00D158B6"/>
    <w:rsid w:val="00D15C41"/>
    <w:rsid w:val="00D15E07"/>
    <w:rsid w:val="00D16949"/>
    <w:rsid w:val="00D170FD"/>
    <w:rsid w:val="00D173C7"/>
    <w:rsid w:val="00D17698"/>
    <w:rsid w:val="00D17F8A"/>
    <w:rsid w:val="00D255FE"/>
    <w:rsid w:val="00D274F8"/>
    <w:rsid w:val="00D32C22"/>
    <w:rsid w:val="00D32EAF"/>
    <w:rsid w:val="00D330F9"/>
    <w:rsid w:val="00D33402"/>
    <w:rsid w:val="00D3656B"/>
    <w:rsid w:val="00D3687E"/>
    <w:rsid w:val="00D36E4A"/>
    <w:rsid w:val="00D374F2"/>
    <w:rsid w:val="00D375FF"/>
    <w:rsid w:val="00D3772D"/>
    <w:rsid w:val="00D37BB1"/>
    <w:rsid w:val="00D40898"/>
    <w:rsid w:val="00D41445"/>
    <w:rsid w:val="00D41BC8"/>
    <w:rsid w:val="00D432E5"/>
    <w:rsid w:val="00D43483"/>
    <w:rsid w:val="00D43E53"/>
    <w:rsid w:val="00D46803"/>
    <w:rsid w:val="00D46B47"/>
    <w:rsid w:val="00D47677"/>
    <w:rsid w:val="00D504B1"/>
    <w:rsid w:val="00D5088D"/>
    <w:rsid w:val="00D5161C"/>
    <w:rsid w:val="00D52AA1"/>
    <w:rsid w:val="00D53436"/>
    <w:rsid w:val="00D5434B"/>
    <w:rsid w:val="00D54E5E"/>
    <w:rsid w:val="00D574B6"/>
    <w:rsid w:val="00D60673"/>
    <w:rsid w:val="00D62C7F"/>
    <w:rsid w:val="00D6343D"/>
    <w:rsid w:val="00D63C3C"/>
    <w:rsid w:val="00D64960"/>
    <w:rsid w:val="00D65B9A"/>
    <w:rsid w:val="00D66454"/>
    <w:rsid w:val="00D676A4"/>
    <w:rsid w:val="00D703D8"/>
    <w:rsid w:val="00D70801"/>
    <w:rsid w:val="00D7277E"/>
    <w:rsid w:val="00D73086"/>
    <w:rsid w:val="00D74699"/>
    <w:rsid w:val="00D74FAF"/>
    <w:rsid w:val="00D761CF"/>
    <w:rsid w:val="00D76F98"/>
    <w:rsid w:val="00D77CA5"/>
    <w:rsid w:val="00D80D6C"/>
    <w:rsid w:val="00D81131"/>
    <w:rsid w:val="00D8255A"/>
    <w:rsid w:val="00D827C6"/>
    <w:rsid w:val="00D84A05"/>
    <w:rsid w:val="00D85D7D"/>
    <w:rsid w:val="00D87876"/>
    <w:rsid w:val="00D9062A"/>
    <w:rsid w:val="00D906C1"/>
    <w:rsid w:val="00D90FD2"/>
    <w:rsid w:val="00D92281"/>
    <w:rsid w:val="00D9328E"/>
    <w:rsid w:val="00D93520"/>
    <w:rsid w:val="00D939EA"/>
    <w:rsid w:val="00D93A83"/>
    <w:rsid w:val="00D94159"/>
    <w:rsid w:val="00D959BA"/>
    <w:rsid w:val="00D96959"/>
    <w:rsid w:val="00D96DDD"/>
    <w:rsid w:val="00D9735F"/>
    <w:rsid w:val="00DA07F8"/>
    <w:rsid w:val="00DA16A5"/>
    <w:rsid w:val="00DA202C"/>
    <w:rsid w:val="00DA22C5"/>
    <w:rsid w:val="00DA25E8"/>
    <w:rsid w:val="00DA3F84"/>
    <w:rsid w:val="00DA4A5F"/>
    <w:rsid w:val="00DA53DE"/>
    <w:rsid w:val="00DA72C1"/>
    <w:rsid w:val="00DA75F8"/>
    <w:rsid w:val="00DA7880"/>
    <w:rsid w:val="00DB09CD"/>
    <w:rsid w:val="00DB1BA8"/>
    <w:rsid w:val="00DB366A"/>
    <w:rsid w:val="00DB52DD"/>
    <w:rsid w:val="00DB5614"/>
    <w:rsid w:val="00DB56D0"/>
    <w:rsid w:val="00DB5C6E"/>
    <w:rsid w:val="00DB68D0"/>
    <w:rsid w:val="00DB7CFC"/>
    <w:rsid w:val="00DC01B6"/>
    <w:rsid w:val="00DC0DC6"/>
    <w:rsid w:val="00DC257C"/>
    <w:rsid w:val="00DC3645"/>
    <w:rsid w:val="00DC3715"/>
    <w:rsid w:val="00DC392D"/>
    <w:rsid w:val="00DC40AC"/>
    <w:rsid w:val="00DC41E6"/>
    <w:rsid w:val="00DC5119"/>
    <w:rsid w:val="00DC596D"/>
    <w:rsid w:val="00DC6D64"/>
    <w:rsid w:val="00DC6FA6"/>
    <w:rsid w:val="00DC7E51"/>
    <w:rsid w:val="00DC7F36"/>
    <w:rsid w:val="00DD06FF"/>
    <w:rsid w:val="00DD2C47"/>
    <w:rsid w:val="00DD3C5E"/>
    <w:rsid w:val="00DD4F87"/>
    <w:rsid w:val="00DD5806"/>
    <w:rsid w:val="00DD655C"/>
    <w:rsid w:val="00DD65F5"/>
    <w:rsid w:val="00DD70EA"/>
    <w:rsid w:val="00DD757A"/>
    <w:rsid w:val="00DD7FD6"/>
    <w:rsid w:val="00DE0015"/>
    <w:rsid w:val="00DE061F"/>
    <w:rsid w:val="00DE18BD"/>
    <w:rsid w:val="00DE1A6D"/>
    <w:rsid w:val="00DE1C62"/>
    <w:rsid w:val="00DE1CF5"/>
    <w:rsid w:val="00DE1E5A"/>
    <w:rsid w:val="00DE2AF5"/>
    <w:rsid w:val="00DE3405"/>
    <w:rsid w:val="00DE349F"/>
    <w:rsid w:val="00DE3BA5"/>
    <w:rsid w:val="00DE45FE"/>
    <w:rsid w:val="00DE520E"/>
    <w:rsid w:val="00DE54A3"/>
    <w:rsid w:val="00DE60A1"/>
    <w:rsid w:val="00DE63E9"/>
    <w:rsid w:val="00DE68F7"/>
    <w:rsid w:val="00DE7905"/>
    <w:rsid w:val="00DE7AA9"/>
    <w:rsid w:val="00DE7DD6"/>
    <w:rsid w:val="00DF10BB"/>
    <w:rsid w:val="00DF1147"/>
    <w:rsid w:val="00DF1200"/>
    <w:rsid w:val="00DF1A60"/>
    <w:rsid w:val="00DF1C84"/>
    <w:rsid w:val="00DF2B04"/>
    <w:rsid w:val="00DF3387"/>
    <w:rsid w:val="00DF68DC"/>
    <w:rsid w:val="00DF6C2B"/>
    <w:rsid w:val="00DF77AC"/>
    <w:rsid w:val="00DF77B5"/>
    <w:rsid w:val="00E01F6E"/>
    <w:rsid w:val="00E02A60"/>
    <w:rsid w:val="00E0323D"/>
    <w:rsid w:val="00E035DB"/>
    <w:rsid w:val="00E03C42"/>
    <w:rsid w:val="00E04901"/>
    <w:rsid w:val="00E04CE6"/>
    <w:rsid w:val="00E0547C"/>
    <w:rsid w:val="00E05BE1"/>
    <w:rsid w:val="00E061F4"/>
    <w:rsid w:val="00E0656F"/>
    <w:rsid w:val="00E07E24"/>
    <w:rsid w:val="00E1009C"/>
    <w:rsid w:val="00E12249"/>
    <w:rsid w:val="00E12E0E"/>
    <w:rsid w:val="00E144DF"/>
    <w:rsid w:val="00E14B12"/>
    <w:rsid w:val="00E15DBD"/>
    <w:rsid w:val="00E16944"/>
    <w:rsid w:val="00E16ECA"/>
    <w:rsid w:val="00E17350"/>
    <w:rsid w:val="00E1796B"/>
    <w:rsid w:val="00E213F8"/>
    <w:rsid w:val="00E21D66"/>
    <w:rsid w:val="00E22965"/>
    <w:rsid w:val="00E22996"/>
    <w:rsid w:val="00E246A4"/>
    <w:rsid w:val="00E258C2"/>
    <w:rsid w:val="00E27AC2"/>
    <w:rsid w:val="00E31E7C"/>
    <w:rsid w:val="00E320B6"/>
    <w:rsid w:val="00E3273D"/>
    <w:rsid w:val="00E34484"/>
    <w:rsid w:val="00E364B3"/>
    <w:rsid w:val="00E36815"/>
    <w:rsid w:val="00E36D19"/>
    <w:rsid w:val="00E37F39"/>
    <w:rsid w:val="00E403C3"/>
    <w:rsid w:val="00E40CB8"/>
    <w:rsid w:val="00E410CC"/>
    <w:rsid w:val="00E42AEA"/>
    <w:rsid w:val="00E42E14"/>
    <w:rsid w:val="00E43380"/>
    <w:rsid w:val="00E4438D"/>
    <w:rsid w:val="00E467DD"/>
    <w:rsid w:val="00E47635"/>
    <w:rsid w:val="00E506AA"/>
    <w:rsid w:val="00E520B4"/>
    <w:rsid w:val="00E54690"/>
    <w:rsid w:val="00E54A50"/>
    <w:rsid w:val="00E5541B"/>
    <w:rsid w:val="00E55A3D"/>
    <w:rsid w:val="00E565C0"/>
    <w:rsid w:val="00E570A3"/>
    <w:rsid w:val="00E576F1"/>
    <w:rsid w:val="00E60110"/>
    <w:rsid w:val="00E603E7"/>
    <w:rsid w:val="00E605E3"/>
    <w:rsid w:val="00E614B6"/>
    <w:rsid w:val="00E635BB"/>
    <w:rsid w:val="00E63897"/>
    <w:rsid w:val="00E65605"/>
    <w:rsid w:val="00E6583B"/>
    <w:rsid w:val="00E672EF"/>
    <w:rsid w:val="00E677DC"/>
    <w:rsid w:val="00E721FA"/>
    <w:rsid w:val="00E72C83"/>
    <w:rsid w:val="00E73A88"/>
    <w:rsid w:val="00E760CF"/>
    <w:rsid w:val="00E76CA0"/>
    <w:rsid w:val="00E77612"/>
    <w:rsid w:val="00E80C48"/>
    <w:rsid w:val="00E82951"/>
    <w:rsid w:val="00E8382D"/>
    <w:rsid w:val="00E8483E"/>
    <w:rsid w:val="00E84950"/>
    <w:rsid w:val="00E84AAC"/>
    <w:rsid w:val="00E84C92"/>
    <w:rsid w:val="00E85C6B"/>
    <w:rsid w:val="00E87D0E"/>
    <w:rsid w:val="00E90BFE"/>
    <w:rsid w:val="00E91EB4"/>
    <w:rsid w:val="00E92CF5"/>
    <w:rsid w:val="00E93823"/>
    <w:rsid w:val="00E93EC2"/>
    <w:rsid w:val="00E93EC6"/>
    <w:rsid w:val="00E944BC"/>
    <w:rsid w:val="00E9602B"/>
    <w:rsid w:val="00EA09C0"/>
    <w:rsid w:val="00EA0F1C"/>
    <w:rsid w:val="00EA12C4"/>
    <w:rsid w:val="00EA1A6F"/>
    <w:rsid w:val="00EA1D7C"/>
    <w:rsid w:val="00EA2220"/>
    <w:rsid w:val="00EA267C"/>
    <w:rsid w:val="00EA273E"/>
    <w:rsid w:val="00EA280D"/>
    <w:rsid w:val="00EA3A07"/>
    <w:rsid w:val="00EA3BED"/>
    <w:rsid w:val="00EA4AC2"/>
    <w:rsid w:val="00EA69FB"/>
    <w:rsid w:val="00EA6BF7"/>
    <w:rsid w:val="00EB1208"/>
    <w:rsid w:val="00EB1EC2"/>
    <w:rsid w:val="00EB4AE8"/>
    <w:rsid w:val="00EB4E85"/>
    <w:rsid w:val="00EB5009"/>
    <w:rsid w:val="00EB561A"/>
    <w:rsid w:val="00EB63EF"/>
    <w:rsid w:val="00EB65A9"/>
    <w:rsid w:val="00EB7CB0"/>
    <w:rsid w:val="00EC0437"/>
    <w:rsid w:val="00EC0B4F"/>
    <w:rsid w:val="00EC41F8"/>
    <w:rsid w:val="00EC484B"/>
    <w:rsid w:val="00EC4E86"/>
    <w:rsid w:val="00EC60CE"/>
    <w:rsid w:val="00EC693F"/>
    <w:rsid w:val="00EC6C98"/>
    <w:rsid w:val="00EC7510"/>
    <w:rsid w:val="00EC7A87"/>
    <w:rsid w:val="00EC7EB3"/>
    <w:rsid w:val="00ED023E"/>
    <w:rsid w:val="00ED0852"/>
    <w:rsid w:val="00ED17D2"/>
    <w:rsid w:val="00ED20E4"/>
    <w:rsid w:val="00ED2555"/>
    <w:rsid w:val="00ED26FB"/>
    <w:rsid w:val="00ED27A8"/>
    <w:rsid w:val="00ED44BD"/>
    <w:rsid w:val="00ED595F"/>
    <w:rsid w:val="00EE01E6"/>
    <w:rsid w:val="00EE091F"/>
    <w:rsid w:val="00EE2315"/>
    <w:rsid w:val="00EE3413"/>
    <w:rsid w:val="00EE4196"/>
    <w:rsid w:val="00EE62F2"/>
    <w:rsid w:val="00EE6D05"/>
    <w:rsid w:val="00EE724E"/>
    <w:rsid w:val="00EE75D2"/>
    <w:rsid w:val="00EE76D6"/>
    <w:rsid w:val="00EF01CF"/>
    <w:rsid w:val="00EF0C1B"/>
    <w:rsid w:val="00EF0FEC"/>
    <w:rsid w:val="00EF13F0"/>
    <w:rsid w:val="00EF1C3A"/>
    <w:rsid w:val="00EF2D73"/>
    <w:rsid w:val="00EF2E4C"/>
    <w:rsid w:val="00EF3B52"/>
    <w:rsid w:val="00EF4A0F"/>
    <w:rsid w:val="00EF4FB7"/>
    <w:rsid w:val="00EF54B7"/>
    <w:rsid w:val="00EF6609"/>
    <w:rsid w:val="00EF7065"/>
    <w:rsid w:val="00EF7BEB"/>
    <w:rsid w:val="00EF7EDA"/>
    <w:rsid w:val="00F007C5"/>
    <w:rsid w:val="00F00857"/>
    <w:rsid w:val="00F0130D"/>
    <w:rsid w:val="00F04353"/>
    <w:rsid w:val="00F05409"/>
    <w:rsid w:val="00F05EB9"/>
    <w:rsid w:val="00F0676E"/>
    <w:rsid w:val="00F06E17"/>
    <w:rsid w:val="00F10650"/>
    <w:rsid w:val="00F10856"/>
    <w:rsid w:val="00F114E5"/>
    <w:rsid w:val="00F128C0"/>
    <w:rsid w:val="00F132C4"/>
    <w:rsid w:val="00F13977"/>
    <w:rsid w:val="00F15D0F"/>
    <w:rsid w:val="00F16865"/>
    <w:rsid w:val="00F17731"/>
    <w:rsid w:val="00F208AF"/>
    <w:rsid w:val="00F21852"/>
    <w:rsid w:val="00F219DB"/>
    <w:rsid w:val="00F27BFE"/>
    <w:rsid w:val="00F30935"/>
    <w:rsid w:val="00F3143F"/>
    <w:rsid w:val="00F319B9"/>
    <w:rsid w:val="00F32AF8"/>
    <w:rsid w:val="00F33238"/>
    <w:rsid w:val="00F334F3"/>
    <w:rsid w:val="00F34813"/>
    <w:rsid w:val="00F349D6"/>
    <w:rsid w:val="00F34A39"/>
    <w:rsid w:val="00F34DFE"/>
    <w:rsid w:val="00F35362"/>
    <w:rsid w:val="00F356F3"/>
    <w:rsid w:val="00F3596C"/>
    <w:rsid w:val="00F362F5"/>
    <w:rsid w:val="00F364BA"/>
    <w:rsid w:val="00F37620"/>
    <w:rsid w:val="00F37940"/>
    <w:rsid w:val="00F37BE8"/>
    <w:rsid w:val="00F40573"/>
    <w:rsid w:val="00F423E8"/>
    <w:rsid w:val="00F42A8A"/>
    <w:rsid w:val="00F433DB"/>
    <w:rsid w:val="00F436C7"/>
    <w:rsid w:val="00F440D5"/>
    <w:rsid w:val="00F441B2"/>
    <w:rsid w:val="00F442F5"/>
    <w:rsid w:val="00F45589"/>
    <w:rsid w:val="00F45F60"/>
    <w:rsid w:val="00F4670C"/>
    <w:rsid w:val="00F46DE7"/>
    <w:rsid w:val="00F46F95"/>
    <w:rsid w:val="00F4715C"/>
    <w:rsid w:val="00F476BE"/>
    <w:rsid w:val="00F50268"/>
    <w:rsid w:val="00F51AFD"/>
    <w:rsid w:val="00F531E8"/>
    <w:rsid w:val="00F54E69"/>
    <w:rsid w:val="00F5587E"/>
    <w:rsid w:val="00F600BA"/>
    <w:rsid w:val="00F608A4"/>
    <w:rsid w:val="00F61688"/>
    <w:rsid w:val="00F6169E"/>
    <w:rsid w:val="00F61EA7"/>
    <w:rsid w:val="00F622CE"/>
    <w:rsid w:val="00F631AE"/>
    <w:rsid w:val="00F63370"/>
    <w:rsid w:val="00F63456"/>
    <w:rsid w:val="00F636ED"/>
    <w:rsid w:val="00F67462"/>
    <w:rsid w:val="00F67898"/>
    <w:rsid w:val="00F7030A"/>
    <w:rsid w:val="00F71509"/>
    <w:rsid w:val="00F7166C"/>
    <w:rsid w:val="00F729D2"/>
    <w:rsid w:val="00F740A7"/>
    <w:rsid w:val="00F753BE"/>
    <w:rsid w:val="00F753DB"/>
    <w:rsid w:val="00F754F8"/>
    <w:rsid w:val="00F75B24"/>
    <w:rsid w:val="00F76375"/>
    <w:rsid w:val="00F80154"/>
    <w:rsid w:val="00F81391"/>
    <w:rsid w:val="00F818DC"/>
    <w:rsid w:val="00F82E25"/>
    <w:rsid w:val="00F83695"/>
    <w:rsid w:val="00F83745"/>
    <w:rsid w:val="00F85A7F"/>
    <w:rsid w:val="00F93122"/>
    <w:rsid w:val="00F953E6"/>
    <w:rsid w:val="00F960AC"/>
    <w:rsid w:val="00F96EF0"/>
    <w:rsid w:val="00F976DC"/>
    <w:rsid w:val="00F97E32"/>
    <w:rsid w:val="00FA06CA"/>
    <w:rsid w:val="00FA2BCB"/>
    <w:rsid w:val="00FA40B2"/>
    <w:rsid w:val="00FA7DAB"/>
    <w:rsid w:val="00FB0779"/>
    <w:rsid w:val="00FB2E82"/>
    <w:rsid w:val="00FB39BE"/>
    <w:rsid w:val="00FB3A1E"/>
    <w:rsid w:val="00FB527E"/>
    <w:rsid w:val="00FB5F9A"/>
    <w:rsid w:val="00FB6C8C"/>
    <w:rsid w:val="00FB6DB1"/>
    <w:rsid w:val="00FB71F4"/>
    <w:rsid w:val="00FB7E1C"/>
    <w:rsid w:val="00FB7FA2"/>
    <w:rsid w:val="00FC0600"/>
    <w:rsid w:val="00FC0755"/>
    <w:rsid w:val="00FC07F4"/>
    <w:rsid w:val="00FC15F7"/>
    <w:rsid w:val="00FC1C58"/>
    <w:rsid w:val="00FC3BA3"/>
    <w:rsid w:val="00FC4F60"/>
    <w:rsid w:val="00FC5073"/>
    <w:rsid w:val="00FC523C"/>
    <w:rsid w:val="00FC5AA9"/>
    <w:rsid w:val="00FC6C3F"/>
    <w:rsid w:val="00FC75EC"/>
    <w:rsid w:val="00FC7A9E"/>
    <w:rsid w:val="00FD068E"/>
    <w:rsid w:val="00FD0C5B"/>
    <w:rsid w:val="00FD1049"/>
    <w:rsid w:val="00FD1713"/>
    <w:rsid w:val="00FD1AB7"/>
    <w:rsid w:val="00FD2064"/>
    <w:rsid w:val="00FD2903"/>
    <w:rsid w:val="00FD2984"/>
    <w:rsid w:val="00FD2EAC"/>
    <w:rsid w:val="00FD32C0"/>
    <w:rsid w:val="00FD407C"/>
    <w:rsid w:val="00FD4557"/>
    <w:rsid w:val="00FD556D"/>
    <w:rsid w:val="00FD5699"/>
    <w:rsid w:val="00FD6C3F"/>
    <w:rsid w:val="00FD6EAF"/>
    <w:rsid w:val="00FD7B67"/>
    <w:rsid w:val="00FE03F2"/>
    <w:rsid w:val="00FE1B3D"/>
    <w:rsid w:val="00FE1CE2"/>
    <w:rsid w:val="00FE2616"/>
    <w:rsid w:val="00FE289A"/>
    <w:rsid w:val="00FE3089"/>
    <w:rsid w:val="00FE445F"/>
    <w:rsid w:val="00FE462B"/>
    <w:rsid w:val="00FE469E"/>
    <w:rsid w:val="00FE46E7"/>
    <w:rsid w:val="00FE4951"/>
    <w:rsid w:val="00FE4D8A"/>
    <w:rsid w:val="00FE5340"/>
    <w:rsid w:val="00FE5709"/>
    <w:rsid w:val="00FE70BF"/>
    <w:rsid w:val="00FE760D"/>
    <w:rsid w:val="00FF004A"/>
    <w:rsid w:val="00FF0155"/>
    <w:rsid w:val="00FF01C6"/>
    <w:rsid w:val="00FF27CE"/>
    <w:rsid w:val="00FF321E"/>
    <w:rsid w:val="00FF4160"/>
    <w:rsid w:val="00FF4A37"/>
    <w:rsid w:val="00FF505A"/>
    <w:rsid w:val="00FF55F5"/>
    <w:rsid w:val="00FF5D0C"/>
    <w:rsid w:val="00FF6107"/>
    <w:rsid w:val="00FF6DCB"/>
    <w:rsid w:val="00FF7ABC"/>
    <w:rsid w:val="00FF7E2A"/>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6" fill="f" fillcolor="white" stroke="f">
      <v:fill color="white" on="f"/>
      <v:stroke on="f"/>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1"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0" w:unhideWhenUsed="1" w:qFormat="1"/>
    <w:lsdException w:name="heading 9" w:semiHidden="1" w:uiPriority="0"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0"/>
    <w:lsdException w:name="footer" w:uiPriority="99"/>
    <w:lsdException w:name="caption" w:semiHidden="1" w:uiPriority="35" w:unhideWhenUsed="1" w:qFormat="1"/>
    <w:lsdException w:name="footnote reference" w:uiPriority="99"/>
    <w:lsdException w:name="annotation reference" w:uiPriority="0"/>
    <w:lsdException w:name="endnote text" w:uiPriority="0"/>
    <w:lsdException w:name="List Bullet" w:uiPriority="0"/>
    <w:lsdException w:name="Title" w:qFormat="1"/>
    <w:lsdException w:name="Default Paragraph Font" w:uiPriority="0"/>
    <w:lsdException w:name="Body Text" w:uiPriority="0"/>
    <w:lsdException w:name="Subtitle" w:qFormat="1"/>
    <w:lsdException w:name="Body Text First Indent" w:uiPriority="99"/>
    <w:lsdException w:name="Body Text 2" w:uiPriority="99"/>
    <w:lsdException w:name="Body Tex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0"/>
    <w:lsdException w:name="HTML Top of Form" w:uiPriority="0"/>
    <w:lsdException w:name="HTML Bottom of Form" w:uiPriority="0"/>
    <w:lsdException w:name="Normal (Web)" w:uiPriority="99"/>
    <w:lsdException w:name="Normal Table" w:uiPriority="0"/>
    <w:lsdException w:name="annotation subject" w:uiPriority="99"/>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99"/>
    <w:lsdException w:name="Table Grid" w:uiPriority="59"/>
    <w:lsdException w:name="Table Theme" w:uiPriority="0"/>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83136A"/>
    <w:pPr>
      <w:spacing w:after="170" w:line="260" w:lineRule="atLeast"/>
    </w:pPr>
    <w:rPr>
      <w:rFonts w:ascii="Arial" w:hAnsi="Arial"/>
      <w:sz w:val="18"/>
      <w:szCs w:val="24"/>
      <w:lang w:val="en-GB" w:eastAsia="en-GB"/>
    </w:rPr>
  </w:style>
  <w:style w:type="paragraph" w:styleId="Heading1">
    <w:name w:val="heading 1"/>
    <w:aliases w:val="Main HEADING"/>
    <w:basedOn w:val="Normal"/>
    <w:next w:val="Normal"/>
    <w:link w:val="Heading1Char"/>
    <w:qFormat/>
    <w:rsid w:val="008A6837"/>
    <w:pPr>
      <w:keepNext/>
      <w:spacing w:after="240"/>
      <w:outlineLvl w:val="0"/>
    </w:pPr>
    <w:rPr>
      <w:rFonts w:ascii="Times New Roman" w:hAnsi="Times New Roman"/>
      <w:b/>
      <w:bCs/>
      <w:color w:val="4A7729"/>
      <w:kern w:val="32"/>
      <w:sz w:val="36"/>
      <w:szCs w:val="32"/>
    </w:rPr>
  </w:style>
  <w:style w:type="paragraph" w:styleId="Heading2">
    <w:name w:val="heading 2"/>
    <w:basedOn w:val="Normal"/>
    <w:next w:val="BodyText"/>
    <w:link w:val="Heading2Char"/>
    <w:qFormat/>
    <w:rsid w:val="008A6837"/>
    <w:pPr>
      <w:keepNext/>
      <w:spacing w:before="320" w:after="90"/>
      <w:outlineLvl w:val="1"/>
    </w:pPr>
    <w:rPr>
      <w:rFonts w:ascii="Times New Roman" w:hAnsi="Times New Roman"/>
      <w:b/>
      <w:color w:val="4A7729"/>
      <w:sz w:val="28"/>
      <w:szCs w:val="20"/>
      <w:lang w:val="en-NZ"/>
    </w:rPr>
  </w:style>
  <w:style w:type="paragraph" w:styleId="Heading3">
    <w:name w:val="heading 3"/>
    <w:basedOn w:val="Normal"/>
    <w:next w:val="Normal"/>
    <w:link w:val="Heading3Char"/>
    <w:uiPriority w:val="9"/>
    <w:qFormat/>
    <w:rsid w:val="00D13194"/>
    <w:pPr>
      <w:keepNext/>
      <w:spacing w:before="320" w:after="0" w:line="276" w:lineRule="auto"/>
      <w:outlineLvl w:val="2"/>
    </w:pPr>
    <w:rPr>
      <w:rFonts w:ascii="Times New Roman" w:hAnsi="Times New Roman" w:cs="Arial"/>
      <w:b/>
      <w:color w:val="4A7729"/>
      <w:sz w:val="22"/>
      <w:szCs w:val="22"/>
      <w:lang w:val="en-NZ"/>
    </w:rPr>
  </w:style>
  <w:style w:type="paragraph" w:styleId="Heading4">
    <w:name w:val="heading 4"/>
    <w:basedOn w:val="Normal"/>
    <w:next w:val="Normal"/>
    <w:link w:val="Heading4Char"/>
    <w:unhideWhenUsed/>
    <w:qFormat/>
    <w:rsid w:val="00D13194"/>
    <w:pPr>
      <w:keepNext/>
      <w:spacing w:before="240" w:after="40"/>
      <w:jc w:val="both"/>
      <w:outlineLvl w:val="3"/>
    </w:pPr>
    <w:rPr>
      <w:b/>
      <w:bCs/>
      <w:szCs w:val="28"/>
    </w:rPr>
  </w:style>
  <w:style w:type="paragraph" w:styleId="Heading5">
    <w:name w:val="heading 5"/>
    <w:basedOn w:val="Normal"/>
    <w:next w:val="Normal"/>
    <w:link w:val="Heading5Char"/>
    <w:uiPriority w:val="9"/>
    <w:unhideWhenUsed/>
    <w:rsid w:val="00157A26"/>
    <w:pPr>
      <w:numPr>
        <w:numId w:val="8"/>
      </w:numPr>
      <w:tabs>
        <w:tab w:val="left" w:pos="284"/>
      </w:tabs>
      <w:spacing w:before="120" w:after="60"/>
      <w:outlineLvl w:val="4"/>
    </w:pPr>
    <w:rPr>
      <w:bCs/>
      <w:i/>
      <w:iCs/>
      <w:szCs w:val="26"/>
    </w:rPr>
  </w:style>
  <w:style w:type="paragraph" w:styleId="Heading6">
    <w:name w:val="heading 6"/>
    <w:basedOn w:val="Normal"/>
    <w:next w:val="Normal"/>
    <w:link w:val="Heading6Char"/>
    <w:uiPriority w:val="9"/>
    <w:unhideWhenUsed/>
    <w:rsid w:val="00154104"/>
    <w:pPr>
      <w:keepNext/>
      <w:keepLines/>
      <w:spacing w:before="200" w:line="360" w:lineRule="auto"/>
      <w:outlineLvl w:val="5"/>
    </w:pPr>
    <w:rPr>
      <w:rFonts w:ascii="Cambria" w:hAnsi="Cambria"/>
      <w:i/>
      <w:iCs/>
      <w:color w:val="243F60"/>
      <w:sz w:val="16"/>
      <w:szCs w:val="20"/>
      <w:lang w:val="en-NZ"/>
    </w:rPr>
  </w:style>
  <w:style w:type="paragraph" w:styleId="Heading7">
    <w:name w:val="heading 7"/>
    <w:basedOn w:val="Normal"/>
    <w:next w:val="Normal"/>
    <w:link w:val="Heading7Char"/>
    <w:uiPriority w:val="9"/>
    <w:unhideWhenUsed/>
    <w:rsid w:val="00154104"/>
    <w:pPr>
      <w:keepNext/>
      <w:keepLines/>
      <w:spacing w:before="200" w:line="360" w:lineRule="auto"/>
      <w:outlineLvl w:val="6"/>
    </w:pPr>
    <w:rPr>
      <w:rFonts w:ascii="Cambria" w:hAnsi="Cambria"/>
      <w:i/>
      <w:iCs/>
      <w:color w:val="404040"/>
      <w:sz w:val="16"/>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rsid w:val="008A6837"/>
    <w:rPr>
      <w:b/>
      <w:bCs/>
      <w:color w:val="4A7729"/>
      <w:kern w:val="32"/>
      <w:sz w:val="36"/>
      <w:szCs w:val="32"/>
      <w:lang w:val="en-GB" w:eastAsia="en-GB"/>
    </w:rPr>
  </w:style>
  <w:style w:type="paragraph" w:styleId="BodyText">
    <w:name w:val="Body Text"/>
    <w:basedOn w:val="Normal"/>
    <w:link w:val="BodyTextChar"/>
    <w:rsid w:val="0083136A"/>
    <w:pPr>
      <w:suppressAutoHyphens/>
      <w:autoSpaceDE w:val="0"/>
      <w:autoSpaceDN w:val="0"/>
      <w:adjustRightInd w:val="0"/>
      <w:spacing w:line="280" w:lineRule="atLeast"/>
      <w:textAlignment w:val="center"/>
    </w:pPr>
    <w:rPr>
      <w:rFonts w:cs="OSML"/>
      <w:szCs w:val="18"/>
      <w:lang w:eastAsia="en-NZ"/>
    </w:rPr>
  </w:style>
  <w:style w:type="character" w:customStyle="1" w:styleId="BodyTextChar">
    <w:name w:val="Body Text Char"/>
    <w:basedOn w:val="DefaultParagraphFont"/>
    <w:link w:val="BodyText"/>
    <w:rsid w:val="0083136A"/>
    <w:rPr>
      <w:rFonts w:ascii="Arial" w:hAnsi="Arial" w:cs="OSML"/>
      <w:sz w:val="18"/>
      <w:szCs w:val="18"/>
      <w:lang w:val="en-GB"/>
    </w:rPr>
  </w:style>
  <w:style w:type="character" w:customStyle="1" w:styleId="Heading2Char">
    <w:name w:val="Heading 2 Char"/>
    <w:basedOn w:val="DefaultParagraphFont"/>
    <w:link w:val="Heading2"/>
    <w:rsid w:val="008A6837"/>
    <w:rPr>
      <w:b/>
      <w:color w:val="4A7729"/>
      <w:sz w:val="28"/>
      <w:lang w:eastAsia="en-GB"/>
    </w:rPr>
  </w:style>
  <w:style w:type="character" w:customStyle="1" w:styleId="Heading3Char">
    <w:name w:val="Heading 3 Char"/>
    <w:basedOn w:val="DefaultParagraphFont"/>
    <w:link w:val="Heading3"/>
    <w:uiPriority w:val="9"/>
    <w:rsid w:val="00D13194"/>
    <w:rPr>
      <w:rFonts w:cs="Arial"/>
      <w:b/>
      <w:color w:val="4A7729"/>
      <w:sz w:val="22"/>
      <w:szCs w:val="22"/>
      <w:lang w:eastAsia="en-GB"/>
    </w:rPr>
  </w:style>
  <w:style w:type="character" w:customStyle="1" w:styleId="Heading4Char">
    <w:name w:val="Heading 4 Char"/>
    <w:basedOn w:val="DefaultParagraphFont"/>
    <w:link w:val="Heading4"/>
    <w:rsid w:val="00D13194"/>
    <w:rPr>
      <w:rFonts w:ascii="Arial" w:hAnsi="Arial"/>
      <w:b/>
      <w:bCs/>
      <w:sz w:val="18"/>
      <w:szCs w:val="28"/>
      <w:lang w:val="en-GB" w:eastAsia="en-GB"/>
    </w:rPr>
  </w:style>
  <w:style w:type="character" w:customStyle="1" w:styleId="Heading5Char">
    <w:name w:val="Heading 5 Char"/>
    <w:basedOn w:val="DefaultParagraphFont"/>
    <w:link w:val="Heading5"/>
    <w:uiPriority w:val="9"/>
    <w:rsid w:val="00157A26"/>
    <w:rPr>
      <w:rFonts w:ascii="Arial" w:hAnsi="Arial"/>
      <w:bCs/>
      <w:i/>
      <w:iCs/>
      <w:sz w:val="18"/>
      <w:szCs w:val="26"/>
      <w:lang w:val="en-GB" w:eastAsia="en-GB"/>
    </w:rPr>
  </w:style>
  <w:style w:type="character" w:customStyle="1" w:styleId="Heading6Char">
    <w:name w:val="Heading 6 Char"/>
    <w:basedOn w:val="DefaultParagraphFont"/>
    <w:link w:val="Heading6"/>
    <w:uiPriority w:val="9"/>
    <w:rsid w:val="00154104"/>
    <w:rPr>
      <w:rFonts w:ascii="Cambria" w:hAnsi="Cambria"/>
      <w:i/>
      <w:iCs/>
      <w:color w:val="243F60"/>
      <w:sz w:val="16"/>
      <w:lang w:eastAsia="en-GB"/>
    </w:rPr>
  </w:style>
  <w:style w:type="character" w:customStyle="1" w:styleId="Heading7Char">
    <w:name w:val="Heading 7 Char"/>
    <w:basedOn w:val="DefaultParagraphFont"/>
    <w:link w:val="Heading7"/>
    <w:uiPriority w:val="9"/>
    <w:rsid w:val="00154104"/>
    <w:rPr>
      <w:rFonts w:ascii="Cambria" w:hAnsi="Cambria"/>
      <w:i/>
      <w:iCs/>
      <w:color w:val="404040"/>
      <w:sz w:val="16"/>
      <w:lang w:eastAsia="en-GB"/>
    </w:rPr>
  </w:style>
  <w:style w:type="paragraph" w:customStyle="1" w:styleId="BodyTextBullets">
    <w:name w:val="Body Text Bullets"/>
    <w:basedOn w:val="BodyText"/>
    <w:uiPriority w:val="99"/>
    <w:rsid w:val="007C70A4"/>
    <w:pPr>
      <w:numPr>
        <w:numId w:val="1"/>
      </w:numPr>
      <w:tabs>
        <w:tab w:val="left" w:pos="567"/>
      </w:tabs>
      <w:spacing w:after="120"/>
      <w:ind w:left="568" w:hanging="284"/>
    </w:pPr>
  </w:style>
  <w:style w:type="paragraph" w:customStyle="1" w:styleId="Footnote">
    <w:name w:val="Footnote"/>
    <w:basedOn w:val="Normal"/>
    <w:uiPriority w:val="1"/>
    <w:qFormat/>
    <w:rsid w:val="004921C8"/>
    <w:pPr>
      <w:tabs>
        <w:tab w:val="left" w:pos="284"/>
      </w:tabs>
      <w:spacing w:after="60" w:line="240" w:lineRule="auto"/>
      <w:ind w:left="284" w:hanging="284"/>
    </w:pPr>
    <w:rPr>
      <w:sz w:val="14"/>
    </w:rPr>
  </w:style>
  <w:style w:type="character" w:styleId="FootnoteReference">
    <w:name w:val="footnote reference"/>
    <w:aliases w:val="4_G"/>
    <w:basedOn w:val="DefaultParagraphFont"/>
    <w:uiPriority w:val="99"/>
    <w:rsid w:val="002E2C33"/>
    <w:rPr>
      <w:rFonts w:ascii="Arial" w:hAnsi="Arial"/>
      <w:sz w:val="18"/>
      <w:vertAlign w:val="superscript"/>
    </w:rPr>
  </w:style>
  <w:style w:type="character" w:styleId="Hyperlink">
    <w:name w:val="Hyperlink"/>
    <w:basedOn w:val="DefaultParagraphFont"/>
    <w:uiPriority w:val="99"/>
    <w:rsid w:val="0052072A"/>
    <w:rPr>
      <w:color w:val="0000FF"/>
      <w:u w:val="single"/>
    </w:rPr>
  </w:style>
  <w:style w:type="paragraph" w:customStyle="1" w:styleId="TableText">
    <w:name w:val="Table Text"/>
    <w:qFormat/>
    <w:rsid w:val="007F6E7A"/>
    <w:pPr>
      <w:spacing w:before="40" w:after="40" w:line="200" w:lineRule="atLeast"/>
    </w:pPr>
    <w:rPr>
      <w:rFonts w:ascii="Arial" w:hAnsi="Arial" w:cs="Arial"/>
      <w:bCs/>
      <w:sz w:val="14"/>
      <w:szCs w:val="16"/>
      <w:lang w:val="en-GB" w:eastAsia="en-GB"/>
    </w:rPr>
  </w:style>
  <w:style w:type="paragraph" w:customStyle="1" w:styleId="TableFootnote">
    <w:name w:val="Table Footnote"/>
    <w:uiPriority w:val="1"/>
    <w:qFormat/>
    <w:rsid w:val="00831875"/>
    <w:pPr>
      <w:keepLines/>
      <w:spacing w:before="120" w:after="170" w:line="200" w:lineRule="atLeast"/>
    </w:pPr>
    <w:rPr>
      <w:rFonts w:ascii="Arial" w:hAnsi="Arial" w:cs="Arial"/>
      <w:bCs/>
      <w:sz w:val="13"/>
      <w:szCs w:val="16"/>
      <w:lang w:val="en-GB" w:eastAsia="en-GB"/>
    </w:rPr>
  </w:style>
  <w:style w:type="character" w:styleId="FollowedHyperlink">
    <w:name w:val="FollowedHyperlink"/>
    <w:basedOn w:val="DefaultParagraphFont"/>
    <w:uiPriority w:val="99"/>
    <w:rsid w:val="00154104"/>
    <w:rPr>
      <w:color w:val="800080"/>
      <w:u w:val="single"/>
    </w:rPr>
  </w:style>
  <w:style w:type="paragraph" w:styleId="TOC1">
    <w:name w:val="toc 1"/>
    <w:basedOn w:val="Normal"/>
    <w:next w:val="Normal"/>
    <w:uiPriority w:val="39"/>
    <w:unhideWhenUsed/>
    <w:qFormat/>
    <w:rsid w:val="008A6837"/>
    <w:pPr>
      <w:spacing w:before="60" w:after="60"/>
    </w:pPr>
    <w:rPr>
      <w:b/>
      <w:bCs/>
      <w:color w:val="4A7729"/>
      <w:sz w:val="17"/>
      <w:szCs w:val="20"/>
    </w:rPr>
  </w:style>
  <w:style w:type="paragraph" w:styleId="TOC2">
    <w:name w:val="toc 2"/>
    <w:basedOn w:val="Normal"/>
    <w:next w:val="Normal"/>
    <w:autoRedefine/>
    <w:uiPriority w:val="39"/>
    <w:unhideWhenUsed/>
    <w:qFormat/>
    <w:rsid w:val="00D00FCF"/>
    <w:pPr>
      <w:tabs>
        <w:tab w:val="right" w:leader="dot" w:pos="8834"/>
      </w:tabs>
      <w:spacing w:before="50" w:after="50" w:line="180" w:lineRule="atLeast"/>
      <w:ind w:left="238"/>
    </w:pPr>
    <w:rPr>
      <w:bCs/>
      <w:iCs/>
      <w:noProof/>
      <w:sz w:val="16"/>
      <w:szCs w:val="20"/>
    </w:rPr>
  </w:style>
  <w:style w:type="paragraph" w:styleId="TOC3">
    <w:name w:val="toc 3"/>
    <w:basedOn w:val="Normal"/>
    <w:next w:val="Normal"/>
    <w:autoRedefine/>
    <w:uiPriority w:val="39"/>
    <w:unhideWhenUsed/>
    <w:qFormat/>
    <w:rsid w:val="00D00FCF"/>
    <w:pPr>
      <w:tabs>
        <w:tab w:val="right" w:leader="dot" w:pos="8834"/>
      </w:tabs>
      <w:spacing w:after="60" w:line="200" w:lineRule="atLeast"/>
      <w:ind w:left="851" w:hanging="851"/>
    </w:pPr>
    <w:rPr>
      <w:sz w:val="16"/>
      <w:szCs w:val="20"/>
    </w:rPr>
  </w:style>
  <w:style w:type="table" w:styleId="TableGrid">
    <w:name w:val="Table Grid"/>
    <w:basedOn w:val="TableNormal"/>
    <w:uiPriority w:val="59"/>
    <w:rsid w:val="008843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eHeading">
    <w:name w:val="Figure Heading"/>
    <w:basedOn w:val="BodyText"/>
    <w:qFormat/>
    <w:rsid w:val="008A6837"/>
    <w:pPr>
      <w:keepNext/>
      <w:numPr>
        <w:numId w:val="2"/>
      </w:numPr>
      <w:tabs>
        <w:tab w:val="left" w:pos="992"/>
      </w:tabs>
      <w:spacing w:before="240" w:after="120" w:line="220" w:lineRule="atLeast"/>
      <w:ind w:left="992" w:hanging="992"/>
    </w:pPr>
    <w:rPr>
      <w:b/>
      <w:color w:val="4A7729"/>
      <w:lang w:val="en-AU"/>
    </w:rPr>
  </w:style>
  <w:style w:type="paragraph" w:customStyle="1" w:styleId="TableHeading">
    <w:name w:val="Table Heading"/>
    <w:basedOn w:val="FigureHeading"/>
    <w:uiPriority w:val="1"/>
    <w:qFormat/>
    <w:rsid w:val="00831875"/>
    <w:pPr>
      <w:numPr>
        <w:numId w:val="6"/>
      </w:numPr>
      <w:spacing w:after="60"/>
      <w:ind w:left="992" w:hanging="992"/>
    </w:pPr>
  </w:style>
  <w:style w:type="paragraph" w:styleId="Header">
    <w:name w:val="header"/>
    <w:basedOn w:val="Normal"/>
    <w:link w:val="HeaderChar"/>
    <w:rsid w:val="00747398"/>
    <w:pPr>
      <w:tabs>
        <w:tab w:val="center" w:pos="4513"/>
        <w:tab w:val="right" w:pos="9026"/>
      </w:tabs>
    </w:pPr>
  </w:style>
  <w:style w:type="character" w:customStyle="1" w:styleId="HeaderChar">
    <w:name w:val="Header Char"/>
    <w:basedOn w:val="DefaultParagraphFont"/>
    <w:link w:val="Header"/>
    <w:rsid w:val="00747398"/>
    <w:rPr>
      <w:sz w:val="18"/>
      <w:szCs w:val="24"/>
      <w:lang w:val="en-GB" w:eastAsia="en-GB"/>
    </w:rPr>
  </w:style>
  <w:style w:type="paragraph" w:customStyle="1" w:styleId="AppendixTableHeading">
    <w:name w:val="Appendix Table Heading"/>
    <w:uiPriority w:val="1"/>
    <w:qFormat/>
    <w:rsid w:val="00571CBB"/>
    <w:pPr>
      <w:spacing w:before="40" w:after="40"/>
    </w:pPr>
    <w:rPr>
      <w:rFonts w:ascii="Arial" w:hAnsi="Arial" w:cs="Arial"/>
      <w:b/>
      <w:color w:val="4A7729"/>
      <w:sz w:val="13"/>
      <w:szCs w:val="12"/>
      <w:lang w:val="en-GB" w:eastAsia="en-GB"/>
    </w:rPr>
  </w:style>
  <w:style w:type="paragraph" w:styleId="BalloonText">
    <w:name w:val="Balloon Text"/>
    <w:basedOn w:val="Normal"/>
    <w:link w:val="BalloonTextChar"/>
    <w:uiPriority w:val="99"/>
    <w:rsid w:val="003731AA"/>
    <w:pPr>
      <w:spacing w:after="0" w:line="240" w:lineRule="auto"/>
    </w:pPr>
    <w:rPr>
      <w:rFonts w:ascii="Tahoma" w:hAnsi="Tahoma" w:cs="Tahoma"/>
      <w:sz w:val="16"/>
      <w:szCs w:val="16"/>
    </w:rPr>
  </w:style>
  <w:style w:type="paragraph" w:customStyle="1" w:styleId="AppendixTableText">
    <w:name w:val="Appendix Table Text"/>
    <w:basedOn w:val="Normal"/>
    <w:uiPriority w:val="1"/>
    <w:qFormat/>
    <w:rsid w:val="00346043"/>
    <w:pPr>
      <w:spacing w:before="40" w:after="40" w:line="240" w:lineRule="auto"/>
    </w:pPr>
    <w:rPr>
      <w:rFonts w:cs="Arial"/>
      <w:sz w:val="12"/>
      <w:szCs w:val="13"/>
    </w:rPr>
  </w:style>
  <w:style w:type="paragraph" w:customStyle="1" w:styleId="BodyTextBullet2">
    <w:name w:val="Body Text Bullet_2"/>
    <w:basedOn w:val="Normal"/>
    <w:rsid w:val="001653E4"/>
    <w:pPr>
      <w:numPr>
        <w:numId w:val="3"/>
      </w:numPr>
      <w:tabs>
        <w:tab w:val="clear" w:pos="786"/>
        <w:tab w:val="left" w:pos="851"/>
      </w:tabs>
      <w:spacing w:after="40"/>
      <w:ind w:left="851" w:hanging="284"/>
    </w:pPr>
    <w:rPr>
      <w:color w:val="000000"/>
      <w:szCs w:val="20"/>
      <w:lang w:eastAsia="en-NZ"/>
    </w:rPr>
  </w:style>
  <w:style w:type="paragraph" w:customStyle="1" w:styleId="References">
    <w:name w:val="References"/>
    <w:basedOn w:val="Normal"/>
    <w:uiPriority w:val="1"/>
    <w:qFormat/>
    <w:rsid w:val="00B7404E"/>
    <w:pPr>
      <w:tabs>
        <w:tab w:val="left" w:pos="284"/>
      </w:tabs>
      <w:spacing w:after="140"/>
    </w:pPr>
    <w:rPr>
      <w:szCs w:val="18"/>
      <w:lang w:val="en-NZ"/>
    </w:rPr>
  </w:style>
  <w:style w:type="paragraph" w:styleId="Footer">
    <w:name w:val="footer"/>
    <w:basedOn w:val="Normal"/>
    <w:link w:val="FooterChar"/>
    <w:uiPriority w:val="99"/>
    <w:rsid w:val="004921C8"/>
    <w:pPr>
      <w:tabs>
        <w:tab w:val="left" w:pos="284"/>
      </w:tabs>
      <w:spacing w:after="60" w:line="240" w:lineRule="auto"/>
      <w:ind w:left="284" w:hanging="284"/>
    </w:pPr>
    <w:rPr>
      <w:sz w:val="14"/>
    </w:rPr>
  </w:style>
  <w:style w:type="character" w:customStyle="1" w:styleId="FooterChar">
    <w:name w:val="Footer Char"/>
    <w:basedOn w:val="DefaultParagraphFont"/>
    <w:link w:val="Footer"/>
    <w:uiPriority w:val="99"/>
    <w:rsid w:val="004921C8"/>
    <w:rPr>
      <w:rFonts w:ascii="OSML" w:hAnsi="OSML"/>
      <w:sz w:val="14"/>
      <w:szCs w:val="24"/>
      <w:lang w:val="en-GB" w:eastAsia="en-GB"/>
    </w:rPr>
  </w:style>
  <w:style w:type="paragraph" w:customStyle="1" w:styleId="Heading-Wheretofindmore">
    <w:name w:val="Heading - Where to find more"/>
    <w:uiPriority w:val="1"/>
    <w:qFormat/>
    <w:rsid w:val="000C65AF"/>
    <w:pPr>
      <w:keepNext/>
      <w:spacing w:before="240" w:after="120"/>
    </w:pPr>
    <w:rPr>
      <w:rFonts w:ascii="Centennial Maori" w:hAnsi="Centennial Maori"/>
      <w:b/>
      <w:lang w:eastAsia="en-GB"/>
    </w:rPr>
  </w:style>
  <w:style w:type="numbering" w:customStyle="1" w:styleId="MainList">
    <w:name w:val="Main List"/>
    <w:rsid w:val="004D42E7"/>
    <w:pPr>
      <w:numPr>
        <w:numId w:val="4"/>
      </w:numPr>
    </w:pPr>
  </w:style>
  <w:style w:type="character" w:styleId="CommentReference">
    <w:name w:val="annotation reference"/>
    <w:basedOn w:val="DefaultParagraphFont"/>
    <w:rsid w:val="00F600BA"/>
    <w:rPr>
      <w:sz w:val="16"/>
      <w:szCs w:val="16"/>
    </w:rPr>
  </w:style>
  <w:style w:type="paragraph" w:styleId="CommentText">
    <w:name w:val="annotation text"/>
    <w:basedOn w:val="Normal"/>
    <w:link w:val="CommentTextChar"/>
    <w:uiPriority w:val="99"/>
    <w:rsid w:val="00F600BA"/>
    <w:rPr>
      <w:sz w:val="20"/>
      <w:szCs w:val="20"/>
    </w:rPr>
  </w:style>
  <w:style w:type="character" w:customStyle="1" w:styleId="CommentTextChar">
    <w:name w:val="Comment Text Char"/>
    <w:basedOn w:val="DefaultParagraphFont"/>
    <w:link w:val="CommentText"/>
    <w:uiPriority w:val="99"/>
    <w:rsid w:val="00F600BA"/>
    <w:rPr>
      <w:rFonts w:ascii="OSML" w:hAnsi="OSML"/>
      <w:lang w:val="en-GB" w:eastAsia="en-GB"/>
    </w:rPr>
  </w:style>
  <w:style w:type="paragraph" w:styleId="CommentSubject">
    <w:name w:val="annotation subject"/>
    <w:basedOn w:val="CommentText"/>
    <w:next w:val="CommentText"/>
    <w:link w:val="CommentSubjectChar"/>
    <w:uiPriority w:val="99"/>
    <w:rsid w:val="00F600BA"/>
    <w:rPr>
      <w:b/>
      <w:bCs/>
    </w:rPr>
  </w:style>
  <w:style w:type="character" w:customStyle="1" w:styleId="CommentSubjectChar">
    <w:name w:val="Comment Subject Char"/>
    <w:basedOn w:val="CommentTextChar"/>
    <w:link w:val="CommentSubject"/>
    <w:uiPriority w:val="99"/>
    <w:rsid w:val="00F600BA"/>
    <w:rPr>
      <w:b/>
      <w:bCs/>
    </w:rPr>
  </w:style>
  <w:style w:type="character" w:customStyle="1" w:styleId="BalloonTextChar">
    <w:name w:val="Balloon Text Char"/>
    <w:basedOn w:val="DefaultParagraphFont"/>
    <w:link w:val="BalloonText"/>
    <w:uiPriority w:val="99"/>
    <w:rsid w:val="003731AA"/>
    <w:rPr>
      <w:rFonts w:ascii="Tahoma" w:hAnsi="Tahoma" w:cs="Tahoma"/>
      <w:sz w:val="16"/>
      <w:szCs w:val="16"/>
      <w:lang w:val="en-GB" w:eastAsia="en-GB"/>
    </w:rPr>
  </w:style>
  <w:style w:type="paragraph" w:customStyle="1" w:styleId="BodyTextBulletslast">
    <w:name w:val="Body Text Bullets (last)"/>
    <w:basedOn w:val="BodyTextBullets"/>
    <w:uiPriority w:val="1"/>
    <w:qFormat/>
    <w:rsid w:val="00066FE6"/>
    <w:pPr>
      <w:spacing w:after="240"/>
    </w:pPr>
  </w:style>
  <w:style w:type="paragraph" w:customStyle="1" w:styleId="AppendixTableHeadingright">
    <w:name w:val="Appendix Table Heading_right"/>
    <w:basedOn w:val="Normal"/>
    <w:uiPriority w:val="1"/>
    <w:qFormat/>
    <w:rsid w:val="009901AD"/>
    <w:pPr>
      <w:spacing w:before="40" w:after="40" w:line="240" w:lineRule="auto"/>
      <w:jc w:val="right"/>
    </w:pPr>
    <w:rPr>
      <w:b/>
      <w:bCs/>
      <w:color w:val="4A7729"/>
      <w:sz w:val="13"/>
      <w:szCs w:val="20"/>
    </w:rPr>
  </w:style>
  <w:style w:type="paragraph" w:styleId="Caption">
    <w:name w:val="caption"/>
    <w:basedOn w:val="Normal"/>
    <w:next w:val="Normal"/>
    <w:uiPriority w:val="35"/>
    <w:semiHidden/>
    <w:unhideWhenUsed/>
    <w:qFormat/>
    <w:rsid w:val="00644929"/>
    <w:rPr>
      <w:b/>
      <w:bCs/>
      <w:sz w:val="20"/>
      <w:szCs w:val="20"/>
    </w:rPr>
  </w:style>
  <w:style w:type="paragraph" w:customStyle="1" w:styleId="Figure">
    <w:name w:val="Figure"/>
    <w:basedOn w:val="BodyText"/>
    <w:uiPriority w:val="1"/>
    <w:qFormat/>
    <w:rsid w:val="00FE1B3D"/>
    <w:pPr>
      <w:keepNext/>
    </w:pPr>
  </w:style>
  <w:style w:type="paragraph" w:styleId="FootnoteText">
    <w:name w:val="footnote text"/>
    <w:aliases w:val="Footnote Text Char2 Char,Footnote Text Char Char1 Char1,Footnote Text Char1 Char Char Char1,Footnote Text Char Char Char Char Char,Footnote Text Char1 Char1 Char,Footnote Text Char Char Char1 Char"/>
    <w:basedOn w:val="Normal"/>
    <w:link w:val="FootnoteTextChar"/>
    <w:uiPriority w:val="99"/>
    <w:qFormat/>
    <w:rsid w:val="009901AD"/>
    <w:rPr>
      <w:sz w:val="20"/>
      <w:szCs w:val="20"/>
    </w:rPr>
  </w:style>
  <w:style w:type="character" w:customStyle="1" w:styleId="FootnoteTextChar">
    <w:name w:val="Footnote Text Char"/>
    <w:aliases w:val="Footnote Text Char2 Char Char,Footnote Text Char Char1 Char1 Char,Footnote Text Char1 Char Char Char1 Char,Footnote Text Char Char Char Char Char Char,Footnote Text Char1 Char1 Char Char,Footnote Text Char Char Char1 Char Char"/>
    <w:basedOn w:val="DefaultParagraphFont"/>
    <w:link w:val="FootnoteText"/>
    <w:uiPriority w:val="99"/>
    <w:rsid w:val="009901AD"/>
    <w:rPr>
      <w:rFonts w:ascii="Arial" w:hAnsi="Arial"/>
      <w:lang w:val="en-GB" w:eastAsia="en-GB"/>
    </w:rPr>
  </w:style>
  <w:style w:type="paragraph" w:styleId="EndnoteText">
    <w:name w:val="endnote text"/>
    <w:basedOn w:val="Normal"/>
    <w:link w:val="EndnoteTextChar"/>
    <w:rsid w:val="009901AD"/>
    <w:pPr>
      <w:spacing w:after="0" w:line="240" w:lineRule="auto"/>
    </w:pPr>
    <w:rPr>
      <w:sz w:val="20"/>
      <w:szCs w:val="20"/>
    </w:rPr>
  </w:style>
  <w:style w:type="character" w:customStyle="1" w:styleId="EndnoteTextChar">
    <w:name w:val="Endnote Text Char"/>
    <w:basedOn w:val="DefaultParagraphFont"/>
    <w:link w:val="EndnoteText"/>
    <w:rsid w:val="009901AD"/>
    <w:rPr>
      <w:rFonts w:ascii="Arial" w:hAnsi="Arial"/>
      <w:lang w:val="en-GB" w:eastAsia="en-GB"/>
    </w:rPr>
  </w:style>
  <w:style w:type="character" w:styleId="EndnoteReference">
    <w:name w:val="endnote reference"/>
    <w:basedOn w:val="DefaultParagraphFont"/>
    <w:uiPriority w:val="1"/>
    <w:rsid w:val="009901AD"/>
    <w:rPr>
      <w:vertAlign w:val="superscript"/>
    </w:rPr>
  </w:style>
  <w:style w:type="paragraph" w:styleId="Revision">
    <w:name w:val="Revision"/>
    <w:hidden/>
    <w:uiPriority w:val="99"/>
    <w:semiHidden/>
    <w:rsid w:val="00D6343D"/>
    <w:rPr>
      <w:rFonts w:ascii="OSML" w:hAnsi="OSML"/>
      <w:sz w:val="19"/>
      <w:szCs w:val="24"/>
      <w:lang w:val="en-GB" w:eastAsia="en-GB"/>
    </w:rPr>
  </w:style>
  <w:style w:type="numbering" w:customStyle="1" w:styleId="StyleBulletedSymbolsymbol10ptOrangeLeft0cmHangin">
    <w:name w:val="Style Bulleted Symbol (symbol) 10 pt Orange Left:  0 cm Hangin..."/>
    <w:basedOn w:val="NoList"/>
    <w:rsid w:val="009901AD"/>
    <w:pPr>
      <w:numPr>
        <w:numId w:val="10"/>
      </w:numPr>
    </w:pPr>
  </w:style>
  <w:style w:type="paragraph" w:customStyle="1" w:styleId="TableTextAppendices">
    <w:name w:val="Table Text_Appendices"/>
    <w:basedOn w:val="TableText"/>
    <w:uiPriority w:val="1"/>
    <w:qFormat/>
    <w:rsid w:val="009901AD"/>
    <w:pPr>
      <w:spacing w:line="240" w:lineRule="auto"/>
    </w:pPr>
    <w:rPr>
      <w:lang w:val="en-AU"/>
    </w:rPr>
  </w:style>
  <w:style w:type="paragraph" w:customStyle="1" w:styleId="ShadingHeading1">
    <w:name w:val="Shading_Heading 1"/>
    <w:basedOn w:val="Heading1"/>
    <w:uiPriority w:val="1"/>
    <w:qFormat/>
    <w:rsid w:val="00157A26"/>
    <w:pPr>
      <w:pBdr>
        <w:top w:val="single" w:sz="36" w:space="1" w:color="EDF0E7"/>
        <w:left w:val="single" w:sz="36" w:space="4" w:color="EDF0E7"/>
        <w:bottom w:val="single" w:sz="36" w:space="1" w:color="EDF0E7"/>
        <w:right w:val="single" w:sz="36" w:space="4" w:color="EDF0E7"/>
      </w:pBdr>
      <w:shd w:val="clear" w:color="auto" w:fill="EDF0E7"/>
      <w:spacing w:after="0" w:line="360" w:lineRule="atLeast"/>
    </w:pPr>
  </w:style>
  <w:style w:type="paragraph" w:customStyle="1" w:styleId="Shadingbullets">
    <w:name w:val="Shading_bullets"/>
    <w:basedOn w:val="Normal"/>
    <w:uiPriority w:val="1"/>
    <w:qFormat/>
    <w:rsid w:val="00157A26"/>
    <w:pPr>
      <w:numPr>
        <w:numId w:val="7"/>
      </w:numPr>
      <w:pBdr>
        <w:top w:val="single" w:sz="36" w:space="2" w:color="EDF0E7"/>
        <w:left w:val="single" w:sz="36" w:space="4" w:color="EDF0E7"/>
        <w:bottom w:val="single" w:sz="36" w:space="2" w:color="EDF0E7"/>
        <w:right w:val="single" w:sz="36" w:space="4" w:color="EDF0E7"/>
      </w:pBdr>
      <w:shd w:val="clear" w:color="auto" w:fill="EDF0E7"/>
      <w:tabs>
        <w:tab w:val="left" w:pos="284"/>
      </w:tabs>
      <w:suppressAutoHyphens/>
      <w:autoSpaceDE w:val="0"/>
      <w:autoSpaceDN w:val="0"/>
      <w:adjustRightInd w:val="0"/>
      <w:spacing w:line="280" w:lineRule="atLeast"/>
      <w:ind w:left="284" w:hanging="284"/>
      <w:textAlignment w:val="center"/>
    </w:pPr>
    <w:rPr>
      <w:rFonts w:cs="OSML"/>
      <w:szCs w:val="18"/>
      <w:lang w:eastAsia="en-NZ"/>
    </w:rPr>
  </w:style>
  <w:style w:type="paragraph" w:customStyle="1" w:styleId="BodyTextBullets2last">
    <w:name w:val="Body Text Bullets_2 (last)"/>
    <w:basedOn w:val="BodyTextBullet2"/>
    <w:uiPriority w:val="1"/>
    <w:qFormat/>
    <w:rsid w:val="00066FE6"/>
    <w:pPr>
      <w:spacing w:after="240"/>
    </w:pPr>
  </w:style>
  <w:style w:type="paragraph" w:customStyle="1" w:styleId="BodyTextNumberedlast">
    <w:name w:val="Body Text Numbered (last)"/>
    <w:basedOn w:val="BodyTextNumbered"/>
    <w:uiPriority w:val="1"/>
    <w:qFormat/>
    <w:rsid w:val="00066FE6"/>
    <w:pPr>
      <w:spacing w:after="240"/>
    </w:pPr>
  </w:style>
  <w:style w:type="paragraph" w:styleId="DocumentMap">
    <w:name w:val="Document Map"/>
    <w:basedOn w:val="Normal"/>
    <w:link w:val="DocumentMapChar"/>
    <w:uiPriority w:val="99"/>
    <w:rsid w:val="00066FE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066FE6"/>
    <w:rPr>
      <w:rFonts w:ascii="Tahoma" w:hAnsi="Tahoma" w:cs="Tahoma"/>
      <w:sz w:val="16"/>
      <w:szCs w:val="16"/>
      <w:lang w:val="en-GB" w:eastAsia="en-GB"/>
    </w:rPr>
  </w:style>
  <w:style w:type="paragraph" w:customStyle="1" w:styleId="TableTextAppendicesBullet">
    <w:name w:val="Table Text_Appendices Bullet"/>
    <w:basedOn w:val="TableText"/>
    <w:uiPriority w:val="1"/>
    <w:qFormat/>
    <w:rsid w:val="009901AD"/>
    <w:pPr>
      <w:numPr>
        <w:numId w:val="5"/>
      </w:numPr>
      <w:tabs>
        <w:tab w:val="left" w:pos="142"/>
      </w:tabs>
      <w:spacing w:line="240" w:lineRule="auto"/>
      <w:ind w:left="142" w:hanging="142"/>
    </w:pPr>
  </w:style>
  <w:style w:type="paragraph" w:customStyle="1" w:styleId="BodyTextNumbered">
    <w:name w:val="Body Text Numbered"/>
    <w:basedOn w:val="BodyText"/>
    <w:uiPriority w:val="1"/>
    <w:qFormat/>
    <w:rsid w:val="00043B3F"/>
    <w:pPr>
      <w:numPr>
        <w:numId w:val="9"/>
      </w:numPr>
      <w:tabs>
        <w:tab w:val="left" w:pos="567"/>
      </w:tabs>
      <w:spacing w:after="120"/>
      <w:ind w:left="568" w:hanging="284"/>
    </w:pPr>
    <w:rPr>
      <w:rFonts w:eastAsia="Arial"/>
    </w:rPr>
  </w:style>
  <w:style w:type="paragraph" w:styleId="ListParagraph">
    <w:name w:val="List Paragraph"/>
    <w:basedOn w:val="Normal"/>
    <w:uiPriority w:val="34"/>
    <w:qFormat/>
    <w:rsid w:val="000B1D63"/>
    <w:pPr>
      <w:spacing w:after="0" w:line="240" w:lineRule="auto"/>
      <w:ind w:left="720"/>
      <w:contextualSpacing/>
    </w:pPr>
    <w:rPr>
      <w:rFonts w:ascii="Tahoma" w:hAnsi="Tahoma"/>
      <w:sz w:val="24"/>
      <w:lang w:val="en-AU" w:eastAsia="en-US"/>
    </w:rPr>
  </w:style>
</w:styles>
</file>

<file path=word/webSettings.xml><?xml version="1.0" encoding="utf-8"?>
<w:webSettings xmlns:r="http://schemas.openxmlformats.org/officeDocument/2006/relationships" xmlns:w="http://schemas.openxmlformats.org/wordprocessingml/2006/main">
  <w:divs>
    <w:div w:id="6488344">
      <w:bodyDiv w:val="1"/>
      <w:marLeft w:val="0"/>
      <w:marRight w:val="0"/>
      <w:marTop w:val="0"/>
      <w:marBottom w:val="0"/>
      <w:divBdr>
        <w:top w:val="none" w:sz="0" w:space="0" w:color="auto"/>
        <w:left w:val="none" w:sz="0" w:space="0" w:color="auto"/>
        <w:bottom w:val="none" w:sz="0" w:space="0" w:color="auto"/>
        <w:right w:val="none" w:sz="0" w:space="0" w:color="auto"/>
      </w:divBdr>
    </w:div>
    <w:div w:id="14772997">
      <w:bodyDiv w:val="1"/>
      <w:marLeft w:val="0"/>
      <w:marRight w:val="0"/>
      <w:marTop w:val="0"/>
      <w:marBottom w:val="0"/>
      <w:divBdr>
        <w:top w:val="none" w:sz="0" w:space="0" w:color="auto"/>
        <w:left w:val="none" w:sz="0" w:space="0" w:color="auto"/>
        <w:bottom w:val="none" w:sz="0" w:space="0" w:color="auto"/>
        <w:right w:val="none" w:sz="0" w:space="0" w:color="auto"/>
      </w:divBdr>
    </w:div>
    <w:div w:id="19168125">
      <w:bodyDiv w:val="1"/>
      <w:marLeft w:val="0"/>
      <w:marRight w:val="0"/>
      <w:marTop w:val="0"/>
      <w:marBottom w:val="0"/>
      <w:divBdr>
        <w:top w:val="none" w:sz="0" w:space="0" w:color="auto"/>
        <w:left w:val="none" w:sz="0" w:space="0" w:color="auto"/>
        <w:bottom w:val="none" w:sz="0" w:space="0" w:color="auto"/>
        <w:right w:val="none" w:sz="0" w:space="0" w:color="auto"/>
      </w:divBdr>
    </w:div>
    <w:div w:id="26831516">
      <w:bodyDiv w:val="1"/>
      <w:marLeft w:val="0"/>
      <w:marRight w:val="0"/>
      <w:marTop w:val="0"/>
      <w:marBottom w:val="0"/>
      <w:divBdr>
        <w:top w:val="none" w:sz="0" w:space="0" w:color="auto"/>
        <w:left w:val="none" w:sz="0" w:space="0" w:color="auto"/>
        <w:bottom w:val="none" w:sz="0" w:space="0" w:color="auto"/>
        <w:right w:val="none" w:sz="0" w:space="0" w:color="auto"/>
      </w:divBdr>
    </w:div>
    <w:div w:id="38481700">
      <w:bodyDiv w:val="1"/>
      <w:marLeft w:val="0"/>
      <w:marRight w:val="0"/>
      <w:marTop w:val="0"/>
      <w:marBottom w:val="0"/>
      <w:divBdr>
        <w:top w:val="none" w:sz="0" w:space="0" w:color="auto"/>
        <w:left w:val="none" w:sz="0" w:space="0" w:color="auto"/>
        <w:bottom w:val="none" w:sz="0" w:space="0" w:color="auto"/>
        <w:right w:val="none" w:sz="0" w:space="0" w:color="auto"/>
      </w:divBdr>
    </w:div>
    <w:div w:id="39592970">
      <w:bodyDiv w:val="1"/>
      <w:marLeft w:val="0"/>
      <w:marRight w:val="0"/>
      <w:marTop w:val="0"/>
      <w:marBottom w:val="0"/>
      <w:divBdr>
        <w:top w:val="none" w:sz="0" w:space="0" w:color="auto"/>
        <w:left w:val="none" w:sz="0" w:space="0" w:color="auto"/>
        <w:bottom w:val="none" w:sz="0" w:space="0" w:color="auto"/>
        <w:right w:val="none" w:sz="0" w:space="0" w:color="auto"/>
      </w:divBdr>
    </w:div>
    <w:div w:id="42406113">
      <w:bodyDiv w:val="1"/>
      <w:marLeft w:val="0"/>
      <w:marRight w:val="0"/>
      <w:marTop w:val="0"/>
      <w:marBottom w:val="0"/>
      <w:divBdr>
        <w:top w:val="none" w:sz="0" w:space="0" w:color="auto"/>
        <w:left w:val="none" w:sz="0" w:space="0" w:color="auto"/>
        <w:bottom w:val="none" w:sz="0" w:space="0" w:color="auto"/>
        <w:right w:val="none" w:sz="0" w:space="0" w:color="auto"/>
      </w:divBdr>
    </w:div>
    <w:div w:id="47412501">
      <w:bodyDiv w:val="1"/>
      <w:marLeft w:val="0"/>
      <w:marRight w:val="0"/>
      <w:marTop w:val="0"/>
      <w:marBottom w:val="0"/>
      <w:divBdr>
        <w:top w:val="none" w:sz="0" w:space="0" w:color="auto"/>
        <w:left w:val="none" w:sz="0" w:space="0" w:color="auto"/>
        <w:bottom w:val="none" w:sz="0" w:space="0" w:color="auto"/>
        <w:right w:val="none" w:sz="0" w:space="0" w:color="auto"/>
      </w:divBdr>
      <w:divsChild>
        <w:div w:id="783234205">
          <w:marLeft w:val="0"/>
          <w:marRight w:val="0"/>
          <w:marTop w:val="0"/>
          <w:marBottom w:val="0"/>
          <w:divBdr>
            <w:top w:val="none" w:sz="0" w:space="0" w:color="auto"/>
            <w:left w:val="none" w:sz="0" w:space="0" w:color="auto"/>
            <w:bottom w:val="none" w:sz="0" w:space="0" w:color="auto"/>
            <w:right w:val="none" w:sz="0" w:space="0" w:color="auto"/>
          </w:divBdr>
          <w:divsChild>
            <w:div w:id="1476951807">
              <w:marLeft w:val="0"/>
              <w:marRight w:val="0"/>
              <w:marTop w:val="0"/>
              <w:marBottom w:val="0"/>
              <w:divBdr>
                <w:top w:val="none" w:sz="0" w:space="0" w:color="auto"/>
                <w:left w:val="single" w:sz="4" w:space="0" w:color="D3D3D3"/>
                <w:bottom w:val="single" w:sz="4" w:space="31" w:color="D3D3D3"/>
                <w:right w:val="single" w:sz="4" w:space="0" w:color="D3D3D3"/>
              </w:divBdr>
              <w:divsChild>
                <w:div w:id="413943418">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 w:id="83189295">
      <w:bodyDiv w:val="1"/>
      <w:marLeft w:val="0"/>
      <w:marRight w:val="0"/>
      <w:marTop w:val="0"/>
      <w:marBottom w:val="0"/>
      <w:divBdr>
        <w:top w:val="none" w:sz="0" w:space="0" w:color="auto"/>
        <w:left w:val="none" w:sz="0" w:space="0" w:color="auto"/>
        <w:bottom w:val="none" w:sz="0" w:space="0" w:color="auto"/>
        <w:right w:val="none" w:sz="0" w:space="0" w:color="auto"/>
      </w:divBdr>
    </w:div>
    <w:div w:id="87045747">
      <w:bodyDiv w:val="1"/>
      <w:marLeft w:val="0"/>
      <w:marRight w:val="0"/>
      <w:marTop w:val="0"/>
      <w:marBottom w:val="0"/>
      <w:divBdr>
        <w:top w:val="none" w:sz="0" w:space="0" w:color="auto"/>
        <w:left w:val="none" w:sz="0" w:space="0" w:color="auto"/>
        <w:bottom w:val="none" w:sz="0" w:space="0" w:color="auto"/>
        <w:right w:val="none" w:sz="0" w:space="0" w:color="auto"/>
      </w:divBdr>
    </w:div>
    <w:div w:id="105933222">
      <w:bodyDiv w:val="1"/>
      <w:marLeft w:val="0"/>
      <w:marRight w:val="0"/>
      <w:marTop w:val="0"/>
      <w:marBottom w:val="0"/>
      <w:divBdr>
        <w:top w:val="none" w:sz="0" w:space="0" w:color="auto"/>
        <w:left w:val="none" w:sz="0" w:space="0" w:color="auto"/>
        <w:bottom w:val="none" w:sz="0" w:space="0" w:color="auto"/>
        <w:right w:val="none" w:sz="0" w:space="0" w:color="auto"/>
      </w:divBdr>
    </w:div>
    <w:div w:id="176508562">
      <w:bodyDiv w:val="1"/>
      <w:marLeft w:val="0"/>
      <w:marRight w:val="0"/>
      <w:marTop w:val="0"/>
      <w:marBottom w:val="0"/>
      <w:divBdr>
        <w:top w:val="none" w:sz="0" w:space="0" w:color="auto"/>
        <w:left w:val="none" w:sz="0" w:space="0" w:color="auto"/>
        <w:bottom w:val="none" w:sz="0" w:space="0" w:color="auto"/>
        <w:right w:val="none" w:sz="0" w:space="0" w:color="auto"/>
      </w:divBdr>
    </w:div>
    <w:div w:id="183641088">
      <w:bodyDiv w:val="1"/>
      <w:marLeft w:val="0"/>
      <w:marRight w:val="0"/>
      <w:marTop w:val="0"/>
      <w:marBottom w:val="0"/>
      <w:divBdr>
        <w:top w:val="none" w:sz="0" w:space="0" w:color="auto"/>
        <w:left w:val="none" w:sz="0" w:space="0" w:color="auto"/>
        <w:bottom w:val="none" w:sz="0" w:space="0" w:color="auto"/>
        <w:right w:val="none" w:sz="0" w:space="0" w:color="auto"/>
      </w:divBdr>
    </w:div>
    <w:div w:id="215287958">
      <w:bodyDiv w:val="1"/>
      <w:marLeft w:val="0"/>
      <w:marRight w:val="0"/>
      <w:marTop w:val="0"/>
      <w:marBottom w:val="0"/>
      <w:divBdr>
        <w:top w:val="none" w:sz="0" w:space="0" w:color="auto"/>
        <w:left w:val="none" w:sz="0" w:space="0" w:color="auto"/>
        <w:bottom w:val="none" w:sz="0" w:space="0" w:color="auto"/>
        <w:right w:val="none" w:sz="0" w:space="0" w:color="auto"/>
      </w:divBdr>
    </w:div>
    <w:div w:id="228539442">
      <w:bodyDiv w:val="1"/>
      <w:marLeft w:val="0"/>
      <w:marRight w:val="0"/>
      <w:marTop w:val="0"/>
      <w:marBottom w:val="0"/>
      <w:divBdr>
        <w:top w:val="none" w:sz="0" w:space="0" w:color="auto"/>
        <w:left w:val="none" w:sz="0" w:space="0" w:color="auto"/>
        <w:bottom w:val="none" w:sz="0" w:space="0" w:color="auto"/>
        <w:right w:val="none" w:sz="0" w:space="0" w:color="auto"/>
      </w:divBdr>
    </w:div>
    <w:div w:id="236519767">
      <w:bodyDiv w:val="1"/>
      <w:marLeft w:val="0"/>
      <w:marRight w:val="0"/>
      <w:marTop w:val="0"/>
      <w:marBottom w:val="0"/>
      <w:divBdr>
        <w:top w:val="none" w:sz="0" w:space="0" w:color="auto"/>
        <w:left w:val="none" w:sz="0" w:space="0" w:color="auto"/>
        <w:bottom w:val="none" w:sz="0" w:space="0" w:color="auto"/>
        <w:right w:val="none" w:sz="0" w:space="0" w:color="auto"/>
      </w:divBdr>
    </w:div>
    <w:div w:id="239213352">
      <w:bodyDiv w:val="1"/>
      <w:marLeft w:val="0"/>
      <w:marRight w:val="0"/>
      <w:marTop w:val="0"/>
      <w:marBottom w:val="0"/>
      <w:divBdr>
        <w:top w:val="none" w:sz="0" w:space="0" w:color="auto"/>
        <w:left w:val="none" w:sz="0" w:space="0" w:color="auto"/>
        <w:bottom w:val="none" w:sz="0" w:space="0" w:color="auto"/>
        <w:right w:val="none" w:sz="0" w:space="0" w:color="auto"/>
      </w:divBdr>
    </w:div>
    <w:div w:id="249703685">
      <w:bodyDiv w:val="1"/>
      <w:marLeft w:val="0"/>
      <w:marRight w:val="0"/>
      <w:marTop w:val="0"/>
      <w:marBottom w:val="0"/>
      <w:divBdr>
        <w:top w:val="none" w:sz="0" w:space="0" w:color="auto"/>
        <w:left w:val="none" w:sz="0" w:space="0" w:color="auto"/>
        <w:bottom w:val="none" w:sz="0" w:space="0" w:color="auto"/>
        <w:right w:val="none" w:sz="0" w:space="0" w:color="auto"/>
      </w:divBdr>
      <w:divsChild>
        <w:div w:id="1635601250">
          <w:marLeft w:val="0"/>
          <w:marRight w:val="0"/>
          <w:marTop w:val="0"/>
          <w:marBottom w:val="0"/>
          <w:divBdr>
            <w:top w:val="none" w:sz="0" w:space="0" w:color="auto"/>
            <w:left w:val="none" w:sz="0" w:space="0" w:color="auto"/>
            <w:bottom w:val="none" w:sz="0" w:space="0" w:color="auto"/>
            <w:right w:val="none" w:sz="0" w:space="0" w:color="auto"/>
          </w:divBdr>
          <w:divsChild>
            <w:div w:id="1058749073">
              <w:marLeft w:val="0"/>
              <w:marRight w:val="0"/>
              <w:marTop w:val="0"/>
              <w:marBottom w:val="0"/>
              <w:divBdr>
                <w:top w:val="none" w:sz="0" w:space="0" w:color="auto"/>
                <w:left w:val="none" w:sz="0" w:space="0" w:color="auto"/>
                <w:bottom w:val="none" w:sz="0" w:space="0" w:color="auto"/>
                <w:right w:val="none" w:sz="0" w:space="0" w:color="auto"/>
              </w:divBdr>
              <w:divsChild>
                <w:div w:id="644316437">
                  <w:marLeft w:val="0"/>
                  <w:marRight w:val="0"/>
                  <w:marTop w:val="0"/>
                  <w:marBottom w:val="0"/>
                  <w:divBdr>
                    <w:top w:val="none" w:sz="0" w:space="0" w:color="auto"/>
                    <w:left w:val="none" w:sz="0" w:space="0" w:color="auto"/>
                    <w:bottom w:val="none" w:sz="0" w:space="0" w:color="auto"/>
                    <w:right w:val="none" w:sz="0" w:space="0" w:color="auto"/>
                  </w:divBdr>
                  <w:divsChild>
                    <w:div w:id="1605379833">
                      <w:marLeft w:val="0"/>
                      <w:marRight w:val="0"/>
                      <w:marTop w:val="0"/>
                      <w:marBottom w:val="0"/>
                      <w:divBdr>
                        <w:top w:val="none" w:sz="0" w:space="0" w:color="auto"/>
                        <w:left w:val="none" w:sz="0" w:space="0" w:color="auto"/>
                        <w:bottom w:val="none" w:sz="0" w:space="0" w:color="auto"/>
                        <w:right w:val="none" w:sz="0" w:space="0" w:color="auto"/>
                      </w:divBdr>
                      <w:divsChild>
                        <w:div w:id="7659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740857">
      <w:bodyDiv w:val="1"/>
      <w:marLeft w:val="0"/>
      <w:marRight w:val="0"/>
      <w:marTop w:val="0"/>
      <w:marBottom w:val="0"/>
      <w:divBdr>
        <w:top w:val="none" w:sz="0" w:space="0" w:color="auto"/>
        <w:left w:val="none" w:sz="0" w:space="0" w:color="auto"/>
        <w:bottom w:val="none" w:sz="0" w:space="0" w:color="auto"/>
        <w:right w:val="none" w:sz="0" w:space="0" w:color="auto"/>
      </w:divBdr>
    </w:div>
    <w:div w:id="271674241">
      <w:bodyDiv w:val="1"/>
      <w:marLeft w:val="0"/>
      <w:marRight w:val="0"/>
      <w:marTop w:val="0"/>
      <w:marBottom w:val="0"/>
      <w:divBdr>
        <w:top w:val="none" w:sz="0" w:space="0" w:color="auto"/>
        <w:left w:val="none" w:sz="0" w:space="0" w:color="auto"/>
        <w:bottom w:val="none" w:sz="0" w:space="0" w:color="auto"/>
        <w:right w:val="none" w:sz="0" w:space="0" w:color="auto"/>
      </w:divBdr>
    </w:div>
    <w:div w:id="283659691">
      <w:bodyDiv w:val="1"/>
      <w:marLeft w:val="0"/>
      <w:marRight w:val="0"/>
      <w:marTop w:val="0"/>
      <w:marBottom w:val="0"/>
      <w:divBdr>
        <w:top w:val="none" w:sz="0" w:space="0" w:color="auto"/>
        <w:left w:val="none" w:sz="0" w:space="0" w:color="auto"/>
        <w:bottom w:val="none" w:sz="0" w:space="0" w:color="auto"/>
        <w:right w:val="none" w:sz="0" w:space="0" w:color="auto"/>
      </w:divBdr>
    </w:div>
    <w:div w:id="293753169">
      <w:bodyDiv w:val="1"/>
      <w:marLeft w:val="0"/>
      <w:marRight w:val="0"/>
      <w:marTop w:val="0"/>
      <w:marBottom w:val="0"/>
      <w:divBdr>
        <w:top w:val="none" w:sz="0" w:space="0" w:color="auto"/>
        <w:left w:val="none" w:sz="0" w:space="0" w:color="auto"/>
        <w:bottom w:val="none" w:sz="0" w:space="0" w:color="auto"/>
        <w:right w:val="none" w:sz="0" w:space="0" w:color="auto"/>
      </w:divBdr>
    </w:div>
    <w:div w:id="309136783">
      <w:bodyDiv w:val="1"/>
      <w:marLeft w:val="0"/>
      <w:marRight w:val="0"/>
      <w:marTop w:val="0"/>
      <w:marBottom w:val="0"/>
      <w:divBdr>
        <w:top w:val="none" w:sz="0" w:space="0" w:color="auto"/>
        <w:left w:val="none" w:sz="0" w:space="0" w:color="auto"/>
        <w:bottom w:val="none" w:sz="0" w:space="0" w:color="auto"/>
        <w:right w:val="none" w:sz="0" w:space="0" w:color="auto"/>
      </w:divBdr>
    </w:div>
    <w:div w:id="344671926">
      <w:bodyDiv w:val="1"/>
      <w:marLeft w:val="0"/>
      <w:marRight w:val="0"/>
      <w:marTop w:val="0"/>
      <w:marBottom w:val="0"/>
      <w:divBdr>
        <w:top w:val="none" w:sz="0" w:space="0" w:color="auto"/>
        <w:left w:val="none" w:sz="0" w:space="0" w:color="auto"/>
        <w:bottom w:val="none" w:sz="0" w:space="0" w:color="auto"/>
        <w:right w:val="none" w:sz="0" w:space="0" w:color="auto"/>
      </w:divBdr>
    </w:div>
    <w:div w:id="375735004">
      <w:bodyDiv w:val="1"/>
      <w:marLeft w:val="0"/>
      <w:marRight w:val="0"/>
      <w:marTop w:val="0"/>
      <w:marBottom w:val="0"/>
      <w:divBdr>
        <w:top w:val="none" w:sz="0" w:space="0" w:color="auto"/>
        <w:left w:val="none" w:sz="0" w:space="0" w:color="auto"/>
        <w:bottom w:val="none" w:sz="0" w:space="0" w:color="auto"/>
        <w:right w:val="none" w:sz="0" w:space="0" w:color="auto"/>
      </w:divBdr>
    </w:div>
    <w:div w:id="379285065">
      <w:bodyDiv w:val="1"/>
      <w:marLeft w:val="0"/>
      <w:marRight w:val="0"/>
      <w:marTop w:val="0"/>
      <w:marBottom w:val="0"/>
      <w:divBdr>
        <w:top w:val="none" w:sz="0" w:space="0" w:color="auto"/>
        <w:left w:val="none" w:sz="0" w:space="0" w:color="auto"/>
        <w:bottom w:val="none" w:sz="0" w:space="0" w:color="auto"/>
        <w:right w:val="none" w:sz="0" w:space="0" w:color="auto"/>
      </w:divBdr>
    </w:div>
    <w:div w:id="428700668">
      <w:bodyDiv w:val="1"/>
      <w:marLeft w:val="0"/>
      <w:marRight w:val="0"/>
      <w:marTop w:val="0"/>
      <w:marBottom w:val="0"/>
      <w:divBdr>
        <w:top w:val="none" w:sz="0" w:space="0" w:color="auto"/>
        <w:left w:val="none" w:sz="0" w:space="0" w:color="auto"/>
        <w:bottom w:val="none" w:sz="0" w:space="0" w:color="auto"/>
        <w:right w:val="none" w:sz="0" w:space="0" w:color="auto"/>
      </w:divBdr>
    </w:div>
    <w:div w:id="428894967">
      <w:bodyDiv w:val="1"/>
      <w:marLeft w:val="0"/>
      <w:marRight w:val="0"/>
      <w:marTop w:val="0"/>
      <w:marBottom w:val="0"/>
      <w:divBdr>
        <w:top w:val="none" w:sz="0" w:space="0" w:color="auto"/>
        <w:left w:val="none" w:sz="0" w:space="0" w:color="auto"/>
        <w:bottom w:val="none" w:sz="0" w:space="0" w:color="auto"/>
        <w:right w:val="none" w:sz="0" w:space="0" w:color="auto"/>
      </w:divBdr>
    </w:div>
    <w:div w:id="434133360">
      <w:bodyDiv w:val="1"/>
      <w:marLeft w:val="0"/>
      <w:marRight w:val="0"/>
      <w:marTop w:val="0"/>
      <w:marBottom w:val="0"/>
      <w:divBdr>
        <w:top w:val="none" w:sz="0" w:space="0" w:color="auto"/>
        <w:left w:val="none" w:sz="0" w:space="0" w:color="auto"/>
        <w:bottom w:val="none" w:sz="0" w:space="0" w:color="auto"/>
        <w:right w:val="none" w:sz="0" w:space="0" w:color="auto"/>
      </w:divBdr>
    </w:div>
    <w:div w:id="444731914">
      <w:bodyDiv w:val="1"/>
      <w:marLeft w:val="0"/>
      <w:marRight w:val="0"/>
      <w:marTop w:val="0"/>
      <w:marBottom w:val="0"/>
      <w:divBdr>
        <w:top w:val="none" w:sz="0" w:space="0" w:color="auto"/>
        <w:left w:val="none" w:sz="0" w:space="0" w:color="auto"/>
        <w:bottom w:val="none" w:sz="0" w:space="0" w:color="auto"/>
        <w:right w:val="none" w:sz="0" w:space="0" w:color="auto"/>
      </w:divBdr>
    </w:div>
    <w:div w:id="448167588">
      <w:bodyDiv w:val="1"/>
      <w:marLeft w:val="0"/>
      <w:marRight w:val="0"/>
      <w:marTop w:val="0"/>
      <w:marBottom w:val="0"/>
      <w:divBdr>
        <w:top w:val="none" w:sz="0" w:space="0" w:color="auto"/>
        <w:left w:val="none" w:sz="0" w:space="0" w:color="auto"/>
        <w:bottom w:val="none" w:sz="0" w:space="0" w:color="auto"/>
        <w:right w:val="none" w:sz="0" w:space="0" w:color="auto"/>
      </w:divBdr>
    </w:div>
    <w:div w:id="463430255">
      <w:bodyDiv w:val="1"/>
      <w:marLeft w:val="0"/>
      <w:marRight w:val="0"/>
      <w:marTop w:val="0"/>
      <w:marBottom w:val="0"/>
      <w:divBdr>
        <w:top w:val="none" w:sz="0" w:space="0" w:color="auto"/>
        <w:left w:val="none" w:sz="0" w:space="0" w:color="auto"/>
        <w:bottom w:val="none" w:sz="0" w:space="0" w:color="auto"/>
        <w:right w:val="none" w:sz="0" w:space="0" w:color="auto"/>
      </w:divBdr>
    </w:div>
    <w:div w:id="476148056">
      <w:bodyDiv w:val="1"/>
      <w:marLeft w:val="0"/>
      <w:marRight w:val="0"/>
      <w:marTop w:val="0"/>
      <w:marBottom w:val="0"/>
      <w:divBdr>
        <w:top w:val="none" w:sz="0" w:space="0" w:color="auto"/>
        <w:left w:val="none" w:sz="0" w:space="0" w:color="auto"/>
        <w:bottom w:val="none" w:sz="0" w:space="0" w:color="auto"/>
        <w:right w:val="none" w:sz="0" w:space="0" w:color="auto"/>
      </w:divBdr>
      <w:divsChild>
        <w:div w:id="830874353">
          <w:marLeft w:val="0"/>
          <w:marRight w:val="0"/>
          <w:marTop w:val="0"/>
          <w:marBottom w:val="0"/>
          <w:divBdr>
            <w:top w:val="none" w:sz="0" w:space="0" w:color="auto"/>
            <w:left w:val="none" w:sz="0" w:space="0" w:color="auto"/>
            <w:bottom w:val="none" w:sz="0" w:space="0" w:color="auto"/>
            <w:right w:val="none" w:sz="0" w:space="0" w:color="auto"/>
          </w:divBdr>
          <w:divsChild>
            <w:div w:id="1458253471">
              <w:marLeft w:val="0"/>
              <w:marRight w:val="0"/>
              <w:marTop w:val="0"/>
              <w:marBottom w:val="0"/>
              <w:divBdr>
                <w:top w:val="none" w:sz="0" w:space="0" w:color="auto"/>
                <w:left w:val="single" w:sz="6" w:space="0" w:color="D3D3D3"/>
                <w:bottom w:val="single" w:sz="6" w:space="31" w:color="D3D3D3"/>
                <w:right w:val="single" w:sz="6" w:space="0" w:color="D3D3D3"/>
              </w:divBdr>
              <w:divsChild>
                <w:div w:id="674041282">
                  <w:marLeft w:val="0"/>
                  <w:marRight w:val="0"/>
                  <w:marTop w:val="0"/>
                  <w:marBottom w:val="0"/>
                  <w:divBdr>
                    <w:top w:val="none" w:sz="0" w:space="0" w:color="auto"/>
                    <w:left w:val="none" w:sz="0" w:space="0" w:color="auto"/>
                    <w:bottom w:val="none" w:sz="0" w:space="0" w:color="auto"/>
                    <w:right w:val="none" w:sz="0" w:space="0" w:color="auto"/>
                  </w:divBdr>
                  <w:divsChild>
                    <w:div w:id="4909507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6291">
      <w:bodyDiv w:val="1"/>
      <w:marLeft w:val="0"/>
      <w:marRight w:val="0"/>
      <w:marTop w:val="0"/>
      <w:marBottom w:val="0"/>
      <w:divBdr>
        <w:top w:val="none" w:sz="0" w:space="0" w:color="auto"/>
        <w:left w:val="none" w:sz="0" w:space="0" w:color="auto"/>
        <w:bottom w:val="none" w:sz="0" w:space="0" w:color="auto"/>
        <w:right w:val="none" w:sz="0" w:space="0" w:color="auto"/>
      </w:divBdr>
    </w:div>
    <w:div w:id="479467021">
      <w:bodyDiv w:val="1"/>
      <w:marLeft w:val="0"/>
      <w:marRight w:val="0"/>
      <w:marTop w:val="0"/>
      <w:marBottom w:val="0"/>
      <w:divBdr>
        <w:top w:val="none" w:sz="0" w:space="0" w:color="auto"/>
        <w:left w:val="none" w:sz="0" w:space="0" w:color="auto"/>
        <w:bottom w:val="none" w:sz="0" w:space="0" w:color="auto"/>
        <w:right w:val="none" w:sz="0" w:space="0" w:color="auto"/>
      </w:divBdr>
    </w:div>
    <w:div w:id="490559183">
      <w:bodyDiv w:val="1"/>
      <w:marLeft w:val="0"/>
      <w:marRight w:val="0"/>
      <w:marTop w:val="0"/>
      <w:marBottom w:val="0"/>
      <w:divBdr>
        <w:top w:val="none" w:sz="0" w:space="0" w:color="auto"/>
        <w:left w:val="none" w:sz="0" w:space="0" w:color="auto"/>
        <w:bottom w:val="none" w:sz="0" w:space="0" w:color="auto"/>
        <w:right w:val="none" w:sz="0" w:space="0" w:color="auto"/>
      </w:divBdr>
    </w:div>
    <w:div w:id="491065866">
      <w:bodyDiv w:val="1"/>
      <w:marLeft w:val="0"/>
      <w:marRight w:val="0"/>
      <w:marTop w:val="0"/>
      <w:marBottom w:val="0"/>
      <w:divBdr>
        <w:top w:val="none" w:sz="0" w:space="0" w:color="auto"/>
        <w:left w:val="none" w:sz="0" w:space="0" w:color="auto"/>
        <w:bottom w:val="none" w:sz="0" w:space="0" w:color="auto"/>
        <w:right w:val="none" w:sz="0" w:space="0" w:color="auto"/>
      </w:divBdr>
    </w:div>
    <w:div w:id="491218046">
      <w:bodyDiv w:val="1"/>
      <w:marLeft w:val="0"/>
      <w:marRight w:val="0"/>
      <w:marTop w:val="0"/>
      <w:marBottom w:val="0"/>
      <w:divBdr>
        <w:top w:val="none" w:sz="0" w:space="0" w:color="auto"/>
        <w:left w:val="none" w:sz="0" w:space="0" w:color="auto"/>
        <w:bottom w:val="none" w:sz="0" w:space="0" w:color="auto"/>
        <w:right w:val="none" w:sz="0" w:space="0" w:color="auto"/>
      </w:divBdr>
    </w:div>
    <w:div w:id="493835778">
      <w:bodyDiv w:val="1"/>
      <w:marLeft w:val="0"/>
      <w:marRight w:val="0"/>
      <w:marTop w:val="0"/>
      <w:marBottom w:val="0"/>
      <w:divBdr>
        <w:top w:val="none" w:sz="0" w:space="0" w:color="auto"/>
        <w:left w:val="none" w:sz="0" w:space="0" w:color="auto"/>
        <w:bottom w:val="none" w:sz="0" w:space="0" w:color="auto"/>
        <w:right w:val="none" w:sz="0" w:space="0" w:color="auto"/>
      </w:divBdr>
    </w:div>
    <w:div w:id="503207615">
      <w:bodyDiv w:val="1"/>
      <w:marLeft w:val="0"/>
      <w:marRight w:val="0"/>
      <w:marTop w:val="0"/>
      <w:marBottom w:val="0"/>
      <w:divBdr>
        <w:top w:val="none" w:sz="0" w:space="0" w:color="auto"/>
        <w:left w:val="none" w:sz="0" w:space="0" w:color="auto"/>
        <w:bottom w:val="none" w:sz="0" w:space="0" w:color="auto"/>
        <w:right w:val="none" w:sz="0" w:space="0" w:color="auto"/>
      </w:divBdr>
    </w:div>
    <w:div w:id="509758132">
      <w:bodyDiv w:val="1"/>
      <w:marLeft w:val="0"/>
      <w:marRight w:val="0"/>
      <w:marTop w:val="0"/>
      <w:marBottom w:val="0"/>
      <w:divBdr>
        <w:top w:val="none" w:sz="0" w:space="0" w:color="auto"/>
        <w:left w:val="none" w:sz="0" w:space="0" w:color="auto"/>
        <w:bottom w:val="none" w:sz="0" w:space="0" w:color="auto"/>
        <w:right w:val="none" w:sz="0" w:space="0" w:color="auto"/>
      </w:divBdr>
    </w:div>
    <w:div w:id="558513411">
      <w:bodyDiv w:val="1"/>
      <w:marLeft w:val="0"/>
      <w:marRight w:val="0"/>
      <w:marTop w:val="0"/>
      <w:marBottom w:val="0"/>
      <w:divBdr>
        <w:top w:val="none" w:sz="0" w:space="0" w:color="auto"/>
        <w:left w:val="none" w:sz="0" w:space="0" w:color="auto"/>
        <w:bottom w:val="none" w:sz="0" w:space="0" w:color="auto"/>
        <w:right w:val="none" w:sz="0" w:space="0" w:color="auto"/>
      </w:divBdr>
    </w:div>
    <w:div w:id="562837011">
      <w:bodyDiv w:val="1"/>
      <w:marLeft w:val="0"/>
      <w:marRight w:val="0"/>
      <w:marTop w:val="0"/>
      <w:marBottom w:val="0"/>
      <w:divBdr>
        <w:top w:val="none" w:sz="0" w:space="0" w:color="auto"/>
        <w:left w:val="none" w:sz="0" w:space="0" w:color="auto"/>
        <w:bottom w:val="none" w:sz="0" w:space="0" w:color="auto"/>
        <w:right w:val="none" w:sz="0" w:space="0" w:color="auto"/>
      </w:divBdr>
    </w:div>
    <w:div w:id="566035863">
      <w:bodyDiv w:val="1"/>
      <w:marLeft w:val="0"/>
      <w:marRight w:val="0"/>
      <w:marTop w:val="0"/>
      <w:marBottom w:val="0"/>
      <w:divBdr>
        <w:top w:val="none" w:sz="0" w:space="0" w:color="auto"/>
        <w:left w:val="none" w:sz="0" w:space="0" w:color="auto"/>
        <w:bottom w:val="none" w:sz="0" w:space="0" w:color="auto"/>
        <w:right w:val="none" w:sz="0" w:space="0" w:color="auto"/>
      </w:divBdr>
    </w:div>
    <w:div w:id="567806753">
      <w:bodyDiv w:val="1"/>
      <w:marLeft w:val="0"/>
      <w:marRight w:val="0"/>
      <w:marTop w:val="0"/>
      <w:marBottom w:val="0"/>
      <w:divBdr>
        <w:top w:val="none" w:sz="0" w:space="0" w:color="auto"/>
        <w:left w:val="none" w:sz="0" w:space="0" w:color="auto"/>
        <w:bottom w:val="none" w:sz="0" w:space="0" w:color="auto"/>
        <w:right w:val="none" w:sz="0" w:space="0" w:color="auto"/>
      </w:divBdr>
    </w:div>
    <w:div w:id="571742624">
      <w:bodyDiv w:val="1"/>
      <w:marLeft w:val="0"/>
      <w:marRight w:val="0"/>
      <w:marTop w:val="0"/>
      <w:marBottom w:val="0"/>
      <w:divBdr>
        <w:top w:val="none" w:sz="0" w:space="0" w:color="auto"/>
        <w:left w:val="none" w:sz="0" w:space="0" w:color="auto"/>
        <w:bottom w:val="none" w:sz="0" w:space="0" w:color="auto"/>
        <w:right w:val="none" w:sz="0" w:space="0" w:color="auto"/>
      </w:divBdr>
    </w:div>
    <w:div w:id="627711505">
      <w:bodyDiv w:val="1"/>
      <w:marLeft w:val="0"/>
      <w:marRight w:val="0"/>
      <w:marTop w:val="0"/>
      <w:marBottom w:val="0"/>
      <w:divBdr>
        <w:top w:val="none" w:sz="0" w:space="0" w:color="auto"/>
        <w:left w:val="none" w:sz="0" w:space="0" w:color="auto"/>
        <w:bottom w:val="none" w:sz="0" w:space="0" w:color="auto"/>
        <w:right w:val="none" w:sz="0" w:space="0" w:color="auto"/>
      </w:divBdr>
      <w:divsChild>
        <w:div w:id="482084295">
          <w:marLeft w:val="0"/>
          <w:marRight w:val="0"/>
          <w:marTop w:val="0"/>
          <w:marBottom w:val="0"/>
          <w:divBdr>
            <w:top w:val="none" w:sz="0" w:space="0" w:color="auto"/>
            <w:left w:val="none" w:sz="0" w:space="0" w:color="auto"/>
            <w:bottom w:val="none" w:sz="0" w:space="0" w:color="auto"/>
            <w:right w:val="none" w:sz="0" w:space="0" w:color="auto"/>
          </w:divBdr>
          <w:divsChild>
            <w:div w:id="826630972">
              <w:marLeft w:val="0"/>
              <w:marRight w:val="0"/>
              <w:marTop w:val="0"/>
              <w:marBottom w:val="0"/>
              <w:divBdr>
                <w:top w:val="none" w:sz="0" w:space="0" w:color="auto"/>
                <w:left w:val="none" w:sz="0" w:space="0" w:color="auto"/>
                <w:bottom w:val="none" w:sz="0" w:space="0" w:color="auto"/>
                <w:right w:val="none" w:sz="0" w:space="0" w:color="auto"/>
              </w:divBdr>
              <w:divsChild>
                <w:div w:id="1848212560">
                  <w:marLeft w:val="0"/>
                  <w:marRight w:val="0"/>
                  <w:marTop w:val="0"/>
                  <w:marBottom w:val="0"/>
                  <w:divBdr>
                    <w:top w:val="none" w:sz="0" w:space="0" w:color="auto"/>
                    <w:left w:val="none" w:sz="0" w:space="0" w:color="auto"/>
                    <w:bottom w:val="none" w:sz="0" w:space="0" w:color="auto"/>
                    <w:right w:val="none" w:sz="0" w:space="0" w:color="auto"/>
                  </w:divBdr>
                  <w:divsChild>
                    <w:div w:id="1195387466">
                      <w:marLeft w:val="0"/>
                      <w:marRight w:val="0"/>
                      <w:marTop w:val="0"/>
                      <w:marBottom w:val="0"/>
                      <w:divBdr>
                        <w:top w:val="none" w:sz="0" w:space="0" w:color="auto"/>
                        <w:left w:val="none" w:sz="0" w:space="0" w:color="auto"/>
                        <w:bottom w:val="none" w:sz="0" w:space="0" w:color="auto"/>
                        <w:right w:val="none" w:sz="0" w:space="0" w:color="auto"/>
                      </w:divBdr>
                      <w:divsChild>
                        <w:div w:id="4766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696659">
      <w:bodyDiv w:val="1"/>
      <w:marLeft w:val="0"/>
      <w:marRight w:val="0"/>
      <w:marTop w:val="0"/>
      <w:marBottom w:val="0"/>
      <w:divBdr>
        <w:top w:val="none" w:sz="0" w:space="0" w:color="auto"/>
        <w:left w:val="none" w:sz="0" w:space="0" w:color="auto"/>
        <w:bottom w:val="none" w:sz="0" w:space="0" w:color="auto"/>
        <w:right w:val="none" w:sz="0" w:space="0" w:color="auto"/>
      </w:divBdr>
    </w:div>
    <w:div w:id="658340320">
      <w:bodyDiv w:val="1"/>
      <w:marLeft w:val="0"/>
      <w:marRight w:val="0"/>
      <w:marTop w:val="0"/>
      <w:marBottom w:val="0"/>
      <w:divBdr>
        <w:top w:val="none" w:sz="0" w:space="0" w:color="auto"/>
        <w:left w:val="none" w:sz="0" w:space="0" w:color="auto"/>
        <w:bottom w:val="none" w:sz="0" w:space="0" w:color="auto"/>
        <w:right w:val="none" w:sz="0" w:space="0" w:color="auto"/>
      </w:divBdr>
      <w:divsChild>
        <w:div w:id="504830018">
          <w:marLeft w:val="0"/>
          <w:marRight w:val="0"/>
          <w:marTop w:val="0"/>
          <w:marBottom w:val="0"/>
          <w:divBdr>
            <w:top w:val="none" w:sz="0" w:space="0" w:color="auto"/>
            <w:left w:val="none" w:sz="0" w:space="0" w:color="auto"/>
            <w:bottom w:val="none" w:sz="0" w:space="0" w:color="auto"/>
            <w:right w:val="none" w:sz="0" w:space="0" w:color="auto"/>
          </w:divBdr>
          <w:divsChild>
            <w:div w:id="802431526">
              <w:marLeft w:val="0"/>
              <w:marRight w:val="0"/>
              <w:marTop w:val="0"/>
              <w:marBottom w:val="0"/>
              <w:divBdr>
                <w:top w:val="none" w:sz="0" w:space="0" w:color="auto"/>
                <w:left w:val="none" w:sz="0" w:space="0" w:color="auto"/>
                <w:bottom w:val="none" w:sz="0" w:space="0" w:color="auto"/>
                <w:right w:val="none" w:sz="0" w:space="0" w:color="auto"/>
              </w:divBdr>
              <w:divsChild>
                <w:div w:id="689768493">
                  <w:marLeft w:val="0"/>
                  <w:marRight w:val="0"/>
                  <w:marTop w:val="0"/>
                  <w:marBottom w:val="0"/>
                  <w:divBdr>
                    <w:top w:val="none" w:sz="0" w:space="0" w:color="auto"/>
                    <w:left w:val="none" w:sz="0" w:space="0" w:color="auto"/>
                    <w:bottom w:val="none" w:sz="0" w:space="0" w:color="auto"/>
                    <w:right w:val="none" w:sz="0" w:space="0" w:color="auto"/>
                  </w:divBdr>
                  <w:divsChild>
                    <w:div w:id="2005428519">
                      <w:marLeft w:val="0"/>
                      <w:marRight w:val="0"/>
                      <w:marTop w:val="0"/>
                      <w:marBottom w:val="0"/>
                      <w:divBdr>
                        <w:top w:val="none" w:sz="0" w:space="0" w:color="auto"/>
                        <w:left w:val="none" w:sz="0" w:space="0" w:color="auto"/>
                        <w:bottom w:val="none" w:sz="0" w:space="0" w:color="auto"/>
                        <w:right w:val="none" w:sz="0" w:space="0" w:color="auto"/>
                      </w:divBdr>
                      <w:divsChild>
                        <w:div w:id="955060215">
                          <w:marLeft w:val="0"/>
                          <w:marRight w:val="0"/>
                          <w:marTop w:val="0"/>
                          <w:marBottom w:val="0"/>
                          <w:divBdr>
                            <w:top w:val="none" w:sz="0" w:space="0" w:color="auto"/>
                            <w:left w:val="none" w:sz="0" w:space="0" w:color="auto"/>
                            <w:bottom w:val="none" w:sz="0" w:space="0" w:color="auto"/>
                            <w:right w:val="none" w:sz="0" w:space="0" w:color="auto"/>
                          </w:divBdr>
                          <w:divsChild>
                            <w:div w:id="1716078588">
                              <w:marLeft w:val="0"/>
                              <w:marRight w:val="0"/>
                              <w:marTop w:val="0"/>
                              <w:marBottom w:val="0"/>
                              <w:divBdr>
                                <w:top w:val="none" w:sz="0" w:space="0" w:color="auto"/>
                                <w:left w:val="none" w:sz="0" w:space="0" w:color="auto"/>
                                <w:bottom w:val="none" w:sz="0" w:space="0" w:color="auto"/>
                                <w:right w:val="none" w:sz="0" w:space="0" w:color="auto"/>
                              </w:divBdr>
                              <w:divsChild>
                                <w:div w:id="18950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52163">
      <w:bodyDiv w:val="1"/>
      <w:marLeft w:val="0"/>
      <w:marRight w:val="0"/>
      <w:marTop w:val="0"/>
      <w:marBottom w:val="0"/>
      <w:divBdr>
        <w:top w:val="none" w:sz="0" w:space="0" w:color="auto"/>
        <w:left w:val="none" w:sz="0" w:space="0" w:color="auto"/>
        <w:bottom w:val="none" w:sz="0" w:space="0" w:color="auto"/>
        <w:right w:val="none" w:sz="0" w:space="0" w:color="auto"/>
      </w:divBdr>
    </w:div>
    <w:div w:id="726297896">
      <w:bodyDiv w:val="1"/>
      <w:marLeft w:val="0"/>
      <w:marRight w:val="0"/>
      <w:marTop w:val="0"/>
      <w:marBottom w:val="0"/>
      <w:divBdr>
        <w:top w:val="none" w:sz="0" w:space="0" w:color="auto"/>
        <w:left w:val="none" w:sz="0" w:space="0" w:color="auto"/>
        <w:bottom w:val="none" w:sz="0" w:space="0" w:color="auto"/>
        <w:right w:val="none" w:sz="0" w:space="0" w:color="auto"/>
      </w:divBdr>
    </w:div>
    <w:div w:id="728501655">
      <w:bodyDiv w:val="1"/>
      <w:marLeft w:val="0"/>
      <w:marRight w:val="0"/>
      <w:marTop w:val="0"/>
      <w:marBottom w:val="0"/>
      <w:divBdr>
        <w:top w:val="none" w:sz="0" w:space="0" w:color="auto"/>
        <w:left w:val="none" w:sz="0" w:space="0" w:color="auto"/>
        <w:bottom w:val="none" w:sz="0" w:space="0" w:color="auto"/>
        <w:right w:val="none" w:sz="0" w:space="0" w:color="auto"/>
      </w:divBdr>
    </w:div>
    <w:div w:id="735208638">
      <w:bodyDiv w:val="1"/>
      <w:marLeft w:val="0"/>
      <w:marRight w:val="0"/>
      <w:marTop w:val="0"/>
      <w:marBottom w:val="0"/>
      <w:divBdr>
        <w:top w:val="none" w:sz="0" w:space="0" w:color="auto"/>
        <w:left w:val="none" w:sz="0" w:space="0" w:color="auto"/>
        <w:bottom w:val="none" w:sz="0" w:space="0" w:color="auto"/>
        <w:right w:val="none" w:sz="0" w:space="0" w:color="auto"/>
      </w:divBdr>
    </w:div>
    <w:div w:id="748814493">
      <w:bodyDiv w:val="1"/>
      <w:marLeft w:val="0"/>
      <w:marRight w:val="0"/>
      <w:marTop w:val="0"/>
      <w:marBottom w:val="0"/>
      <w:divBdr>
        <w:top w:val="none" w:sz="0" w:space="0" w:color="auto"/>
        <w:left w:val="none" w:sz="0" w:space="0" w:color="auto"/>
        <w:bottom w:val="none" w:sz="0" w:space="0" w:color="auto"/>
        <w:right w:val="none" w:sz="0" w:space="0" w:color="auto"/>
      </w:divBdr>
    </w:div>
    <w:div w:id="758451919">
      <w:bodyDiv w:val="1"/>
      <w:marLeft w:val="0"/>
      <w:marRight w:val="0"/>
      <w:marTop w:val="0"/>
      <w:marBottom w:val="0"/>
      <w:divBdr>
        <w:top w:val="none" w:sz="0" w:space="0" w:color="auto"/>
        <w:left w:val="none" w:sz="0" w:space="0" w:color="auto"/>
        <w:bottom w:val="none" w:sz="0" w:space="0" w:color="auto"/>
        <w:right w:val="none" w:sz="0" w:space="0" w:color="auto"/>
      </w:divBdr>
    </w:div>
    <w:div w:id="782965258">
      <w:bodyDiv w:val="1"/>
      <w:marLeft w:val="0"/>
      <w:marRight w:val="0"/>
      <w:marTop w:val="0"/>
      <w:marBottom w:val="0"/>
      <w:divBdr>
        <w:top w:val="none" w:sz="0" w:space="0" w:color="auto"/>
        <w:left w:val="none" w:sz="0" w:space="0" w:color="auto"/>
        <w:bottom w:val="none" w:sz="0" w:space="0" w:color="auto"/>
        <w:right w:val="none" w:sz="0" w:space="0" w:color="auto"/>
      </w:divBdr>
    </w:div>
    <w:div w:id="843277923">
      <w:bodyDiv w:val="1"/>
      <w:marLeft w:val="0"/>
      <w:marRight w:val="0"/>
      <w:marTop w:val="0"/>
      <w:marBottom w:val="0"/>
      <w:divBdr>
        <w:top w:val="none" w:sz="0" w:space="0" w:color="auto"/>
        <w:left w:val="none" w:sz="0" w:space="0" w:color="auto"/>
        <w:bottom w:val="none" w:sz="0" w:space="0" w:color="auto"/>
        <w:right w:val="none" w:sz="0" w:space="0" w:color="auto"/>
      </w:divBdr>
    </w:div>
    <w:div w:id="888759536">
      <w:bodyDiv w:val="1"/>
      <w:marLeft w:val="0"/>
      <w:marRight w:val="0"/>
      <w:marTop w:val="0"/>
      <w:marBottom w:val="0"/>
      <w:divBdr>
        <w:top w:val="none" w:sz="0" w:space="0" w:color="auto"/>
        <w:left w:val="none" w:sz="0" w:space="0" w:color="auto"/>
        <w:bottom w:val="none" w:sz="0" w:space="0" w:color="auto"/>
        <w:right w:val="none" w:sz="0" w:space="0" w:color="auto"/>
      </w:divBdr>
      <w:divsChild>
        <w:div w:id="334113643">
          <w:marLeft w:val="0"/>
          <w:marRight w:val="0"/>
          <w:marTop w:val="0"/>
          <w:marBottom w:val="0"/>
          <w:divBdr>
            <w:top w:val="none" w:sz="0" w:space="0" w:color="auto"/>
            <w:left w:val="none" w:sz="0" w:space="0" w:color="auto"/>
            <w:bottom w:val="none" w:sz="0" w:space="0" w:color="auto"/>
            <w:right w:val="none" w:sz="0" w:space="0" w:color="auto"/>
          </w:divBdr>
          <w:divsChild>
            <w:div w:id="1796874429">
              <w:marLeft w:val="0"/>
              <w:marRight w:val="0"/>
              <w:marTop w:val="0"/>
              <w:marBottom w:val="0"/>
              <w:divBdr>
                <w:top w:val="none" w:sz="0" w:space="0" w:color="auto"/>
                <w:left w:val="none" w:sz="0" w:space="0" w:color="auto"/>
                <w:bottom w:val="none" w:sz="0" w:space="0" w:color="auto"/>
                <w:right w:val="none" w:sz="0" w:space="0" w:color="auto"/>
              </w:divBdr>
              <w:divsChild>
                <w:div w:id="1659260613">
                  <w:marLeft w:val="0"/>
                  <w:marRight w:val="0"/>
                  <w:marTop w:val="0"/>
                  <w:marBottom w:val="0"/>
                  <w:divBdr>
                    <w:top w:val="none" w:sz="0" w:space="0" w:color="auto"/>
                    <w:left w:val="none" w:sz="0" w:space="0" w:color="auto"/>
                    <w:bottom w:val="none" w:sz="0" w:space="0" w:color="auto"/>
                    <w:right w:val="none" w:sz="0" w:space="0" w:color="auto"/>
                  </w:divBdr>
                  <w:divsChild>
                    <w:div w:id="1723283793">
                      <w:marLeft w:val="0"/>
                      <w:marRight w:val="0"/>
                      <w:marTop w:val="0"/>
                      <w:marBottom w:val="0"/>
                      <w:divBdr>
                        <w:top w:val="none" w:sz="0" w:space="0" w:color="auto"/>
                        <w:left w:val="none" w:sz="0" w:space="0" w:color="auto"/>
                        <w:bottom w:val="none" w:sz="0" w:space="0" w:color="auto"/>
                        <w:right w:val="none" w:sz="0" w:space="0" w:color="auto"/>
                      </w:divBdr>
                      <w:divsChild>
                        <w:div w:id="1508984292">
                          <w:marLeft w:val="0"/>
                          <w:marRight w:val="0"/>
                          <w:marTop w:val="0"/>
                          <w:marBottom w:val="0"/>
                          <w:divBdr>
                            <w:top w:val="none" w:sz="0" w:space="0" w:color="auto"/>
                            <w:left w:val="none" w:sz="0" w:space="0" w:color="auto"/>
                            <w:bottom w:val="none" w:sz="0" w:space="0" w:color="auto"/>
                            <w:right w:val="none" w:sz="0" w:space="0" w:color="auto"/>
                          </w:divBdr>
                          <w:divsChild>
                            <w:div w:id="1094783970">
                              <w:marLeft w:val="0"/>
                              <w:marRight w:val="0"/>
                              <w:marTop w:val="0"/>
                              <w:marBottom w:val="0"/>
                              <w:divBdr>
                                <w:top w:val="none" w:sz="0" w:space="0" w:color="auto"/>
                                <w:left w:val="none" w:sz="0" w:space="0" w:color="auto"/>
                                <w:bottom w:val="none" w:sz="0" w:space="0" w:color="auto"/>
                                <w:right w:val="none" w:sz="0" w:space="0" w:color="auto"/>
                              </w:divBdr>
                              <w:divsChild>
                                <w:div w:id="650255554">
                                  <w:marLeft w:val="0"/>
                                  <w:marRight w:val="0"/>
                                  <w:marTop w:val="0"/>
                                  <w:marBottom w:val="0"/>
                                  <w:divBdr>
                                    <w:top w:val="none" w:sz="0" w:space="0" w:color="auto"/>
                                    <w:left w:val="none" w:sz="0" w:space="0" w:color="auto"/>
                                    <w:bottom w:val="none" w:sz="0" w:space="0" w:color="auto"/>
                                    <w:right w:val="none" w:sz="0" w:space="0" w:color="auto"/>
                                  </w:divBdr>
                                  <w:divsChild>
                                    <w:div w:id="17311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415036">
      <w:bodyDiv w:val="1"/>
      <w:marLeft w:val="0"/>
      <w:marRight w:val="0"/>
      <w:marTop w:val="0"/>
      <w:marBottom w:val="0"/>
      <w:divBdr>
        <w:top w:val="none" w:sz="0" w:space="0" w:color="auto"/>
        <w:left w:val="none" w:sz="0" w:space="0" w:color="auto"/>
        <w:bottom w:val="none" w:sz="0" w:space="0" w:color="auto"/>
        <w:right w:val="none" w:sz="0" w:space="0" w:color="auto"/>
      </w:divBdr>
      <w:divsChild>
        <w:div w:id="368385764">
          <w:marLeft w:val="0"/>
          <w:marRight w:val="0"/>
          <w:marTop w:val="0"/>
          <w:marBottom w:val="0"/>
          <w:divBdr>
            <w:top w:val="none" w:sz="0" w:space="0" w:color="auto"/>
            <w:left w:val="none" w:sz="0" w:space="0" w:color="auto"/>
            <w:bottom w:val="none" w:sz="0" w:space="0" w:color="auto"/>
            <w:right w:val="none" w:sz="0" w:space="0" w:color="auto"/>
          </w:divBdr>
          <w:divsChild>
            <w:div w:id="1277297715">
              <w:marLeft w:val="0"/>
              <w:marRight w:val="0"/>
              <w:marTop w:val="0"/>
              <w:marBottom w:val="0"/>
              <w:divBdr>
                <w:top w:val="none" w:sz="0" w:space="0" w:color="auto"/>
                <w:left w:val="none" w:sz="0" w:space="0" w:color="auto"/>
                <w:bottom w:val="none" w:sz="0" w:space="0" w:color="auto"/>
                <w:right w:val="none" w:sz="0" w:space="0" w:color="auto"/>
              </w:divBdr>
              <w:divsChild>
                <w:div w:id="226690704">
                  <w:marLeft w:val="0"/>
                  <w:marRight w:val="0"/>
                  <w:marTop w:val="0"/>
                  <w:marBottom w:val="0"/>
                  <w:divBdr>
                    <w:top w:val="none" w:sz="0" w:space="0" w:color="auto"/>
                    <w:left w:val="none" w:sz="0" w:space="0" w:color="auto"/>
                    <w:bottom w:val="none" w:sz="0" w:space="0" w:color="auto"/>
                    <w:right w:val="none" w:sz="0" w:space="0" w:color="auto"/>
                  </w:divBdr>
                  <w:divsChild>
                    <w:div w:id="933171028">
                      <w:marLeft w:val="0"/>
                      <w:marRight w:val="0"/>
                      <w:marTop w:val="0"/>
                      <w:marBottom w:val="0"/>
                      <w:divBdr>
                        <w:top w:val="none" w:sz="0" w:space="0" w:color="auto"/>
                        <w:left w:val="none" w:sz="0" w:space="0" w:color="auto"/>
                        <w:bottom w:val="none" w:sz="0" w:space="0" w:color="auto"/>
                        <w:right w:val="none" w:sz="0" w:space="0" w:color="auto"/>
                      </w:divBdr>
                      <w:divsChild>
                        <w:div w:id="1100639928">
                          <w:marLeft w:val="0"/>
                          <w:marRight w:val="0"/>
                          <w:marTop w:val="0"/>
                          <w:marBottom w:val="0"/>
                          <w:divBdr>
                            <w:top w:val="none" w:sz="0" w:space="0" w:color="auto"/>
                            <w:left w:val="none" w:sz="0" w:space="0" w:color="auto"/>
                            <w:bottom w:val="none" w:sz="0" w:space="0" w:color="auto"/>
                            <w:right w:val="none" w:sz="0" w:space="0" w:color="auto"/>
                          </w:divBdr>
                          <w:divsChild>
                            <w:div w:id="2077312950">
                              <w:marLeft w:val="0"/>
                              <w:marRight w:val="0"/>
                              <w:marTop w:val="0"/>
                              <w:marBottom w:val="0"/>
                              <w:divBdr>
                                <w:top w:val="none" w:sz="0" w:space="0" w:color="auto"/>
                                <w:left w:val="none" w:sz="0" w:space="0" w:color="auto"/>
                                <w:bottom w:val="none" w:sz="0" w:space="0" w:color="auto"/>
                                <w:right w:val="none" w:sz="0" w:space="0" w:color="auto"/>
                              </w:divBdr>
                              <w:divsChild>
                                <w:div w:id="5736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62526">
      <w:bodyDiv w:val="1"/>
      <w:marLeft w:val="0"/>
      <w:marRight w:val="0"/>
      <w:marTop w:val="0"/>
      <w:marBottom w:val="0"/>
      <w:divBdr>
        <w:top w:val="none" w:sz="0" w:space="0" w:color="auto"/>
        <w:left w:val="none" w:sz="0" w:space="0" w:color="auto"/>
        <w:bottom w:val="none" w:sz="0" w:space="0" w:color="auto"/>
        <w:right w:val="none" w:sz="0" w:space="0" w:color="auto"/>
      </w:divBdr>
      <w:divsChild>
        <w:div w:id="1730227308">
          <w:marLeft w:val="0"/>
          <w:marRight w:val="0"/>
          <w:marTop w:val="0"/>
          <w:marBottom w:val="0"/>
          <w:divBdr>
            <w:top w:val="none" w:sz="0" w:space="0" w:color="auto"/>
            <w:left w:val="none" w:sz="0" w:space="0" w:color="auto"/>
            <w:bottom w:val="none" w:sz="0" w:space="0" w:color="auto"/>
            <w:right w:val="none" w:sz="0" w:space="0" w:color="auto"/>
          </w:divBdr>
          <w:divsChild>
            <w:div w:id="1267466966">
              <w:marLeft w:val="0"/>
              <w:marRight w:val="0"/>
              <w:marTop w:val="0"/>
              <w:marBottom w:val="0"/>
              <w:divBdr>
                <w:top w:val="none" w:sz="0" w:space="0" w:color="auto"/>
                <w:left w:val="none" w:sz="0" w:space="0" w:color="auto"/>
                <w:bottom w:val="none" w:sz="0" w:space="0" w:color="auto"/>
                <w:right w:val="none" w:sz="0" w:space="0" w:color="auto"/>
              </w:divBdr>
              <w:divsChild>
                <w:div w:id="963313903">
                  <w:marLeft w:val="0"/>
                  <w:marRight w:val="0"/>
                  <w:marTop w:val="0"/>
                  <w:marBottom w:val="0"/>
                  <w:divBdr>
                    <w:top w:val="none" w:sz="0" w:space="0" w:color="auto"/>
                    <w:left w:val="none" w:sz="0" w:space="0" w:color="auto"/>
                    <w:bottom w:val="none" w:sz="0" w:space="0" w:color="auto"/>
                    <w:right w:val="none" w:sz="0" w:space="0" w:color="auto"/>
                  </w:divBdr>
                  <w:divsChild>
                    <w:div w:id="976492914">
                      <w:marLeft w:val="0"/>
                      <w:marRight w:val="0"/>
                      <w:marTop w:val="0"/>
                      <w:marBottom w:val="0"/>
                      <w:divBdr>
                        <w:top w:val="none" w:sz="0" w:space="0" w:color="auto"/>
                        <w:left w:val="none" w:sz="0" w:space="0" w:color="auto"/>
                        <w:bottom w:val="none" w:sz="0" w:space="0" w:color="auto"/>
                        <w:right w:val="none" w:sz="0" w:space="0" w:color="auto"/>
                      </w:divBdr>
                      <w:divsChild>
                        <w:div w:id="742025301">
                          <w:marLeft w:val="0"/>
                          <w:marRight w:val="0"/>
                          <w:marTop w:val="0"/>
                          <w:marBottom w:val="0"/>
                          <w:divBdr>
                            <w:top w:val="none" w:sz="0" w:space="0" w:color="auto"/>
                            <w:left w:val="none" w:sz="0" w:space="0" w:color="auto"/>
                            <w:bottom w:val="none" w:sz="0" w:space="0" w:color="auto"/>
                            <w:right w:val="none" w:sz="0" w:space="0" w:color="auto"/>
                          </w:divBdr>
                          <w:divsChild>
                            <w:div w:id="1143305072">
                              <w:marLeft w:val="0"/>
                              <w:marRight w:val="0"/>
                              <w:marTop w:val="0"/>
                              <w:marBottom w:val="0"/>
                              <w:divBdr>
                                <w:top w:val="none" w:sz="0" w:space="0" w:color="auto"/>
                                <w:left w:val="none" w:sz="0" w:space="0" w:color="auto"/>
                                <w:bottom w:val="none" w:sz="0" w:space="0" w:color="auto"/>
                                <w:right w:val="none" w:sz="0" w:space="0" w:color="auto"/>
                              </w:divBdr>
                              <w:divsChild>
                                <w:div w:id="158011148">
                                  <w:marLeft w:val="0"/>
                                  <w:marRight w:val="0"/>
                                  <w:marTop w:val="0"/>
                                  <w:marBottom w:val="0"/>
                                  <w:divBdr>
                                    <w:top w:val="none" w:sz="0" w:space="0" w:color="auto"/>
                                    <w:left w:val="none" w:sz="0" w:space="0" w:color="auto"/>
                                    <w:bottom w:val="none" w:sz="0" w:space="0" w:color="auto"/>
                                    <w:right w:val="none" w:sz="0" w:space="0" w:color="auto"/>
                                  </w:divBdr>
                                  <w:divsChild>
                                    <w:div w:id="8445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953547">
      <w:bodyDiv w:val="1"/>
      <w:marLeft w:val="0"/>
      <w:marRight w:val="0"/>
      <w:marTop w:val="0"/>
      <w:marBottom w:val="0"/>
      <w:divBdr>
        <w:top w:val="none" w:sz="0" w:space="0" w:color="auto"/>
        <w:left w:val="none" w:sz="0" w:space="0" w:color="auto"/>
        <w:bottom w:val="none" w:sz="0" w:space="0" w:color="auto"/>
        <w:right w:val="none" w:sz="0" w:space="0" w:color="auto"/>
      </w:divBdr>
    </w:div>
    <w:div w:id="935401673">
      <w:bodyDiv w:val="1"/>
      <w:marLeft w:val="0"/>
      <w:marRight w:val="0"/>
      <w:marTop w:val="0"/>
      <w:marBottom w:val="0"/>
      <w:divBdr>
        <w:top w:val="none" w:sz="0" w:space="0" w:color="auto"/>
        <w:left w:val="none" w:sz="0" w:space="0" w:color="auto"/>
        <w:bottom w:val="none" w:sz="0" w:space="0" w:color="auto"/>
        <w:right w:val="none" w:sz="0" w:space="0" w:color="auto"/>
      </w:divBdr>
    </w:div>
    <w:div w:id="942956639">
      <w:bodyDiv w:val="1"/>
      <w:marLeft w:val="0"/>
      <w:marRight w:val="0"/>
      <w:marTop w:val="0"/>
      <w:marBottom w:val="0"/>
      <w:divBdr>
        <w:top w:val="none" w:sz="0" w:space="0" w:color="auto"/>
        <w:left w:val="none" w:sz="0" w:space="0" w:color="auto"/>
        <w:bottom w:val="none" w:sz="0" w:space="0" w:color="auto"/>
        <w:right w:val="none" w:sz="0" w:space="0" w:color="auto"/>
      </w:divBdr>
    </w:div>
    <w:div w:id="953173831">
      <w:bodyDiv w:val="1"/>
      <w:marLeft w:val="0"/>
      <w:marRight w:val="0"/>
      <w:marTop w:val="0"/>
      <w:marBottom w:val="0"/>
      <w:divBdr>
        <w:top w:val="none" w:sz="0" w:space="0" w:color="auto"/>
        <w:left w:val="none" w:sz="0" w:space="0" w:color="auto"/>
        <w:bottom w:val="none" w:sz="0" w:space="0" w:color="auto"/>
        <w:right w:val="none" w:sz="0" w:space="0" w:color="auto"/>
      </w:divBdr>
    </w:div>
    <w:div w:id="978075385">
      <w:bodyDiv w:val="1"/>
      <w:marLeft w:val="0"/>
      <w:marRight w:val="0"/>
      <w:marTop w:val="0"/>
      <w:marBottom w:val="0"/>
      <w:divBdr>
        <w:top w:val="none" w:sz="0" w:space="0" w:color="auto"/>
        <w:left w:val="none" w:sz="0" w:space="0" w:color="auto"/>
        <w:bottom w:val="none" w:sz="0" w:space="0" w:color="auto"/>
        <w:right w:val="none" w:sz="0" w:space="0" w:color="auto"/>
      </w:divBdr>
    </w:div>
    <w:div w:id="1000815076">
      <w:bodyDiv w:val="1"/>
      <w:marLeft w:val="0"/>
      <w:marRight w:val="0"/>
      <w:marTop w:val="0"/>
      <w:marBottom w:val="0"/>
      <w:divBdr>
        <w:top w:val="none" w:sz="0" w:space="0" w:color="auto"/>
        <w:left w:val="none" w:sz="0" w:space="0" w:color="auto"/>
        <w:bottom w:val="none" w:sz="0" w:space="0" w:color="auto"/>
        <w:right w:val="none" w:sz="0" w:space="0" w:color="auto"/>
      </w:divBdr>
    </w:div>
    <w:div w:id="1018461621">
      <w:bodyDiv w:val="1"/>
      <w:marLeft w:val="0"/>
      <w:marRight w:val="0"/>
      <w:marTop w:val="0"/>
      <w:marBottom w:val="0"/>
      <w:divBdr>
        <w:top w:val="none" w:sz="0" w:space="0" w:color="auto"/>
        <w:left w:val="none" w:sz="0" w:space="0" w:color="auto"/>
        <w:bottom w:val="none" w:sz="0" w:space="0" w:color="auto"/>
        <w:right w:val="none" w:sz="0" w:space="0" w:color="auto"/>
      </w:divBdr>
    </w:div>
    <w:div w:id="1047220475">
      <w:bodyDiv w:val="1"/>
      <w:marLeft w:val="0"/>
      <w:marRight w:val="0"/>
      <w:marTop w:val="0"/>
      <w:marBottom w:val="0"/>
      <w:divBdr>
        <w:top w:val="none" w:sz="0" w:space="0" w:color="auto"/>
        <w:left w:val="none" w:sz="0" w:space="0" w:color="auto"/>
        <w:bottom w:val="none" w:sz="0" w:space="0" w:color="auto"/>
        <w:right w:val="none" w:sz="0" w:space="0" w:color="auto"/>
      </w:divBdr>
    </w:div>
    <w:div w:id="1079398960">
      <w:bodyDiv w:val="1"/>
      <w:marLeft w:val="0"/>
      <w:marRight w:val="0"/>
      <w:marTop w:val="0"/>
      <w:marBottom w:val="0"/>
      <w:divBdr>
        <w:top w:val="none" w:sz="0" w:space="0" w:color="auto"/>
        <w:left w:val="none" w:sz="0" w:space="0" w:color="auto"/>
        <w:bottom w:val="none" w:sz="0" w:space="0" w:color="auto"/>
        <w:right w:val="none" w:sz="0" w:space="0" w:color="auto"/>
      </w:divBdr>
    </w:div>
    <w:div w:id="1099135047">
      <w:bodyDiv w:val="1"/>
      <w:marLeft w:val="0"/>
      <w:marRight w:val="0"/>
      <w:marTop w:val="0"/>
      <w:marBottom w:val="0"/>
      <w:divBdr>
        <w:top w:val="none" w:sz="0" w:space="0" w:color="auto"/>
        <w:left w:val="none" w:sz="0" w:space="0" w:color="auto"/>
        <w:bottom w:val="none" w:sz="0" w:space="0" w:color="auto"/>
        <w:right w:val="none" w:sz="0" w:space="0" w:color="auto"/>
      </w:divBdr>
      <w:divsChild>
        <w:div w:id="621764466">
          <w:marLeft w:val="0"/>
          <w:marRight w:val="0"/>
          <w:marTop w:val="0"/>
          <w:marBottom w:val="0"/>
          <w:divBdr>
            <w:top w:val="none" w:sz="0" w:space="0" w:color="auto"/>
            <w:left w:val="none" w:sz="0" w:space="0" w:color="auto"/>
            <w:bottom w:val="none" w:sz="0" w:space="0" w:color="auto"/>
            <w:right w:val="none" w:sz="0" w:space="0" w:color="auto"/>
          </w:divBdr>
          <w:divsChild>
            <w:div w:id="1643651469">
              <w:marLeft w:val="0"/>
              <w:marRight w:val="0"/>
              <w:marTop w:val="0"/>
              <w:marBottom w:val="0"/>
              <w:divBdr>
                <w:top w:val="none" w:sz="0" w:space="0" w:color="auto"/>
                <w:left w:val="none" w:sz="0" w:space="0" w:color="auto"/>
                <w:bottom w:val="none" w:sz="0" w:space="0" w:color="auto"/>
                <w:right w:val="none" w:sz="0" w:space="0" w:color="auto"/>
              </w:divBdr>
              <w:divsChild>
                <w:div w:id="627273048">
                  <w:marLeft w:val="0"/>
                  <w:marRight w:val="0"/>
                  <w:marTop w:val="0"/>
                  <w:marBottom w:val="0"/>
                  <w:divBdr>
                    <w:top w:val="none" w:sz="0" w:space="0" w:color="auto"/>
                    <w:left w:val="none" w:sz="0" w:space="0" w:color="auto"/>
                    <w:bottom w:val="none" w:sz="0" w:space="0" w:color="auto"/>
                    <w:right w:val="none" w:sz="0" w:space="0" w:color="auto"/>
                  </w:divBdr>
                  <w:divsChild>
                    <w:div w:id="472059749">
                      <w:marLeft w:val="0"/>
                      <w:marRight w:val="0"/>
                      <w:marTop w:val="0"/>
                      <w:marBottom w:val="0"/>
                      <w:divBdr>
                        <w:top w:val="none" w:sz="0" w:space="0" w:color="auto"/>
                        <w:left w:val="none" w:sz="0" w:space="0" w:color="auto"/>
                        <w:bottom w:val="none" w:sz="0" w:space="0" w:color="auto"/>
                        <w:right w:val="none" w:sz="0" w:space="0" w:color="auto"/>
                      </w:divBdr>
                      <w:divsChild>
                        <w:div w:id="1693068255">
                          <w:marLeft w:val="0"/>
                          <w:marRight w:val="0"/>
                          <w:marTop w:val="0"/>
                          <w:marBottom w:val="0"/>
                          <w:divBdr>
                            <w:top w:val="none" w:sz="0" w:space="0" w:color="auto"/>
                            <w:left w:val="none" w:sz="0" w:space="0" w:color="auto"/>
                            <w:bottom w:val="none" w:sz="0" w:space="0" w:color="auto"/>
                            <w:right w:val="none" w:sz="0" w:space="0" w:color="auto"/>
                          </w:divBdr>
                          <w:divsChild>
                            <w:div w:id="1083333544">
                              <w:marLeft w:val="0"/>
                              <w:marRight w:val="0"/>
                              <w:marTop w:val="0"/>
                              <w:marBottom w:val="0"/>
                              <w:divBdr>
                                <w:top w:val="none" w:sz="0" w:space="0" w:color="auto"/>
                                <w:left w:val="none" w:sz="0" w:space="0" w:color="auto"/>
                                <w:bottom w:val="none" w:sz="0" w:space="0" w:color="auto"/>
                                <w:right w:val="none" w:sz="0" w:space="0" w:color="auto"/>
                              </w:divBdr>
                              <w:divsChild>
                                <w:div w:id="11131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98613">
      <w:bodyDiv w:val="1"/>
      <w:marLeft w:val="0"/>
      <w:marRight w:val="0"/>
      <w:marTop w:val="0"/>
      <w:marBottom w:val="0"/>
      <w:divBdr>
        <w:top w:val="none" w:sz="0" w:space="0" w:color="auto"/>
        <w:left w:val="none" w:sz="0" w:space="0" w:color="auto"/>
        <w:bottom w:val="none" w:sz="0" w:space="0" w:color="auto"/>
        <w:right w:val="none" w:sz="0" w:space="0" w:color="auto"/>
      </w:divBdr>
    </w:div>
    <w:div w:id="1132213609">
      <w:bodyDiv w:val="1"/>
      <w:marLeft w:val="0"/>
      <w:marRight w:val="0"/>
      <w:marTop w:val="0"/>
      <w:marBottom w:val="0"/>
      <w:divBdr>
        <w:top w:val="none" w:sz="0" w:space="0" w:color="auto"/>
        <w:left w:val="none" w:sz="0" w:space="0" w:color="auto"/>
        <w:bottom w:val="none" w:sz="0" w:space="0" w:color="auto"/>
        <w:right w:val="none" w:sz="0" w:space="0" w:color="auto"/>
      </w:divBdr>
    </w:div>
    <w:div w:id="1156457138">
      <w:bodyDiv w:val="1"/>
      <w:marLeft w:val="0"/>
      <w:marRight w:val="0"/>
      <w:marTop w:val="0"/>
      <w:marBottom w:val="0"/>
      <w:divBdr>
        <w:top w:val="none" w:sz="0" w:space="0" w:color="auto"/>
        <w:left w:val="none" w:sz="0" w:space="0" w:color="auto"/>
        <w:bottom w:val="none" w:sz="0" w:space="0" w:color="auto"/>
        <w:right w:val="none" w:sz="0" w:space="0" w:color="auto"/>
      </w:divBdr>
    </w:div>
    <w:div w:id="1193498696">
      <w:bodyDiv w:val="1"/>
      <w:marLeft w:val="0"/>
      <w:marRight w:val="0"/>
      <w:marTop w:val="0"/>
      <w:marBottom w:val="0"/>
      <w:divBdr>
        <w:top w:val="none" w:sz="0" w:space="0" w:color="auto"/>
        <w:left w:val="none" w:sz="0" w:space="0" w:color="auto"/>
        <w:bottom w:val="none" w:sz="0" w:space="0" w:color="auto"/>
        <w:right w:val="none" w:sz="0" w:space="0" w:color="auto"/>
      </w:divBdr>
    </w:div>
    <w:div w:id="1200240745">
      <w:bodyDiv w:val="1"/>
      <w:marLeft w:val="0"/>
      <w:marRight w:val="0"/>
      <w:marTop w:val="0"/>
      <w:marBottom w:val="0"/>
      <w:divBdr>
        <w:top w:val="none" w:sz="0" w:space="0" w:color="auto"/>
        <w:left w:val="none" w:sz="0" w:space="0" w:color="auto"/>
        <w:bottom w:val="none" w:sz="0" w:space="0" w:color="auto"/>
        <w:right w:val="none" w:sz="0" w:space="0" w:color="auto"/>
      </w:divBdr>
    </w:div>
    <w:div w:id="1232304299">
      <w:bodyDiv w:val="1"/>
      <w:marLeft w:val="0"/>
      <w:marRight w:val="0"/>
      <w:marTop w:val="0"/>
      <w:marBottom w:val="0"/>
      <w:divBdr>
        <w:top w:val="none" w:sz="0" w:space="0" w:color="auto"/>
        <w:left w:val="none" w:sz="0" w:space="0" w:color="auto"/>
        <w:bottom w:val="none" w:sz="0" w:space="0" w:color="auto"/>
        <w:right w:val="none" w:sz="0" w:space="0" w:color="auto"/>
      </w:divBdr>
    </w:div>
    <w:div w:id="1233999859">
      <w:bodyDiv w:val="1"/>
      <w:marLeft w:val="0"/>
      <w:marRight w:val="0"/>
      <w:marTop w:val="0"/>
      <w:marBottom w:val="0"/>
      <w:divBdr>
        <w:top w:val="none" w:sz="0" w:space="0" w:color="auto"/>
        <w:left w:val="none" w:sz="0" w:space="0" w:color="auto"/>
        <w:bottom w:val="none" w:sz="0" w:space="0" w:color="auto"/>
        <w:right w:val="none" w:sz="0" w:space="0" w:color="auto"/>
      </w:divBdr>
    </w:div>
    <w:div w:id="1240560225">
      <w:bodyDiv w:val="1"/>
      <w:marLeft w:val="0"/>
      <w:marRight w:val="0"/>
      <w:marTop w:val="0"/>
      <w:marBottom w:val="0"/>
      <w:divBdr>
        <w:top w:val="none" w:sz="0" w:space="0" w:color="auto"/>
        <w:left w:val="none" w:sz="0" w:space="0" w:color="auto"/>
        <w:bottom w:val="none" w:sz="0" w:space="0" w:color="auto"/>
        <w:right w:val="none" w:sz="0" w:space="0" w:color="auto"/>
      </w:divBdr>
    </w:div>
    <w:div w:id="1288507815">
      <w:bodyDiv w:val="1"/>
      <w:marLeft w:val="0"/>
      <w:marRight w:val="0"/>
      <w:marTop w:val="0"/>
      <w:marBottom w:val="0"/>
      <w:divBdr>
        <w:top w:val="none" w:sz="0" w:space="0" w:color="auto"/>
        <w:left w:val="none" w:sz="0" w:space="0" w:color="auto"/>
        <w:bottom w:val="none" w:sz="0" w:space="0" w:color="auto"/>
        <w:right w:val="none" w:sz="0" w:space="0" w:color="auto"/>
      </w:divBdr>
    </w:div>
    <w:div w:id="1311254375">
      <w:bodyDiv w:val="1"/>
      <w:marLeft w:val="0"/>
      <w:marRight w:val="0"/>
      <w:marTop w:val="0"/>
      <w:marBottom w:val="0"/>
      <w:divBdr>
        <w:top w:val="none" w:sz="0" w:space="0" w:color="auto"/>
        <w:left w:val="none" w:sz="0" w:space="0" w:color="auto"/>
        <w:bottom w:val="none" w:sz="0" w:space="0" w:color="auto"/>
        <w:right w:val="none" w:sz="0" w:space="0" w:color="auto"/>
      </w:divBdr>
      <w:divsChild>
        <w:div w:id="1724136738">
          <w:marLeft w:val="0"/>
          <w:marRight w:val="0"/>
          <w:marTop w:val="0"/>
          <w:marBottom w:val="0"/>
          <w:divBdr>
            <w:top w:val="none" w:sz="0" w:space="0" w:color="auto"/>
            <w:left w:val="none" w:sz="0" w:space="0" w:color="auto"/>
            <w:bottom w:val="none" w:sz="0" w:space="0" w:color="auto"/>
            <w:right w:val="none" w:sz="0" w:space="0" w:color="auto"/>
          </w:divBdr>
          <w:divsChild>
            <w:div w:id="1577206454">
              <w:marLeft w:val="0"/>
              <w:marRight w:val="0"/>
              <w:marTop w:val="0"/>
              <w:marBottom w:val="0"/>
              <w:divBdr>
                <w:top w:val="none" w:sz="0" w:space="0" w:color="auto"/>
                <w:left w:val="none" w:sz="0" w:space="0" w:color="auto"/>
                <w:bottom w:val="none" w:sz="0" w:space="0" w:color="auto"/>
                <w:right w:val="none" w:sz="0" w:space="0" w:color="auto"/>
              </w:divBdr>
              <w:divsChild>
                <w:div w:id="441073314">
                  <w:marLeft w:val="0"/>
                  <w:marRight w:val="0"/>
                  <w:marTop w:val="0"/>
                  <w:marBottom w:val="0"/>
                  <w:divBdr>
                    <w:top w:val="none" w:sz="0" w:space="0" w:color="auto"/>
                    <w:left w:val="none" w:sz="0" w:space="0" w:color="auto"/>
                    <w:bottom w:val="none" w:sz="0" w:space="0" w:color="auto"/>
                    <w:right w:val="none" w:sz="0" w:space="0" w:color="auto"/>
                  </w:divBdr>
                  <w:divsChild>
                    <w:div w:id="559438691">
                      <w:marLeft w:val="0"/>
                      <w:marRight w:val="0"/>
                      <w:marTop w:val="0"/>
                      <w:marBottom w:val="0"/>
                      <w:divBdr>
                        <w:top w:val="none" w:sz="0" w:space="0" w:color="auto"/>
                        <w:left w:val="none" w:sz="0" w:space="0" w:color="auto"/>
                        <w:bottom w:val="none" w:sz="0" w:space="0" w:color="auto"/>
                        <w:right w:val="none" w:sz="0" w:space="0" w:color="auto"/>
                      </w:divBdr>
                      <w:divsChild>
                        <w:div w:id="896550841">
                          <w:marLeft w:val="0"/>
                          <w:marRight w:val="0"/>
                          <w:marTop w:val="0"/>
                          <w:marBottom w:val="0"/>
                          <w:divBdr>
                            <w:top w:val="none" w:sz="0" w:space="0" w:color="auto"/>
                            <w:left w:val="none" w:sz="0" w:space="0" w:color="auto"/>
                            <w:bottom w:val="none" w:sz="0" w:space="0" w:color="auto"/>
                            <w:right w:val="none" w:sz="0" w:space="0" w:color="auto"/>
                          </w:divBdr>
                          <w:divsChild>
                            <w:div w:id="920725091">
                              <w:marLeft w:val="0"/>
                              <w:marRight w:val="0"/>
                              <w:marTop w:val="0"/>
                              <w:marBottom w:val="0"/>
                              <w:divBdr>
                                <w:top w:val="none" w:sz="0" w:space="0" w:color="auto"/>
                                <w:left w:val="none" w:sz="0" w:space="0" w:color="auto"/>
                                <w:bottom w:val="none" w:sz="0" w:space="0" w:color="auto"/>
                                <w:right w:val="none" w:sz="0" w:space="0" w:color="auto"/>
                              </w:divBdr>
                              <w:divsChild>
                                <w:div w:id="1589655460">
                                  <w:marLeft w:val="0"/>
                                  <w:marRight w:val="0"/>
                                  <w:marTop w:val="0"/>
                                  <w:marBottom w:val="0"/>
                                  <w:divBdr>
                                    <w:top w:val="none" w:sz="0" w:space="0" w:color="auto"/>
                                    <w:left w:val="none" w:sz="0" w:space="0" w:color="auto"/>
                                    <w:bottom w:val="none" w:sz="0" w:space="0" w:color="auto"/>
                                    <w:right w:val="none" w:sz="0" w:space="0" w:color="auto"/>
                                  </w:divBdr>
                                  <w:divsChild>
                                    <w:div w:id="1411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320334">
      <w:bodyDiv w:val="1"/>
      <w:marLeft w:val="0"/>
      <w:marRight w:val="0"/>
      <w:marTop w:val="0"/>
      <w:marBottom w:val="0"/>
      <w:divBdr>
        <w:top w:val="none" w:sz="0" w:space="0" w:color="auto"/>
        <w:left w:val="none" w:sz="0" w:space="0" w:color="auto"/>
        <w:bottom w:val="none" w:sz="0" w:space="0" w:color="auto"/>
        <w:right w:val="none" w:sz="0" w:space="0" w:color="auto"/>
      </w:divBdr>
      <w:divsChild>
        <w:div w:id="1497451861">
          <w:marLeft w:val="0"/>
          <w:marRight w:val="0"/>
          <w:marTop w:val="0"/>
          <w:marBottom w:val="0"/>
          <w:divBdr>
            <w:top w:val="none" w:sz="0" w:space="0" w:color="auto"/>
            <w:left w:val="none" w:sz="0" w:space="0" w:color="auto"/>
            <w:bottom w:val="none" w:sz="0" w:space="0" w:color="auto"/>
            <w:right w:val="none" w:sz="0" w:space="0" w:color="auto"/>
          </w:divBdr>
          <w:divsChild>
            <w:div w:id="1274902759">
              <w:marLeft w:val="0"/>
              <w:marRight w:val="0"/>
              <w:marTop w:val="0"/>
              <w:marBottom w:val="0"/>
              <w:divBdr>
                <w:top w:val="none" w:sz="0" w:space="0" w:color="auto"/>
                <w:left w:val="single" w:sz="4" w:space="0" w:color="D3D3D3"/>
                <w:bottom w:val="single" w:sz="4" w:space="31" w:color="D3D3D3"/>
                <w:right w:val="single" w:sz="4" w:space="0" w:color="D3D3D3"/>
              </w:divBdr>
              <w:divsChild>
                <w:div w:id="664892840">
                  <w:marLeft w:val="115"/>
                  <w:marRight w:val="115"/>
                  <w:marTop w:val="0"/>
                  <w:marBottom w:val="0"/>
                  <w:divBdr>
                    <w:top w:val="none" w:sz="0" w:space="0" w:color="auto"/>
                    <w:left w:val="none" w:sz="0" w:space="0" w:color="auto"/>
                    <w:bottom w:val="none" w:sz="0" w:space="0" w:color="auto"/>
                    <w:right w:val="none" w:sz="0" w:space="0" w:color="auto"/>
                  </w:divBdr>
                  <w:divsChild>
                    <w:div w:id="428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11981">
      <w:bodyDiv w:val="1"/>
      <w:marLeft w:val="0"/>
      <w:marRight w:val="0"/>
      <w:marTop w:val="0"/>
      <w:marBottom w:val="0"/>
      <w:divBdr>
        <w:top w:val="none" w:sz="0" w:space="0" w:color="auto"/>
        <w:left w:val="none" w:sz="0" w:space="0" w:color="auto"/>
        <w:bottom w:val="none" w:sz="0" w:space="0" w:color="auto"/>
        <w:right w:val="none" w:sz="0" w:space="0" w:color="auto"/>
      </w:divBdr>
    </w:div>
    <w:div w:id="1380207003">
      <w:bodyDiv w:val="1"/>
      <w:marLeft w:val="0"/>
      <w:marRight w:val="0"/>
      <w:marTop w:val="0"/>
      <w:marBottom w:val="0"/>
      <w:divBdr>
        <w:top w:val="none" w:sz="0" w:space="0" w:color="auto"/>
        <w:left w:val="none" w:sz="0" w:space="0" w:color="auto"/>
        <w:bottom w:val="none" w:sz="0" w:space="0" w:color="auto"/>
        <w:right w:val="none" w:sz="0" w:space="0" w:color="auto"/>
      </w:divBdr>
    </w:div>
    <w:div w:id="1420559969">
      <w:bodyDiv w:val="1"/>
      <w:marLeft w:val="0"/>
      <w:marRight w:val="0"/>
      <w:marTop w:val="0"/>
      <w:marBottom w:val="0"/>
      <w:divBdr>
        <w:top w:val="none" w:sz="0" w:space="0" w:color="auto"/>
        <w:left w:val="none" w:sz="0" w:space="0" w:color="auto"/>
        <w:bottom w:val="none" w:sz="0" w:space="0" w:color="auto"/>
        <w:right w:val="none" w:sz="0" w:space="0" w:color="auto"/>
      </w:divBdr>
    </w:div>
    <w:div w:id="1481995353">
      <w:bodyDiv w:val="1"/>
      <w:marLeft w:val="0"/>
      <w:marRight w:val="0"/>
      <w:marTop w:val="0"/>
      <w:marBottom w:val="0"/>
      <w:divBdr>
        <w:top w:val="none" w:sz="0" w:space="0" w:color="auto"/>
        <w:left w:val="none" w:sz="0" w:space="0" w:color="auto"/>
        <w:bottom w:val="none" w:sz="0" w:space="0" w:color="auto"/>
        <w:right w:val="none" w:sz="0" w:space="0" w:color="auto"/>
      </w:divBdr>
    </w:div>
    <w:div w:id="1487014303">
      <w:bodyDiv w:val="1"/>
      <w:marLeft w:val="0"/>
      <w:marRight w:val="0"/>
      <w:marTop w:val="0"/>
      <w:marBottom w:val="0"/>
      <w:divBdr>
        <w:top w:val="none" w:sz="0" w:space="0" w:color="auto"/>
        <w:left w:val="none" w:sz="0" w:space="0" w:color="auto"/>
        <w:bottom w:val="none" w:sz="0" w:space="0" w:color="auto"/>
        <w:right w:val="none" w:sz="0" w:space="0" w:color="auto"/>
      </w:divBdr>
    </w:div>
    <w:div w:id="1487159852">
      <w:bodyDiv w:val="1"/>
      <w:marLeft w:val="0"/>
      <w:marRight w:val="0"/>
      <w:marTop w:val="0"/>
      <w:marBottom w:val="0"/>
      <w:divBdr>
        <w:top w:val="none" w:sz="0" w:space="0" w:color="auto"/>
        <w:left w:val="none" w:sz="0" w:space="0" w:color="auto"/>
        <w:bottom w:val="none" w:sz="0" w:space="0" w:color="auto"/>
        <w:right w:val="none" w:sz="0" w:space="0" w:color="auto"/>
      </w:divBdr>
    </w:div>
    <w:div w:id="1495872788">
      <w:bodyDiv w:val="1"/>
      <w:marLeft w:val="0"/>
      <w:marRight w:val="0"/>
      <w:marTop w:val="0"/>
      <w:marBottom w:val="0"/>
      <w:divBdr>
        <w:top w:val="none" w:sz="0" w:space="0" w:color="auto"/>
        <w:left w:val="none" w:sz="0" w:space="0" w:color="auto"/>
        <w:bottom w:val="none" w:sz="0" w:space="0" w:color="auto"/>
        <w:right w:val="none" w:sz="0" w:space="0" w:color="auto"/>
      </w:divBdr>
    </w:div>
    <w:div w:id="1510289099">
      <w:bodyDiv w:val="1"/>
      <w:marLeft w:val="0"/>
      <w:marRight w:val="0"/>
      <w:marTop w:val="0"/>
      <w:marBottom w:val="0"/>
      <w:divBdr>
        <w:top w:val="none" w:sz="0" w:space="0" w:color="auto"/>
        <w:left w:val="none" w:sz="0" w:space="0" w:color="auto"/>
        <w:bottom w:val="none" w:sz="0" w:space="0" w:color="auto"/>
        <w:right w:val="none" w:sz="0" w:space="0" w:color="auto"/>
      </w:divBdr>
    </w:div>
    <w:div w:id="1573585370">
      <w:bodyDiv w:val="1"/>
      <w:marLeft w:val="0"/>
      <w:marRight w:val="0"/>
      <w:marTop w:val="0"/>
      <w:marBottom w:val="0"/>
      <w:divBdr>
        <w:top w:val="none" w:sz="0" w:space="0" w:color="auto"/>
        <w:left w:val="none" w:sz="0" w:space="0" w:color="auto"/>
        <w:bottom w:val="none" w:sz="0" w:space="0" w:color="auto"/>
        <w:right w:val="none" w:sz="0" w:space="0" w:color="auto"/>
      </w:divBdr>
    </w:div>
    <w:div w:id="1592351566">
      <w:bodyDiv w:val="1"/>
      <w:marLeft w:val="0"/>
      <w:marRight w:val="0"/>
      <w:marTop w:val="0"/>
      <w:marBottom w:val="0"/>
      <w:divBdr>
        <w:top w:val="none" w:sz="0" w:space="0" w:color="auto"/>
        <w:left w:val="none" w:sz="0" w:space="0" w:color="auto"/>
        <w:bottom w:val="none" w:sz="0" w:space="0" w:color="auto"/>
        <w:right w:val="none" w:sz="0" w:space="0" w:color="auto"/>
      </w:divBdr>
    </w:div>
    <w:div w:id="1678187346">
      <w:bodyDiv w:val="1"/>
      <w:marLeft w:val="0"/>
      <w:marRight w:val="0"/>
      <w:marTop w:val="0"/>
      <w:marBottom w:val="0"/>
      <w:divBdr>
        <w:top w:val="none" w:sz="0" w:space="0" w:color="auto"/>
        <w:left w:val="none" w:sz="0" w:space="0" w:color="auto"/>
        <w:bottom w:val="none" w:sz="0" w:space="0" w:color="auto"/>
        <w:right w:val="none" w:sz="0" w:space="0" w:color="auto"/>
      </w:divBdr>
    </w:div>
    <w:div w:id="1682506394">
      <w:bodyDiv w:val="1"/>
      <w:marLeft w:val="0"/>
      <w:marRight w:val="0"/>
      <w:marTop w:val="0"/>
      <w:marBottom w:val="0"/>
      <w:divBdr>
        <w:top w:val="none" w:sz="0" w:space="0" w:color="auto"/>
        <w:left w:val="none" w:sz="0" w:space="0" w:color="auto"/>
        <w:bottom w:val="none" w:sz="0" w:space="0" w:color="auto"/>
        <w:right w:val="none" w:sz="0" w:space="0" w:color="auto"/>
      </w:divBdr>
    </w:div>
    <w:div w:id="1691447955">
      <w:bodyDiv w:val="1"/>
      <w:marLeft w:val="0"/>
      <w:marRight w:val="0"/>
      <w:marTop w:val="0"/>
      <w:marBottom w:val="0"/>
      <w:divBdr>
        <w:top w:val="none" w:sz="0" w:space="0" w:color="auto"/>
        <w:left w:val="none" w:sz="0" w:space="0" w:color="auto"/>
        <w:bottom w:val="none" w:sz="0" w:space="0" w:color="auto"/>
        <w:right w:val="none" w:sz="0" w:space="0" w:color="auto"/>
      </w:divBdr>
    </w:div>
    <w:div w:id="1698198716">
      <w:bodyDiv w:val="1"/>
      <w:marLeft w:val="0"/>
      <w:marRight w:val="0"/>
      <w:marTop w:val="0"/>
      <w:marBottom w:val="0"/>
      <w:divBdr>
        <w:top w:val="none" w:sz="0" w:space="0" w:color="auto"/>
        <w:left w:val="none" w:sz="0" w:space="0" w:color="auto"/>
        <w:bottom w:val="none" w:sz="0" w:space="0" w:color="auto"/>
        <w:right w:val="none" w:sz="0" w:space="0" w:color="auto"/>
      </w:divBdr>
      <w:divsChild>
        <w:div w:id="699162169">
          <w:marLeft w:val="0"/>
          <w:marRight w:val="0"/>
          <w:marTop w:val="0"/>
          <w:marBottom w:val="0"/>
          <w:divBdr>
            <w:top w:val="none" w:sz="0" w:space="0" w:color="auto"/>
            <w:left w:val="none" w:sz="0" w:space="0" w:color="auto"/>
            <w:bottom w:val="none" w:sz="0" w:space="0" w:color="auto"/>
            <w:right w:val="none" w:sz="0" w:space="0" w:color="auto"/>
          </w:divBdr>
          <w:divsChild>
            <w:div w:id="454296681">
              <w:marLeft w:val="0"/>
              <w:marRight w:val="0"/>
              <w:marTop w:val="0"/>
              <w:marBottom w:val="0"/>
              <w:divBdr>
                <w:top w:val="none" w:sz="0" w:space="0" w:color="auto"/>
                <w:left w:val="none" w:sz="0" w:space="0" w:color="auto"/>
                <w:bottom w:val="none" w:sz="0" w:space="0" w:color="auto"/>
                <w:right w:val="none" w:sz="0" w:space="0" w:color="auto"/>
              </w:divBdr>
              <w:divsChild>
                <w:div w:id="1456943285">
                  <w:marLeft w:val="0"/>
                  <w:marRight w:val="0"/>
                  <w:marTop w:val="0"/>
                  <w:marBottom w:val="0"/>
                  <w:divBdr>
                    <w:top w:val="none" w:sz="0" w:space="0" w:color="auto"/>
                    <w:left w:val="none" w:sz="0" w:space="0" w:color="auto"/>
                    <w:bottom w:val="none" w:sz="0" w:space="0" w:color="auto"/>
                    <w:right w:val="none" w:sz="0" w:space="0" w:color="auto"/>
                  </w:divBdr>
                  <w:divsChild>
                    <w:div w:id="447091292">
                      <w:marLeft w:val="0"/>
                      <w:marRight w:val="0"/>
                      <w:marTop w:val="0"/>
                      <w:marBottom w:val="0"/>
                      <w:divBdr>
                        <w:top w:val="none" w:sz="0" w:space="0" w:color="auto"/>
                        <w:left w:val="none" w:sz="0" w:space="0" w:color="auto"/>
                        <w:bottom w:val="none" w:sz="0" w:space="0" w:color="auto"/>
                        <w:right w:val="none" w:sz="0" w:space="0" w:color="auto"/>
                      </w:divBdr>
                      <w:divsChild>
                        <w:div w:id="8844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031520">
      <w:bodyDiv w:val="1"/>
      <w:marLeft w:val="0"/>
      <w:marRight w:val="0"/>
      <w:marTop w:val="0"/>
      <w:marBottom w:val="0"/>
      <w:divBdr>
        <w:top w:val="none" w:sz="0" w:space="0" w:color="auto"/>
        <w:left w:val="none" w:sz="0" w:space="0" w:color="auto"/>
        <w:bottom w:val="none" w:sz="0" w:space="0" w:color="auto"/>
        <w:right w:val="none" w:sz="0" w:space="0" w:color="auto"/>
      </w:divBdr>
      <w:divsChild>
        <w:div w:id="1407340869">
          <w:marLeft w:val="0"/>
          <w:marRight w:val="0"/>
          <w:marTop w:val="0"/>
          <w:marBottom w:val="0"/>
          <w:divBdr>
            <w:top w:val="none" w:sz="0" w:space="0" w:color="auto"/>
            <w:left w:val="none" w:sz="0" w:space="0" w:color="auto"/>
            <w:bottom w:val="none" w:sz="0" w:space="0" w:color="auto"/>
            <w:right w:val="none" w:sz="0" w:space="0" w:color="auto"/>
          </w:divBdr>
          <w:divsChild>
            <w:div w:id="103547803">
              <w:marLeft w:val="0"/>
              <w:marRight w:val="0"/>
              <w:marTop w:val="0"/>
              <w:marBottom w:val="0"/>
              <w:divBdr>
                <w:top w:val="none" w:sz="0" w:space="0" w:color="auto"/>
                <w:left w:val="none" w:sz="0" w:space="0" w:color="auto"/>
                <w:bottom w:val="none" w:sz="0" w:space="0" w:color="auto"/>
                <w:right w:val="none" w:sz="0" w:space="0" w:color="auto"/>
              </w:divBdr>
              <w:divsChild>
                <w:div w:id="1978336827">
                  <w:marLeft w:val="0"/>
                  <w:marRight w:val="0"/>
                  <w:marTop w:val="0"/>
                  <w:marBottom w:val="0"/>
                  <w:divBdr>
                    <w:top w:val="none" w:sz="0" w:space="0" w:color="auto"/>
                    <w:left w:val="none" w:sz="0" w:space="0" w:color="auto"/>
                    <w:bottom w:val="none" w:sz="0" w:space="0" w:color="auto"/>
                    <w:right w:val="none" w:sz="0" w:space="0" w:color="auto"/>
                  </w:divBdr>
                  <w:divsChild>
                    <w:div w:id="1812356906">
                      <w:marLeft w:val="0"/>
                      <w:marRight w:val="0"/>
                      <w:marTop w:val="0"/>
                      <w:marBottom w:val="0"/>
                      <w:divBdr>
                        <w:top w:val="none" w:sz="0" w:space="0" w:color="auto"/>
                        <w:left w:val="none" w:sz="0" w:space="0" w:color="auto"/>
                        <w:bottom w:val="none" w:sz="0" w:space="0" w:color="auto"/>
                        <w:right w:val="none" w:sz="0" w:space="0" w:color="auto"/>
                      </w:divBdr>
                      <w:divsChild>
                        <w:div w:id="480804515">
                          <w:marLeft w:val="0"/>
                          <w:marRight w:val="0"/>
                          <w:marTop w:val="0"/>
                          <w:marBottom w:val="0"/>
                          <w:divBdr>
                            <w:top w:val="none" w:sz="0" w:space="0" w:color="auto"/>
                            <w:left w:val="none" w:sz="0" w:space="0" w:color="auto"/>
                            <w:bottom w:val="none" w:sz="0" w:space="0" w:color="auto"/>
                            <w:right w:val="none" w:sz="0" w:space="0" w:color="auto"/>
                          </w:divBdr>
                          <w:divsChild>
                            <w:div w:id="922879217">
                              <w:marLeft w:val="0"/>
                              <w:marRight w:val="0"/>
                              <w:marTop w:val="0"/>
                              <w:marBottom w:val="0"/>
                              <w:divBdr>
                                <w:top w:val="none" w:sz="0" w:space="0" w:color="auto"/>
                                <w:left w:val="none" w:sz="0" w:space="0" w:color="auto"/>
                                <w:bottom w:val="none" w:sz="0" w:space="0" w:color="auto"/>
                                <w:right w:val="none" w:sz="0" w:space="0" w:color="auto"/>
                              </w:divBdr>
                              <w:divsChild>
                                <w:div w:id="1448551014">
                                  <w:marLeft w:val="0"/>
                                  <w:marRight w:val="0"/>
                                  <w:marTop w:val="0"/>
                                  <w:marBottom w:val="0"/>
                                  <w:divBdr>
                                    <w:top w:val="none" w:sz="0" w:space="0" w:color="auto"/>
                                    <w:left w:val="none" w:sz="0" w:space="0" w:color="auto"/>
                                    <w:bottom w:val="none" w:sz="0" w:space="0" w:color="auto"/>
                                    <w:right w:val="none" w:sz="0" w:space="0" w:color="auto"/>
                                  </w:divBdr>
                                  <w:divsChild>
                                    <w:div w:id="16948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25755">
      <w:bodyDiv w:val="1"/>
      <w:marLeft w:val="0"/>
      <w:marRight w:val="0"/>
      <w:marTop w:val="0"/>
      <w:marBottom w:val="0"/>
      <w:divBdr>
        <w:top w:val="none" w:sz="0" w:space="0" w:color="auto"/>
        <w:left w:val="none" w:sz="0" w:space="0" w:color="auto"/>
        <w:bottom w:val="none" w:sz="0" w:space="0" w:color="auto"/>
        <w:right w:val="none" w:sz="0" w:space="0" w:color="auto"/>
      </w:divBdr>
    </w:div>
    <w:div w:id="1770193424">
      <w:bodyDiv w:val="1"/>
      <w:marLeft w:val="0"/>
      <w:marRight w:val="0"/>
      <w:marTop w:val="0"/>
      <w:marBottom w:val="0"/>
      <w:divBdr>
        <w:top w:val="none" w:sz="0" w:space="0" w:color="auto"/>
        <w:left w:val="none" w:sz="0" w:space="0" w:color="auto"/>
        <w:bottom w:val="none" w:sz="0" w:space="0" w:color="auto"/>
        <w:right w:val="none" w:sz="0" w:space="0" w:color="auto"/>
      </w:divBdr>
    </w:div>
    <w:div w:id="1805584345">
      <w:bodyDiv w:val="1"/>
      <w:marLeft w:val="0"/>
      <w:marRight w:val="0"/>
      <w:marTop w:val="0"/>
      <w:marBottom w:val="0"/>
      <w:divBdr>
        <w:top w:val="none" w:sz="0" w:space="0" w:color="auto"/>
        <w:left w:val="none" w:sz="0" w:space="0" w:color="auto"/>
        <w:bottom w:val="none" w:sz="0" w:space="0" w:color="auto"/>
        <w:right w:val="none" w:sz="0" w:space="0" w:color="auto"/>
      </w:divBdr>
    </w:div>
    <w:div w:id="1808163132">
      <w:bodyDiv w:val="1"/>
      <w:marLeft w:val="0"/>
      <w:marRight w:val="0"/>
      <w:marTop w:val="0"/>
      <w:marBottom w:val="0"/>
      <w:divBdr>
        <w:top w:val="none" w:sz="0" w:space="0" w:color="auto"/>
        <w:left w:val="none" w:sz="0" w:space="0" w:color="auto"/>
        <w:bottom w:val="none" w:sz="0" w:space="0" w:color="auto"/>
        <w:right w:val="none" w:sz="0" w:space="0" w:color="auto"/>
      </w:divBdr>
    </w:div>
    <w:div w:id="1819494347">
      <w:bodyDiv w:val="1"/>
      <w:marLeft w:val="0"/>
      <w:marRight w:val="0"/>
      <w:marTop w:val="0"/>
      <w:marBottom w:val="0"/>
      <w:divBdr>
        <w:top w:val="none" w:sz="0" w:space="0" w:color="auto"/>
        <w:left w:val="none" w:sz="0" w:space="0" w:color="auto"/>
        <w:bottom w:val="none" w:sz="0" w:space="0" w:color="auto"/>
        <w:right w:val="none" w:sz="0" w:space="0" w:color="auto"/>
      </w:divBdr>
    </w:div>
    <w:div w:id="1820265068">
      <w:bodyDiv w:val="1"/>
      <w:marLeft w:val="0"/>
      <w:marRight w:val="0"/>
      <w:marTop w:val="0"/>
      <w:marBottom w:val="0"/>
      <w:divBdr>
        <w:top w:val="none" w:sz="0" w:space="0" w:color="auto"/>
        <w:left w:val="none" w:sz="0" w:space="0" w:color="auto"/>
        <w:bottom w:val="none" w:sz="0" w:space="0" w:color="auto"/>
        <w:right w:val="none" w:sz="0" w:space="0" w:color="auto"/>
      </w:divBdr>
    </w:div>
    <w:div w:id="1823738935">
      <w:bodyDiv w:val="1"/>
      <w:marLeft w:val="0"/>
      <w:marRight w:val="0"/>
      <w:marTop w:val="0"/>
      <w:marBottom w:val="0"/>
      <w:divBdr>
        <w:top w:val="none" w:sz="0" w:space="0" w:color="auto"/>
        <w:left w:val="none" w:sz="0" w:space="0" w:color="auto"/>
        <w:bottom w:val="none" w:sz="0" w:space="0" w:color="auto"/>
        <w:right w:val="none" w:sz="0" w:space="0" w:color="auto"/>
      </w:divBdr>
    </w:div>
    <w:div w:id="1835343325">
      <w:bodyDiv w:val="1"/>
      <w:marLeft w:val="0"/>
      <w:marRight w:val="0"/>
      <w:marTop w:val="0"/>
      <w:marBottom w:val="0"/>
      <w:divBdr>
        <w:top w:val="none" w:sz="0" w:space="0" w:color="auto"/>
        <w:left w:val="none" w:sz="0" w:space="0" w:color="auto"/>
        <w:bottom w:val="none" w:sz="0" w:space="0" w:color="auto"/>
        <w:right w:val="none" w:sz="0" w:space="0" w:color="auto"/>
      </w:divBdr>
    </w:div>
    <w:div w:id="1847280947">
      <w:bodyDiv w:val="1"/>
      <w:marLeft w:val="0"/>
      <w:marRight w:val="0"/>
      <w:marTop w:val="0"/>
      <w:marBottom w:val="0"/>
      <w:divBdr>
        <w:top w:val="none" w:sz="0" w:space="0" w:color="auto"/>
        <w:left w:val="none" w:sz="0" w:space="0" w:color="auto"/>
        <w:bottom w:val="none" w:sz="0" w:space="0" w:color="auto"/>
        <w:right w:val="none" w:sz="0" w:space="0" w:color="auto"/>
      </w:divBdr>
    </w:div>
    <w:div w:id="1859656370">
      <w:bodyDiv w:val="1"/>
      <w:marLeft w:val="0"/>
      <w:marRight w:val="0"/>
      <w:marTop w:val="0"/>
      <w:marBottom w:val="0"/>
      <w:divBdr>
        <w:top w:val="none" w:sz="0" w:space="0" w:color="auto"/>
        <w:left w:val="none" w:sz="0" w:space="0" w:color="auto"/>
        <w:bottom w:val="none" w:sz="0" w:space="0" w:color="auto"/>
        <w:right w:val="none" w:sz="0" w:space="0" w:color="auto"/>
      </w:divBdr>
    </w:div>
    <w:div w:id="1859660772">
      <w:bodyDiv w:val="1"/>
      <w:marLeft w:val="0"/>
      <w:marRight w:val="0"/>
      <w:marTop w:val="0"/>
      <w:marBottom w:val="0"/>
      <w:divBdr>
        <w:top w:val="none" w:sz="0" w:space="0" w:color="auto"/>
        <w:left w:val="none" w:sz="0" w:space="0" w:color="auto"/>
        <w:bottom w:val="none" w:sz="0" w:space="0" w:color="auto"/>
        <w:right w:val="none" w:sz="0" w:space="0" w:color="auto"/>
      </w:divBdr>
    </w:div>
    <w:div w:id="1878081511">
      <w:bodyDiv w:val="1"/>
      <w:marLeft w:val="0"/>
      <w:marRight w:val="0"/>
      <w:marTop w:val="0"/>
      <w:marBottom w:val="0"/>
      <w:divBdr>
        <w:top w:val="none" w:sz="0" w:space="0" w:color="auto"/>
        <w:left w:val="none" w:sz="0" w:space="0" w:color="auto"/>
        <w:bottom w:val="none" w:sz="0" w:space="0" w:color="auto"/>
        <w:right w:val="none" w:sz="0" w:space="0" w:color="auto"/>
      </w:divBdr>
    </w:div>
    <w:div w:id="1906379631">
      <w:bodyDiv w:val="1"/>
      <w:marLeft w:val="0"/>
      <w:marRight w:val="0"/>
      <w:marTop w:val="0"/>
      <w:marBottom w:val="0"/>
      <w:divBdr>
        <w:top w:val="none" w:sz="0" w:space="0" w:color="auto"/>
        <w:left w:val="none" w:sz="0" w:space="0" w:color="auto"/>
        <w:bottom w:val="none" w:sz="0" w:space="0" w:color="auto"/>
        <w:right w:val="none" w:sz="0" w:space="0" w:color="auto"/>
      </w:divBdr>
    </w:div>
    <w:div w:id="1908684958">
      <w:bodyDiv w:val="1"/>
      <w:marLeft w:val="0"/>
      <w:marRight w:val="0"/>
      <w:marTop w:val="0"/>
      <w:marBottom w:val="0"/>
      <w:divBdr>
        <w:top w:val="none" w:sz="0" w:space="0" w:color="auto"/>
        <w:left w:val="none" w:sz="0" w:space="0" w:color="auto"/>
        <w:bottom w:val="none" w:sz="0" w:space="0" w:color="auto"/>
        <w:right w:val="none" w:sz="0" w:space="0" w:color="auto"/>
      </w:divBdr>
    </w:div>
    <w:div w:id="1909489544">
      <w:bodyDiv w:val="1"/>
      <w:marLeft w:val="0"/>
      <w:marRight w:val="0"/>
      <w:marTop w:val="0"/>
      <w:marBottom w:val="0"/>
      <w:divBdr>
        <w:top w:val="none" w:sz="0" w:space="0" w:color="auto"/>
        <w:left w:val="none" w:sz="0" w:space="0" w:color="auto"/>
        <w:bottom w:val="none" w:sz="0" w:space="0" w:color="auto"/>
        <w:right w:val="none" w:sz="0" w:space="0" w:color="auto"/>
      </w:divBdr>
    </w:div>
    <w:div w:id="1947150231">
      <w:bodyDiv w:val="1"/>
      <w:marLeft w:val="0"/>
      <w:marRight w:val="0"/>
      <w:marTop w:val="0"/>
      <w:marBottom w:val="0"/>
      <w:divBdr>
        <w:top w:val="none" w:sz="0" w:space="0" w:color="auto"/>
        <w:left w:val="none" w:sz="0" w:space="0" w:color="auto"/>
        <w:bottom w:val="none" w:sz="0" w:space="0" w:color="auto"/>
        <w:right w:val="none" w:sz="0" w:space="0" w:color="auto"/>
      </w:divBdr>
      <w:divsChild>
        <w:div w:id="1312103385">
          <w:marLeft w:val="0"/>
          <w:marRight w:val="0"/>
          <w:marTop w:val="0"/>
          <w:marBottom w:val="0"/>
          <w:divBdr>
            <w:top w:val="none" w:sz="0" w:space="0" w:color="auto"/>
            <w:left w:val="none" w:sz="0" w:space="0" w:color="auto"/>
            <w:bottom w:val="none" w:sz="0" w:space="0" w:color="auto"/>
            <w:right w:val="none" w:sz="0" w:space="0" w:color="auto"/>
          </w:divBdr>
          <w:divsChild>
            <w:div w:id="187959162">
              <w:marLeft w:val="0"/>
              <w:marRight w:val="0"/>
              <w:marTop w:val="0"/>
              <w:marBottom w:val="0"/>
              <w:divBdr>
                <w:top w:val="none" w:sz="0" w:space="0" w:color="auto"/>
                <w:left w:val="none" w:sz="0" w:space="0" w:color="auto"/>
                <w:bottom w:val="none" w:sz="0" w:space="0" w:color="auto"/>
                <w:right w:val="none" w:sz="0" w:space="0" w:color="auto"/>
              </w:divBdr>
              <w:divsChild>
                <w:div w:id="12928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68803">
      <w:bodyDiv w:val="1"/>
      <w:marLeft w:val="0"/>
      <w:marRight w:val="0"/>
      <w:marTop w:val="0"/>
      <w:marBottom w:val="0"/>
      <w:divBdr>
        <w:top w:val="none" w:sz="0" w:space="0" w:color="auto"/>
        <w:left w:val="none" w:sz="0" w:space="0" w:color="auto"/>
        <w:bottom w:val="none" w:sz="0" w:space="0" w:color="auto"/>
        <w:right w:val="none" w:sz="0" w:space="0" w:color="auto"/>
      </w:divBdr>
    </w:div>
    <w:div w:id="1971012253">
      <w:bodyDiv w:val="1"/>
      <w:marLeft w:val="0"/>
      <w:marRight w:val="0"/>
      <w:marTop w:val="0"/>
      <w:marBottom w:val="0"/>
      <w:divBdr>
        <w:top w:val="none" w:sz="0" w:space="0" w:color="auto"/>
        <w:left w:val="none" w:sz="0" w:space="0" w:color="auto"/>
        <w:bottom w:val="none" w:sz="0" w:space="0" w:color="auto"/>
        <w:right w:val="none" w:sz="0" w:space="0" w:color="auto"/>
      </w:divBdr>
    </w:div>
    <w:div w:id="1974361828">
      <w:bodyDiv w:val="1"/>
      <w:marLeft w:val="0"/>
      <w:marRight w:val="0"/>
      <w:marTop w:val="0"/>
      <w:marBottom w:val="0"/>
      <w:divBdr>
        <w:top w:val="none" w:sz="0" w:space="0" w:color="auto"/>
        <w:left w:val="none" w:sz="0" w:space="0" w:color="auto"/>
        <w:bottom w:val="none" w:sz="0" w:space="0" w:color="auto"/>
        <w:right w:val="none" w:sz="0" w:space="0" w:color="auto"/>
      </w:divBdr>
    </w:div>
    <w:div w:id="1977641833">
      <w:bodyDiv w:val="1"/>
      <w:marLeft w:val="0"/>
      <w:marRight w:val="0"/>
      <w:marTop w:val="0"/>
      <w:marBottom w:val="0"/>
      <w:divBdr>
        <w:top w:val="none" w:sz="0" w:space="0" w:color="auto"/>
        <w:left w:val="none" w:sz="0" w:space="0" w:color="auto"/>
        <w:bottom w:val="none" w:sz="0" w:space="0" w:color="auto"/>
        <w:right w:val="none" w:sz="0" w:space="0" w:color="auto"/>
      </w:divBdr>
      <w:divsChild>
        <w:div w:id="238179337">
          <w:marLeft w:val="0"/>
          <w:marRight w:val="0"/>
          <w:marTop w:val="0"/>
          <w:marBottom w:val="0"/>
          <w:divBdr>
            <w:top w:val="none" w:sz="0" w:space="0" w:color="auto"/>
            <w:left w:val="none" w:sz="0" w:space="0" w:color="auto"/>
            <w:bottom w:val="none" w:sz="0" w:space="0" w:color="auto"/>
            <w:right w:val="none" w:sz="0" w:space="0" w:color="auto"/>
          </w:divBdr>
          <w:divsChild>
            <w:div w:id="1506287552">
              <w:marLeft w:val="0"/>
              <w:marRight w:val="0"/>
              <w:marTop w:val="0"/>
              <w:marBottom w:val="0"/>
              <w:divBdr>
                <w:top w:val="none" w:sz="0" w:space="0" w:color="auto"/>
                <w:left w:val="single" w:sz="4" w:space="0" w:color="D3D3D3"/>
                <w:bottom w:val="single" w:sz="4" w:space="31" w:color="D3D3D3"/>
                <w:right w:val="single" w:sz="4" w:space="0" w:color="D3D3D3"/>
              </w:divBdr>
              <w:divsChild>
                <w:div w:id="1703893741">
                  <w:marLeft w:val="115"/>
                  <w:marRight w:val="115"/>
                  <w:marTop w:val="0"/>
                  <w:marBottom w:val="0"/>
                  <w:divBdr>
                    <w:top w:val="none" w:sz="0" w:space="0" w:color="auto"/>
                    <w:left w:val="none" w:sz="0" w:space="0" w:color="auto"/>
                    <w:bottom w:val="none" w:sz="0" w:space="0" w:color="auto"/>
                    <w:right w:val="none" w:sz="0" w:space="0" w:color="auto"/>
                  </w:divBdr>
                  <w:divsChild>
                    <w:div w:id="18935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571775">
      <w:bodyDiv w:val="1"/>
      <w:marLeft w:val="0"/>
      <w:marRight w:val="0"/>
      <w:marTop w:val="0"/>
      <w:marBottom w:val="0"/>
      <w:divBdr>
        <w:top w:val="none" w:sz="0" w:space="0" w:color="auto"/>
        <w:left w:val="none" w:sz="0" w:space="0" w:color="auto"/>
        <w:bottom w:val="none" w:sz="0" w:space="0" w:color="auto"/>
        <w:right w:val="none" w:sz="0" w:space="0" w:color="auto"/>
      </w:divBdr>
      <w:divsChild>
        <w:div w:id="1643463120">
          <w:marLeft w:val="0"/>
          <w:marRight w:val="0"/>
          <w:marTop w:val="0"/>
          <w:marBottom w:val="0"/>
          <w:divBdr>
            <w:top w:val="none" w:sz="0" w:space="0" w:color="auto"/>
            <w:left w:val="none" w:sz="0" w:space="0" w:color="auto"/>
            <w:bottom w:val="none" w:sz="0" w:space="0" w:color="auto"/>
            <w:right w:val="none" w:sz="0" w:space="0" w:color="auto"/>
          </w:divBdr>
          <w:divsChild>
            <w:div w:id="395128014">
              <w:marLeft w:val="0"/>
              <w:marRight w:val="0"/>
              <w:marTop w:val="0"/>
              <w:marBottom w:val="0"/>
              <w:divBdr>
                <w:top w:val="none" w:sz="0" w:space="0" w:color="auto"/>
                <w:left w:val="none" w:sz="0" w:space="0" w:color="auto"/>
                <w:bottom w:val="none" w:sz="0" w:space="0" w:color="auto"/>
                <w:right w:val="none" w:sz="0" w:space="0" w:color="auto"/>
              </w:divBdr>
              <w:divsChild>
                <w:div w:id="16445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01479">
      <w:bodyDiv w:val="1"/>
      <w:marLeft w:val="0"/>
      <w:marRight w:val="0"/>
      <w:marTop w:val="0"/>
      <w:marBottom w:val="0"/>
      <w:divBdr>
        <w:top w:val="none" w:sz="0" w:space="0" w:color="auto"/>
        <w:left w:val="none" w:sz="0" w:space="0" w:color="auto"/>
        <w:bottom w:val="none" w:sz="0" w:space="0" w:color="auto"/>
        <w:right w:val="none" w:sz="0" w:space="0" w:color="auto"/>
      </w:divBdr>
    </w:div>
    <w:div w:id="2024478551">
      <w:bodyDiv w:val="1"/>
      <w:marLeft w:val="0"/>
      <w:marRight w:val="0"/>
      <w:marTop w:val="0"/>
      <w:marBottom w:val="0"/>
      <w:divBdr>
        <w:top w:val="none" w:sz="0" w:space="0" w:color="auto"/>
        <w:left w:val="none" w:sz="0" w:space="0" w:color="auto"/>
        <w:bottom w:val="none" w:sz="0" w:space="0" w:color="auto"/>
        <w:right w:val="none" w:sz="0" w:space="0" w:color="auto"/>
      </w:divBdr>
    </w:div>
    <w:div w:id="2086873024">
      <w:bodyDiv w:val="1"/>
      <w:marLeft w:val="0"/>
      <w:marRight w:val="0"/>
      <w:marTop w:val="0"/>
      <w:marBottom w:val="0"/>
      <w:divBdr>
        <w:top w:val="none" w:sz="0" w:space="0" w:color="auto"/>
        <w:left w:val="none" w:sz="0" w:space="0" w:color="auto"/>
        <w:bottom w:val="none" w:sz="0" w:space="0" w:color="auto"/>
        <w:right w:val="none" w:sz="0" w:space="0" w:color="auto"/>
      </w:divBdr>
    </w:div>
    <w:div w:id="2105108283">
      <w:bodyDiv w:val="1"/>
      <w:marLeft w:val="0"/>
      <w:marRight w:val="0"/>
      <w:marTop w:val="0"/>
      <w:marBottom w:val="0"/>
      <w:divBdr>
        <w:top w:val="none" w:sz="0" w:space="0" w:color="auto"/>
        <w:left w:val="none" w:sz="0" w:space="0" w:color="auto"/>
        <w:bottom w:val="none" w:sz="0" w:space="0" w:color="auto"/>
        <w:right w:val="none" w:sz="0" w:space="0" w:color="auto"/>
      </w:divBdr>
    </w:div>
    <w:div w:id="213701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10.xml"/><Relationship Id="rId21" Type="http://schemas.openxmlformats.org/officeDocument/2006/relationships/header" Target="header6.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2.xml"/><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3.png"/><Relationship Id="rId76"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header" Target="header9.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13.xml"/><Relationship Id="rId74" Type="http://schemas.openxmlformats.org/officeDocument/2006/relationships/header" Target="header18.xml"/><Relationship Id="rId79"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eader" Target="header17.xml"/><Relationship Id="rId78" Type="http://schemas.openxmlformats.org/officeDocument/2006/relationships/header" Target="header22.xml"/><Relationship Id="rId81"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header" Target="header21.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header" Target="header16.xml"/><Relationship Id="rId80" Type="http://schemas.openxmlformats.org/officeDocument/2006/relationships/header" Target="header2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header" Target="header14.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header" Target="header1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8.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11.xml"/><Relationship Id="rId57" Type="http://schemas.openxmlformats.org/officeDocument/2006/relationships/image" Target="media/image4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www.readingtogether.net.nz/AboutUs/OurWork.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1" Type="http://schemas.openxmlformats.org/officeDocument/2006/relationships/image" Target="media/image36.png"/></Relationships>
</file>

<file path=word/_rels/header12.xml.rels><?xml version="1.0" encoding="UTF-8" standalone="yes"?>
<Relationships xmlns="http://schemas.openxmlformats.org/package/2006/relationships"><Relationship Id="rId1" Type="http://schemas.openxmlformats.org/officeDocument/2006/relationships/image" Target="media/image36.png"/></Relationships>
</file>

<file path=word/_rels/header13.xml.rels><?xml version="1.0" encoding="UTF-8" standalone="yes"?>
<Relationships xmlns="http://schemas.openxmlformats.org/package/2006/relationships"><Relationship Id="rId1" Type="http://schemas.openxmlformats.org/officeDocument/2006/relationships/image" Target="media/image52.png"/></Relationships>
</file>

<file path=word/_rels/header14.xml.rels><?xml version="1.0" encoding="UTF-8" standalone="yes"?>
<Relationships xmlns="http://schemas.openxmlformats.org/package/2006/relationships"><Relationship Id="rId1" Type="http://schemas.openxmlformats.org/officeDocument/2006/relationships/image" Target="media/image52.png"/></Relationships>
</file>

<file path=word/_rels/header15.xml.rels><?xml version="1.0" encoding="UTF-8" standalone="yes"?>
<Relationships xmlns="http://schemas.openxmlformats.org/package/2006/relationships"><Relationship Id="rId1" Type="http://schemas.openxmlformats.org/officeDocument/2006/relationships/image" Target="media/image56.png"/></Relationships>
</file>

<file path=word/_rels/header16.xml.rels><?xml version="1.0" encoding="UTF-8" standalone="yes"?>
<Relationships xmlns="http://schemas.openxmlformats.org/package/2006/relationships"><Relationship Id="rId1" Type="http://schemas.openxmlformats.org/officeDocument/2006/relationships/image" Target="media/image56.png"/></Relationships>
</file>

<file path=word/_rels/header17.xml.rels><?xml version="1.0" encoding="UTF-8" standalone="yes"?>
<Relationships xmlns="http://schemas.openxmlformats.org/package/2006/relationships"><Relationship Id="rId1" Type="http://schemas.openxmlformats.org/officeDocument/2006/relationships/image" Target="media/image57.png"/></Relationships>
</file>

<file path=word/_rels/header18.xml.rels><?xml version="1.0" encoding="UTF-8" standalone="yes"?>
<Relationships xmlns="http://schemas.openxmlformats.org/package/2006/relationships"><Relationship Id="rId1" Type="http://schemas.openxmlformats.org/officeDocument/2006/relationships/image" Target="media/image57.png"/></Relationships>
</file>

<file path=word/_rels/header19.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59.png"/></Relationships>
</file>

<file path=word/_rels/header21.xml.rels><?xml version="1.0" encoding="UTF-8" standalone="yes"?>
<Relationships xmlns="http://schemas.openxmlformats.org/package/2006/relationships"><Relationship Id="rId1" Type="http://schemas.openxmlformats.org/officeDocument/2006/relationships/image" Target="media/image60.png"/></Relationships>
</file>

<file path=word/_rels/header22.xml.rels><?xml version="1.0" encoding="UTF-8" standalone="yes"?>
<Relationships xmlns="http://schemas.openxmlformats.org/package/2006/relationships"><Relationship Id="rId1" Type="http://schemas.openxmlformats.org/officeDocument/2006/relationships/image" Target="media/image60.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F44EB-14A3-4D1E-B494-67B509027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38895</Words>
  <Characters>223667</Characters>
  <Application>Microsoft Office Word</Application>
  <DocSecurity>0</DocSecurity>
  <Lines>1863</Lines>
  <Paragraphs>524</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262038</CharactersWithSpaces>
  <SharedDoc>false</SharedDoc>
  <HLinks>
    <vt:vector size="594" baseType="variant">
      <vt:variant>
        <vt:i4>6291559</vt:i4>
      </vt:variant>
      <vt:variant>
        <vt:i4>579</vt:i4>
      </vt:variant>
      <vt:variant>
        <vt:i4>0</vt:i4>
      </vt:variant>
      <vt:variant>
        <vt:i4>5</vt:i4>
      </vt:variant>
      <vt:variant>
        <vt:lpwstr>http://oneresponse.info/GlobalClusters/Education/publicdocuments/PDNA Guide - Assessment Guidance for Education.pdf</vt:lpwstr>
      </vt:variant>
      <vt:variant>
        <vt:lpwstr/>
      </vt:variant>
      <vt:variant>
        <vt:i4>5111814</vt:i4>
      </vt:variant>
      <vt:variant>
        <vt:i4>576</vt:i4>
      </vt:variant>
      <vt:variant>
        <vt:i4>0</vt:i4>
      </vt:variant>
      <vt:variant>
        <vt:i4>5</vt:i4>
      </vt:variant>
      <vt:variant>
        <vt:lpwstr>http://www.nzqa.govt.nz/about-us/publications/newsletters-and-circulars/secqual/course-endorsement-and-christchurch-schools/</vt:lpwstr>
      </vt:variant>
      <vt:variant>
        <vt:lpwstr/>
      </vt:variant>
      <vt:variant>
        <vt:i4>7864360</vt:i4>
      </vt:variant>
      <vt:variant>
        <vt:i4>573</vt:i4>
      </vt:variant>
      <vt:variant>
        <vt:i4>0</vt:i4>
      </vt:variant>
      <vt:variant>
        <vt:i4>5</vt:i4>
      </vt:variant>
      <vt:variant>
        <vt:lpwstr>http://www.nao.org.uk/</vt:lpwstr>
      </vt:variant>
      <vt:variant>
        <vt:lpwstr/>
      </vt:variant>
      <vt:variant>
        <vt:i4>7536752</vt:i4>
      </vt:variant>
      <vt:variant>
        <vt:i4>570</vt:i4>
      </vt:variant>
      <vt:variant>
        <vt:i4>0</vt:i4>
      </vt:variant>
      <vt:variant>
        <vt:i4>5</vt:i4>
      </vt:variant>
      <vt:variant>
        <vt:lpwstr>http://www.minedu.govt.nz/theMinistry/PolicyAndStrategy/TertiaryEducationStrategy.aspx</vt:lpwstr>
      </vt:variant>
      <vt:variant>
        <vt:lpwstr/>
      </vt:variant>
      <vt:variant>
        <vt:i4>4325471</vt:i4>
      </vt:variant>
      <vt:variant>
        <vt:i4>567</vt:i4>
      </vt:variant>
      <vt:variant>
        <vt:i4>0</vt:i4>
      </vt:variant>
      <vt:variant>
        <vt:i4>5</vt:i4>
      </vt:variant>
      <vt:variant>
        <vt:lpwstr>http://www.law.ed.ac.uk/</vt:lpwstr>
      </vt:variant>
      <vt:variant>
        <vt:lpwstr/>
      </vt:variant>
      <vt:variant>
        <vt:i4>1376305</vt:i4>
      </vt:variant>
      <vt:variant>
        <vt:i4>560</vt:i4>
      </vt:variant>
      <vt:variant>
        <vt:i4>0</vt:i4>
      </vt:variant>
      <vt:variant>
        <vt:i4>5</vt:i4>
      </vt:variant>
      <vt:variant>
        <vt:lpwstr/>
      </vt:variant>
      <vt:variant>
        <vt:lpwstr>_Toc304450364</vt:lpwstr>
      </vt:variant>
      <vt:variant>
        <vt:i4>1376305</vt:i4>
      </vt:variant>
      <vt:variant>
        <vt:i4>554</vt:i4>
      </vt:variant>
      <vt:variant>
        <vt:i4>0</vt:i4>
      </vt:variant>
      <vt:variant>
        <vt:i4>5</vt:i4>
      </vt:variant>
      <vt:variant>
        <vt:lpwstr/>
      </vt:variant>
      <vt:variant>
        <vt:lpwstr>_Toc304450363</vt:lpwstr>
      </vt:variant>
      <vt:variant>
        <vt:i4>1376305</vt:i4>
      </vt:variant>
      <vt:variant>
        <vt:i4>548</vt:i4>
      </vt:variant>
      <vt:variant>
        <vt:i4>0</vt:i4>
      </vt:variant>
      <vt:variant>
        <vt:i4>5</vt:i4>
      </vt:variant>
      <vt:variant>
        <vt:lpwstr/>
      </vt:variant>
      <vt:variant>
        <vt:lpwstr>_Toc304450362</vt:lpwstr>
      </vt:variant>
      <vt:variant>
        <vt:i4>1376305</vt:i4>
      </vt:variant>
      <vt:variant>
        <vt:i4>542</vt:i4>
      </vt:variant>
      <vt:variant>
        <vt:i4>0</vt:i4>
      </vt:variant>
      <vt:variant>
        <vt:i4>5</vt:i4>
      </vt:variant>
      <vt:variant>
        <vt:lpwstr/>
      </vt:variant>
      <vt:variant>
        <vt:lpwstr>_Toc304450361</vt:lpwstr>
      </vt:variant>
      <vt:variant>
        <vt:i4>1376305</vt:i4>
      </vt:variant>
      <vt:variant>
        <vt:i4>536</vt:i4>
      </vt:variant>
      <vt:variant>
        <vt:i4>0</vt:i4>
      </vt:variant>
      <vt:variant>
        <vt:i4>5</vt:i4>
      </vt:variant>
      <vt:variant>
        <vt:lpwstr/>
      </vt:variant>
      <vt:variant>
        <vt:lpwstr>_Toc304450360</vt:lpwstr>
      </vt:variant>
      <vt:variant>
        <vt:i4>1441841</vt:i4>
      </vt:variant>
      <vt:variant>
        <vt:i4>530</vt:i4>
      </vt:variant>
      <vt:variant>
        <vt:i4>0</vt:i4>
      </vt:variant>
      <vt:variant>
        <vt:i4>5</vt:i4>
      </vt:variant>
      <vt:variant>
        <vt:lpwstr/>
      </vt:variant>
      <vt:variant>
        <vt:lpwstr>_Toc304450359</vt:lpwstr>
      </vt:variant>
      <vt:variant>
        <vt:i4>1441841</vt:i4>
      </vt:variant>
      <vt:variant>
        <vt:i4>524</vt:i4>
      </vt:variant>
      <vt:variant>
        <vt:i4>0</vt:i4>
      </vt:variant>
      <vt:variant>
        <vt:i4>5</vt:i4>
      </vt:variant>
      <vt:variant>
        <vt:lpwstr/>
      </vt:variant>
      <vt:variant>
        <vt:lpwstr>_Toc304450358</vt:lpwstr>
      </vt:variant>
      <vt:variant>
        <vt:i4>1441841</vt:i4>
      </vt:variant>
      <vt:variant>
        <vt:i4>518</vt:i4>
      </vt:variant>
      <vt:variant>
        <vt:i4>0</vt:i4>
      </vt:variant>
      <vt:variant>
        <vt:i4>5</vt:i4>
      </vt:variant>
      <vt:variant>
        <vt:lpwstr/>
      </vt:variant>
      <vt:variant>
        <vt:lpwstr>_Toc304450357</vt:lpwstr>
      </vt:variant>
      <vt:variant>
        <vt:i4>1441841</vt:i4>
      </vt:variant>
      <vt:variant>
        <vt:i4>512</vt:i4>
      </vt:variant>
      <vt:variant>
        <vt:i4>0</vt:i4>
      </vt:variant>
      <vt:variant>
        <vt:i4>5</vt:i4>
      </vt:variant>
      <vt:variant>
        <vt:lpwstr/>
      </vt:variant>
      <vt:variant>
        <vt:lpwstr>_Toc304450356</vt:lpwstr>
      </vt:variant>
      <vt:variant>
        <vt:i4>1441841</vt:i4>
      </vt:variant>
      <vt:variant>
        <vt:i4>506</vt:i4>
      </vt:variant>
      <vt:variant>
        <vt:i4>0</vt:i4>
      </vt:variant>
      <vt:variant>
        <vt:i4>5</vt:i4>
      </vt:variant>
      <vt:variant>
        <vt:lpwstr/>
      </vt:variant>
      <vt:variant>
        <vt:lpwstr>_Toc304450355</vt:lpwstr>
      </vt:variant>
      <vt:variant>
        <vt:i4>1441841</vt:i4>
      </vt:variant>
      <vt:variant>
        <vt:i4>500</vt:i4>
      </vt:variant>
      <vt:variant>
        <vt:i4>0</vt:i4>
      </vt:variant>
      <vt:variant>
        <vt:i4>5</vt:i4>
      </vt:variant>
      <vt:variant>
        <vt:lpwstr/>
      </vt:variant>
      <vt:variant>
        <vt:lpwstr>_Toc304450354</vt:lpwstr>
      </vt:variant>
      <vt:variant>
        <vt:i4>1441841</vt:i4>
      </vt:variant>
      <vt:variant>
        <vt:i4>494</vt:i4>
      </vt:variant>
      <vt:variant>
        <vt:i4>0</vt:i4>
      </vt:variant>
      <vt:variant>
        <vt:i4>5</vt:i4>
      </vt:variant>
      <vt:variant>
        <vt:lpwstr/>
      </vt:variant>
      <vt:variant>
        <vt:lpwstr>_Toc304450353</vt:lpwstr>
      </vt:variant>
      <vt:variant>
        <vt:i4>1048626</vt:i4>
      </vt:variant>
      <vt:variant>
        <vt:i4>485</vt:i4>
      </vt:variant>
      <vt:variant>
        <vt:i4>0</vt:i4>
      </vt:variant>
      <vt:variant>
        <vt:i4>5</vt:i4>
      </vt:variant>
      <vt:variant>
        <vt:lpwstr/>
      </vt:variant>
      <vt:variant>
        <vt:lpwstr>_Toc304450037</vt:lpwstr>
      </vt:variant>
      <vt:variant>
        <vt:i4>1048626</vt:i4>
      </vt:variant>
      <vt:variant>
        <vt:i4>479</vt:i4>
      </vt:variant>
      <vt:variant>
        <vt:i4>0</vt:i4>
      </vt:variant>
      <vt:variant>
        <vt:i4>5</vt:i4>
      </vt:variant>
      <vt:variant>
        <vt:lpwstr/>
      </vt:variant>
      <vt:variant>
        <vt:lpwstr>_Toc304450036</vt:lpwstr>
      </vt:variant>
      <vt:variant>
        <vt:i4>1048626</vt:i4>
      </vt:variant>
      <vt:variant>
        <vt:i4>473</vt:i4>
      </vt:variant>
      <vt:variant>
        <vt:i4>0</vt:i4>
      </vt:variant>
      <vt:variant>
        <vt:i4>5</vt:i4>
      </vt:variant>
      <vt:variant>
        <vt:lpwstr/>
      </vt:variant>
      <vt:variant>
        <vt:lpwstr>_Toc304450035</vt:lpwstr>
      </vt:variant>
      <vt:variant>
        <vt:i4>1048626</vt:i4>
      </vt:variant>
      <vt:variant>
        <vt:i4>467</vt:i4>
      </vt:variant>
      <vt:variant>
        <vt:i4>0</vt:i4>
      </vt:variant>
      <vt:variant>
        <vt:i4>5</vt:i4>
      </vt:variant>
      <vt:variant>
        <vt:lpwstr/>
      </vt:variant>
      <vt:variant>
        <vt:lpwstr>_Toc304450034</vt:lpwstr>
      </vt:variant>
      <vt:variant>
        <vt:i4>1048626</vt:i4>
      </vt:variant>
      <vt:variant>
        <vt:i4>461</vt:i4>
      </vt:variant>
      <vt:variant>
        <vt:i4>0</vt:i4>
      </vt:variant>
      <vt:variant>
        <vt:i4>5</vt:i4>
      </vt:variant>
      <vt:variant>
        <vt:lpwstr/>
      </vt:variant>
      <vt:variant>
        <vt:lpwstr>_Toc304450033</vt:lpwstr>
      </vt:variant>
      <vt:variant>
        <vt:i4>1048626</vt:i4>
      </vt:variant>
      <vt:variant>
        <vt:i4>455</vt:i4>
      </vt:variant>
      <vt:variant>
        <vt:i4>0</vt:i4>
      </vt:variant>
      <vt:variant>
        <vt:i4>5</vt:i4>
      </vt:variant>
      <vt:variant>
        <vt:lpwstr/>
      </vt:variant>
      <vt:variant>
        <vt:lpwstr>_Toc304450032</vt:lpwstr>
      </vt:variant>
      <vt:variant>
        <vt:i4>1048626</vt:i4>
      </vt:variant>
      <vt:variant>
        <vt:i4>449</vt:i4>
      </vt:variant>
      <vt:variant>
        <vt:i4>0</vt:i4>
      </vt:variant>
      <vt:variant>
        <vt:i4>5</vt:i4>
      </vt:variant>
      <vt:variant>
        <vt:lpwstr/>
      </vt:variant>
      <vt:variant>
        <vt:lpwstr>_Toc304450031</vt:lpwstr>
      </vt:variant>
      <vt:variant>
        <vt:i4>1048626</vt:i4>
      </vt:variant>
      <vt:variant>
        <vt:i4>443</vt:i4>
      </vt:variant>
      <vt:variant>
        <vt:i4>0</vt:i4>
      </vt:variant>
      <vt:variant>
        <vt:i4>5</vt:i4>
      </vt:variant>
      <vt:variant>
        <vt:lpwstr/>
      </vt:variant>
      <vt:variant>
        <vt:lpwstr>_Toc304450030</vt:lpwstr>
      </vt:variant>
      <vt:variant>
        <vt:i4>1114162</vt:i4>
      </vt:variant>
      <vt:variant>
        <vt:i4>437</vt:i4>
      </vt:variant>
      <vt:variant>
        <vt:i4>0</vt:i4>
      </vt:variant>
      <vt:variant>
        <vt:i4>5</vt:i4>
      </vt:variant>
      <vt:variant>
        <vt:lpwstr/>
      </vt:variant>
      <vt:variant>
        <vt:lpwstr>_Toc304450029</vt:lpwstr>
      </vt:variant>
      <vt:variant>
        <vt:i4>1114162</vt:i4>
      </vt:variant>
      <vt:variant>
        <vt:i4>431</vt:i4>
      </vt:variant>
      <vt:variant>
        <vt:i4>0</vt:i4>
      </vt:variant>
      <vt:variant>
        <vt:i4>5</vt:i4>
      </vt:variant>
      <vt:variant>
        <vt:lpwstr/>
      </vt:variant>
      <vt:variant>
        <vt:lpwstr>_Toc304450028</vt:lpwstr>
      </vt:variant>
      <vt:variant>
        <vt:i4>1114162</vt:i4>
      </vt:variant>
      <vt:variant>
        <vt:i4>425</vt:i4>
      </vt:variant>
      <vt:variant>
        <vt:i4>0</vt:i4>
      </vt:variant>
      <vt:variant>
        <vt:i4>5</vt:i4>
      </vt:variant>
      <vt:variant>
        <vt:lpwstr/>
      </vt:variant>
      <vt:variant>
        <vt:lpwstr>_Toc304450027</vt:lpwstr>
      </vt:variant>
      <vt:variant>
        <vt:i4>1114162</vt:i4>
      </vt:variant>
      <vt:variant>
        <vt:i4>419</vt:i4>
      </vt:variant>
      <vt:variant>
        <vt:i4>0</vt:i4>
      </vt:variant>
      <vt:variant>
        <vt:i4>5</vt:i4>
      </vt:variant>
      <vt:variant>
        <vt:lpwstr/>
      </vt:variant>
      <vt:variant>
        <vt:lpwstr>_Toc304450026</vt:lpwstr>
      </vt:variant>
      <vt:variant>
        <vt:i4>1114162</vt:i4>
      </vt:variant>
      <vt:variant>
        <vt:i4>413</vt:i4>
      </vt:variant>
      <vt:variant>
        <vt:i4>0</vt:i4>
      </vt:variant>
      <vt:variant>
        <vt:i4>5</vt:i4>
      </vt:variant>
      <vt:variant>
        <vt:lpwstr/>
      </vt:variant>
      <vt:variant>
        <vt:lpwstr>_Toc304450025</vt:lpwstr>
      </vt:variant>
      <vt:variant>
        <vt:i4>1114162</vt:i4>
      </vt:variant>
      <vt:variant>
        <vt:i4>407</vt:i4>
      </vt:variant>
      <vt:variant>
        <vt:i4>0</vt:i4>
      </vt:variant>
      <vt:variant>
        <vt:i4>5</vt:i4>
      </vt:variant>
      <vt:variant>
        <vt:lpwstr/>
      </vt:variant>
      <vt:variant>
        <vt:lpwstr>_Toc304450024</vt:lpwstr>
      </vt:variant>
      <vt:variant>
        <vt:i4>1114162</vt:i4>
      </vt:variant>
      <vt:variant>
        <vt:i4>401</vt:i4>
      </vt:variant>
      <vt:variant>
        <vt:i4>0</vt:i4>
      </vt:variant>
      <vt:variant>
        <vt:i4>5</vt:i4>
      </vt:variant>
      <vt:variant>
        <vt:lpwstr/>
      </vt:variant>
      <vt:variant>
        <vt:lpwstr>_Toc304450023</vt:lpwstr>
      </vt:variant>
      <vt:variant>
        <vt:i4>1114162</vt:i4>
      </vt:variant>
      <vt:variant>
        <vt:i4>395</vt:i4>
      </vt:variant>
      <vt:variant>
        <vt:i4>0</vt:i4>
      </vt:variant>
      <vt:variant>
        <vt:i4>5</vt:i4>
      </vt:variant>
      <vt:variant>
        <vt:lpwstr/>
      </vt:variant>
      <vt:variant>
        <vt:lpwstr>_Toc304450022</vt:lpwstr>
      </vt:variant>
      <vt:variant>
        <vt:i4>1114162</vt:i4>
      </vt:variant>
      <vt:variant>
        <vt:i4>389</vt:i4>
      </vt:variant>
      <vt:variant>
        <vt:i4>0</vt:i4>
      </vt:variant>
      <vt:variant>
        <vt:i4>5</vt:i4>
      </vt:variant>
      <vt:variant>
        <vt:lpwstr/>
      </vt:variant>
      <vt:variant>
        <vt:lpwstr>_Toc304450021</vt:lpwstr>
      </vt:variant>
      <vt:variant>
        <vt:i4>1114162</vt:i4>
      </vt:variant>
      <vt:variant>
        <vt:i4>383</vt:i4>
      </vt:variant>
      <vt:variant>
        <vt:i4>0</vt:i4>
      </vt:variant>
      <vt:variant>
        <vt:i4>5</vt:i4>
      </vt:variant>
      <vt:variant>
        <vt:lpwstr/>
      </vt:variant>
      <vt:variant>
        <vt:lpwstr>_Toc304450020</vt:lpwstr>
      </vt:variant>
      <vt:variant>
        <vt:i4>1179698</vt:i4>
      </vt:variant>
      <vt:variant>
        <vt:i4>377</vt:i4>
      </vt:variant>
      <vt:variant>
        <vt:i4>0</vt:i4>
      </vt:variant>
      <vt:variant>
        <vt:i4>5</vt:i4>
      </vt:variant>
      <vt:variant>
        <vt:lpwstr/>
      </vt:variant>
      <vt:variant>
        <vt:lpwstr>_Toc304450019</vt:lpwstr>
      </vt:variant>
      <vt:variant>
        <vt:i4>1179698</vt:i4>
      </vt:variant>
      <vt:variant>
        <vt:i4>371</vt:i4>
      </vt:variant>
      <vt:variant>
        <vt:i4>0</vt:i4>
      </vt:variant>
      <vt:variant>
        <vt:i4>5</vt:i4>
      </vt:variant>
      <vt:variant>
        <vt:lpwstr/>
      </vt:variant>
      <vt:variant>
        <vt:lpwstr>_Toc304450018</vt:lpwstr>
      </vt:variant>
      <vt:variant>
        <vt:i4>1179698</vt:i4>
      </vt:variant>
      <vt:variant>
        <vt:i4>365</vt:i4>
      </vt:variant>
      <vt:variant>
        <vt:i4>0</vt:i4>
      </vt:variant>
      <vt:variant>
        <vt:i4>5</vt:i4>
      </vt:variant>
      <vt:variant>
        <vt:lpwstr/>
      </vt:variant>
      <vt:variant>
        <vt:lpwstr>_Toc304450017</vt:lpwstr>
      </vt:variant>
      <vt:variant>
        <vt:i4>1179698</vt:i4>
      </vt:variant>
      <vt:variant>
        <vt:i4>359</vt:i4>
      </vt:variant>
      <vt:variant>
        <vt:i4>0</vt:i4>
      </vt:variant>
      <vt:variant>
        <vt:i4>5</vt:i4>
      </vt:variant>
      <vt:variant>
        <vt:lpwstr/>
      </vt:variant>
      <vt:variant>
        <vt:lpwstr>_Toc304450016</vt:lpwstr>
      </vt:variant>
      <vt:variant>
        <vt:i4>1179698</vt:i4>
      </vt:variant>
      <vt:variant>
        <vt:i4>353</vt:i4>
      </vt:variant>
      <vt:variant>
        <vt:i4>0</vt:i4>
      </vt:variant>
      <vt:variant>
        <vt:i4>5</vt:i4>
      </vt:variant>
      <vt:variant>
        <vt:lpwstr/>
      </vt:variant>
      <vt:variant>
        <vt:lpwstr>_Toc304450015</vt:lpwstr>
      </vt:variant>
      <vt:variant>
        <vt:i4>1179698</vt:i4>
      </vt:variant>
      <vt:variant>
        <vt:i4>347</vt:i4>
      </vt:variant>
      <vt:variant>
        <vt:i4>0</vt:i4>
      </vt:variant>
      <vt:variant>
        <vt:i4>5</vt:i4>
      </vt:variant>
      <vt:variant>
        <vt:lpwstr/>
      </vt:variant>
      <vt:variant>
        <vt:lpwstr>_Toc304450014</vt:lpwstr>
      </vt:variant>
      <vt:variant>
        <vt:i4>1179698</vt:i4>
      </vt:variant>
      <vt:variant>
        <vt:i4>341</vt:i4>
      </vt:variant>
      <vt:variant>
        <vt:i4>0</vt:i4>
      </vt:variant>
      <vt:variant>
        <vt:i4>5</vt:i4>
      </vt:variant>
      <vt:variant>
        <vt:lpwstr/>
      </vt:variant>
      <vt:variant>
        <vt:lpwstr>_Toc304450013</vt:lpwstr>
      </vt:variant>
      <vt:variant>
        <vt:i4>1179698</vt:i4>
      </vt:variant>
      <vt:variant>
        <vt:i4>335</vt:i4>
      </vt:variant>
      <vt:variant>
        <vt:i4>0</vt:i4>
      </vt:variant>
      <vt:variant>
        <vt:i4>5</vt:i4>
      </vt:variant>
      <vt:variant>
        <vt:lpwstr/>
      </vt:variant>
      <vt:variant>
        <vt:lpwstr>_Toc304450012</vt:lpwstr>
      </vt:variant>
      <vt:variant>
        <vt:i4>1179698</vt:i4>
      </vt:variant>
      <vt:variant>
        <vt:i4>329</vt:i4>
      </vt:variant>
      <vt:variant>
        <vt:i4>0</vt:i4>
      </vt:variant>
      <vt:variant>
        <vt:i4>5</vt:i4>
      </vt:variant>
      <vt:variant>
        <vt:lpwstr/>
      </vt:variant>
      <vt:variant>
        <vt:lpwstr>_Toc304450011</vt:lpwstr>
      </vt:variant>
      <vt:variant>
        <vt:i4>1179698</vt:i4>
      </vt:variant>
      <vt:variant>
        <vt:i4>323</vt:i4>
      </vt:variant>
      <vt:variant>
        <vt:i4>0</vt:i4>
      </vt:variant>
      <vt:variant>
        <vt:i4>5</vt:i4>
      </vt:variant>
      <vt:variant>
        <vt:lpwstr/>
      </vt:variant>
      <vt:variant>
        <vt:lpwstr>_Toc304450010</vt:lpwstr>
      </vt:variant>
      <vt:variant>
        <vt:i4>1245234</vt:i4>
      </vt:variant>
      <vt:variant>
        <vt:i4>317</vt:i4>
      </vt:variant>
      <vt:variant>
        <vt:i4>0</vt:i4>
      </vt:variant>
      <vt:variant>
        <vt:i4>5</vt:i4>
      </vt:variant>
      <vt:variant>
        <vt:lpwstr/>
      </vt:variant>
      <vt:variant>
        <vt:lpwstr>_Toc304450009</vt:lpwstr>
      </vt:variant>
      <vt:variant>
        <vt:i4>1245234</vt:i4>
      </vt:variant>
      <vt:variant>
        <vt:i4>311</vt:i4>
      </vt:variant>
      <vt:variant>
        <vt:i4>0</vt:i4>
      </vt:variant>
      <vt:variant>
        <vt:i4>5</vt:i4>
      </vt:variant>
      <vt:variant>
        <vt:lpwstr/>
      </vt:variant>
      <vt:variant>
        <vt:lpwstr>_Toc304450008</vt:lpwstr>
      </vt:variant>
      <vt:variant>
        <vt:i4>1245234</vt:i4>
      </vt:variant>
      <vt:variant>
        <vt:i4>305</vt:i4>
      </vt:variant>
      <vt:variant>
        <vt:i4>0</vt:i4>
      </vt:variant>
      <vt:variant>
        <vt:i4>5</vt:i4>
      </vt:variant>
      <vt:variant>
        <vt:lpwstr/>
      </vt:variant>
      <vt:variant>
        <vt:lpwstr>_Toc304450007</vt:lpwstr>
      </vt:variant>
      <vt:variant>
        <vt:i4>1245234</vt:i4>
      </vt:variant>
      <vt:variant>
        <vt:i4>299</vt:i4>
      </vt:variant>
      <vt:variant>
        <vt:i4>0</vt:i4>
      </vt:variant>
      <vt:variant>
        <vt:i4>5</vt:i4>
      </vt:variant>
      <vt:variant>
        <vt:lpwstr/>
      </vt:variant>
      <vt:variant>
        <vt:lpwstr>_Toc304450006</vt:lpwstr>
      </vt:variant>
      <vt:variant>
        <vt:i4>1245234</vt:i4>
      </vt:variant>
      <vt:variant>
        <vt:i4>293</vt:i4>
      </vt:variant>
      <vt:variant>
        <vt:i4>0</vt:i4>
      </vt:variant>
      <vt:variant>
        <vt:i4>5</vt:i4>
      </vt:variant>
      <vt:variant>
        <vt:lpwstr/>
      </vt:variant>
      <vt:variant>
        <vt:lpwstr>_Toc304450005</vt:lpwstr>
      </vt:variant>
      <vt:variant>
        <vt:i4>1245234</vt:i4>
      </vt:variant>
      <vt:variant>
        <vt:i4>287</vt:i4>
      </vt:variant>
      <vt:variant>
        <vt:i4>0</vt:i4>
      </vt:variant>
      <vt:variant>
        <vt:i4>5</vt:i4>
      </vt:variant>
      <vt:variant>
        <vt:lpwstr/>
      </vt:variant>
      <vt:variant>
        <vt:lpwstr>_Toc304450004</vt:lpwstr>
      </vt:variant>
      <vt:variant>
        <vt:i4>1966140</vt:i4>
      </vt:variant>
      <vt:variant>
        <vt:i4>278</vt:i4>
      </vt:variant>
      <vt:variant>
        <vt:i4>0</vt:i4>
      </vt:variant>
      <vt:variant>
        <vt:i4>5</vt:i4>
      </vt:variant>
      <vt:variant>
        <vt:lpwstr/>
      </vt:variant>
      <vt:variant>
        <vt:lpwstr>_Toc304799273</vt:lpwstr>
      </vt:variant>
      <vt:variant>
        <vt:i4>1966140</vt:i4>
      </vt:variant>
      <vt:variant>
        <vt:i4>272</vt:i4>
      </vt:variant>
      <vt:variant>
        <vt:i4>0</vt:i4>
      </vt:variant>
      <vt:variant>
        <vt:i4>5</vt:i4>
      </vt:variant>
      <vt:variant>
        <vt:lpwstr/>
      </vt:variant>
      <vt:variant>
        <vt:lpwstr>_Toc304799270</vt:lpwstr>
      </vt:variant>
      <vt:variant>
        <vt:i4>2031676</vt:i4>
      </vt:variant>
      <vt:variant>
        <vt:i4>266</vt:i4>
      </vt:variant>
      <vt:variant>
        <vt:i4>0</vt:i4>
      </vt:variant>
      <vt:variant>
        <vt:i4>5</vt:i4>
      </vt:variant>
      <vt:variant>
        <vt:lpwstr/>
      </vt:variant>
      <vt:variant>
        <vt:lpwstr>_Toc304799269</vt:lpwstr>
      </vt:variant>
      <vt:variant>
        <vt:i4>2031676</vt:i4>
      </vt:variant>
      <vt:variant>
        <vt:i4>260</vt:i4>
      </vt:variant>
      <vt:variant>
        <vt:i4>0</vt:i4>
      </vt:variant>
      <vt:variant>
        <vt:i4>5</vt:i4>
      </vt:variant>
      <vt:variant>
        <vt:lpwstr/>
      </vt:variant>
      <vt:variant>
        <vt:lpwstr>_Toc304799268</vt:lpwstr>
      </vt:variant>
      <vt:variant>
        <vt:i4>2031676</vt:i4>
      </vt:variant>
      <vt:variant>
        <vt:i4>254</vt:i4>
      </vt:variant>
      <vt:variant>
        <vt:i4>0</vt:i4>
      </vt:variant>
      <vt:variant>
        <vt:i4>5</vt:i4>
      </vt:variant>
      <vt:variant>
        <vt:lpwstr/>
      </vt:variant>
      <vt:variant>
        <vt:lpwstr>_Toc304799267</vt:lpwstr>
      </vt:variant>
      <vt:variant>
        <vt:i4>2031676</vt:i4>
      </vt:variant>
      <vt:variant>
        <vt:i4>248</vt:i4>
      </vt:variant>
      <vt:variant>
        <vt:i4>0</vt:i4>
      </vt:variant>
      <vt:variant>
        <vt:i4>5</vt:i4>
      </vt:variant>
      <vt:variant>
        <vt:lpwstr/>
      </vt:variant>
      <vt:variant>
        <vt:lpwstr>_Toc304799266</vt:lpwstr>
      </vt:variant>
      <vt:variant>
        <vt:i4>2031676</vt:i4>
      </vt:variant>
      <vt:variant>
        <vt:i4>242</vt:i4>
      </vt:variant>
      <vt:variant>
        <vt:i4>0</vt:i4>
      </vt:variant>
      <vt:variant>
        <vt:i4>5</vt:i4>
      </vt:variant>
      <vt:variant>
        <vt:lpwstr/>
      </vt:variant>
      <vt:variant>
        <vt:lpwstr>_Toc304799265</vt:lpwstr>
      </vt:variant>
      <vt:variant>
        <vt:i4>2031676</vt:i4>
      </vt:variant>
      <vt:variant>
        <vt:i4>236</vt:i4>
      </vt:variant>
      <vt:variant>
        <vt:i4>0</vt:i4>
      </vt:variant>
      <vt:variant>
        <vt:i4>5</vt:i4>
      </vt:variant>
      <vt:variant>
        <vt:lpwstr/>
      </vt:variant>
      <vt:variant>
        <vt:lpwstr>_Toc304799264</vt:lpwstr>
      </vt:variant>
      <vt:variant>
        <vt:i4>2031676</vt:i4>
      </vt:variant>
      <vt:variant>
        <vt:i4>230</vt:i4>
      </vt:variant>
      <vt:variant>
        <vt:i4>0</vt:i4>
      </vt:variant>
      <vt:variant>
        <vt:i4>5</vt:i4>
      </vt:variant>
      <vt:variant>
        <vt:lpwstr/>
      </vt:variant>
      <vt:variant>
        <vt:lpwstr>_Toc304799263</vt:lpwstr>
      </vt:variant>
      <vt:variant>
        <vt:i4>2031676</vt:i4>
      </vt:variant>
      <vt:variant>
        <vt:i4>224</vt:i4>
      </vt:variant>
      <vt:variant>
        <vt:i4>0</vt:i4>
      </vt:variant>
      <vt:variant>
        <vt:i4>5</vt:i4>
      </vt:variant>
      <vt:variant>
        <vt:lpwstr/>
      </vt:variant>
      <vt:variant>
        <vt:lpwstr>_Toc304799262</vt:lpwstr>
      </vt:variant>
      <vt:variant>
        <vt:i4>2031676</vt:i4>
      </vt:variant>
      <vt:variant>
        <vt:i4>218</vt:i4>
      </vt:variant>
      <vt:variant>
        <vt:i4>0</vt:i4>
      </vt:variant>
      <vt:variant>
        <vt:i4>5</vt:i4>
      </vt:variant>
      <vt:variant>
        <vt:lpwstr/>
      </vt:variant>
      <vt:variant>
        <vt:lpwstr>_Toc304799261</vt:lpwstr>
      </vt:variant>
      <vt:variant>
        <vt:i4>2031676</vt:i4>
      </vt:variant>
      <vt:variant>
        <vt:i4>212</vt:i4>
      </vt:variant>
      <vt:variant>
        <vt:i4>0</vt:i4>
      </vt:variant>
      <vt:variant>
        <vt:i4>5</vt:i4>
      </vt:variant>
      <vt:variant>
        <vt:lpwstr/>
      </vt:variant>
      <vt:variant>
        <vt:lpwstr>_Toc304799260</vt:lpwstr>
      </vt:variant>
      <vt:variant>
        <vt:i4>1835068</vt:i4>
      </vt:variant>
      <vt:variant>
        <vt:i4>206</vt:i4>
      </vt:variant>
      <vt:variant>
        <vt:i4>0</vt:i4>
      </vt:variant>
      <vt:variant>
        <vt:i4>5</vt:i4>
      </vt:variant>
      <vt:variant>
        <vt:lpwstr/>
      </vt:variant>
      <vt:variant>
        <vt:lpwstr>_Toc304799259</vt:lpwstr>
      </vt:variant>
      <vt:variant>
        <vt:i4>1835068</vt:i4>
      </vt:variant>
      <vt:variant>
        <vt:i4>200</vt:i4>
      </vt:variant>
      <vt:variant>
        <vt:i4>0</vt:i4>
      </vt:variant>
      <vt:variant>
        <vt:i4>5</vt:i4>
      </vt:variant>
      <vt:variant>
        <vt:lpwstr/>
      </vt:variant>
      <vt:variant>
        <vt:lpwstr>_Toc304799258</vt:lpwstr>
      </vt:variant>
      <vt:variant>
        <vt:i4>1835068</vt:i4>
      </vt:variant>
      <vt:variant>
        <vt:i4>194</vt:i4>
      </vt:variant>
      <vt:variant>
        <vt:i4>0</vt:i4>
      </vt:variant>
      <vt:variant>
        <vt:i4>5</vt:i4>
      </vt:variant>
      <vt:variant>
        <vt:lpwstr/>
      </vt:variant>
      <vt:variant>
        <vt:lpwstr>_Toc304799257</vt:lpwstr>
      </vt:variant>
      <vt:variant>
        <vt:i4>1835068</vt:i4>
      </vt:variant>
      <vt:variant>
        <vt:i4>188</vt:i4>
      </vt:variant>
      <vt:variant>
        <vt:i4>0</vt:i4>
      </vt:variant>
      <vt:variant>
        <vt:i4>5</vt:i4>
      </vt:variant>
      <vt:variant>
        <vt:lpwstr/>
      </vt:variant>
      <vt:variant>
        <vt:lpwstr>_Toc304799256</vt:lpwstr>
      </vt:variant>
      <vt:variant>
        <vt:i4>1835068</vt:i4>
      </vt:variant>
      <vt:variant>
        <vt:i4>182</vt:i4>
      </vt:variant>
      <vt:variant>
        <vt:i4>0</vt:i4>
      </vt:variant>
      <vt:variant>
        <vt:i4>5</vt:i4>
      </vt:variant>
      <vt:variant>
        <vt:lpwstr/>
      </vt:variant>
      <vt:variant>
        <vt:lpwstr>_Toc304799255</vt:lpwstr>
      </vt:variant>
      <vt:variant>
        <vt:i4>1835068</vt:i4>
      </vt:variant>
      <vt:variant>
        <vt:i4>176</vt:i4>
      </vt:variant>
      <vt:variant>
        <vt:i4>0</vt:i4>
      </vt:variant>
      <vt:variant>
        <vt:i4>5</vt:i4>
      </vt:variant>
      <vt:variant>
        <vt:lpwstr/>
      </vt:variant>
      <vt:variant>
        <vt:lpwstr>_Toc304799254</vt:lpwstr>
      </vt:variant>
      <vt:variant>
        <vt:i4>1835068</vt:i4>
      </vt:variant>
      <vt:variant>
        <vt:i4>170</vt:i4>
      </vt:variant>
      <vt:variant>
        <vt:i4>0</vt:i4>
      </vt:variant>
      <vt:variant>
        <vt:i4>5</vt:i4>
      </vt:variant>
      <vt:variant>
        <vt:lpwstr/>
      </vt:variant>
      <vt:variant>
        <vt:lpwstr>_Toc304799253</vt:lpwstr>
      </vt:variant>
      <vt:variant>
        <vt:i4>1835068</vt:i4>
      </vt:variant>
      <vt:variant>
        <vt:i4>164</vt:i4>
      </vt:variant>
      <vt:variant>
        <vt:i4>0</vt:i4>
      </vt:variant>
      <vt:variant>
        <vt:i4>5</vt:i4>
      </vt:variant>
      <vt:variant>
        <vt:lpwstr/>
      </vt:variant>
      <vt:variant>
        <vt:lpwstr>_Toc304799252</vt:lpwstr>
      </vt:variant>
      <vt:variant>
        <vt:i4>1835068</vt:i4>
      </vt:variant>
      <vt:variant>
        <vt:i4>158</vt:i4>
      </vt:variant>
      <vt:variant>
        <vt:i4>0</vt:i4>
      </vt:variant>
      <vt:variant>
        <vt:i4>5</vt:i4>
      </vt:variant>
      <vt:variant>
        <vt:lpwstr/>
      </vt:variant>
      <vt:variant>
        <vt:lpwstr>_Toc304799251</vt:lpwstr>
      </vt:variant>
      <vt:variant>
        <vt:i4>1835068</vt:i4>
      </vt:variant>
      <vt:variant>
        <vt:i4>152</vt:i4>
      </vt:variant>
      <vt:variant>
        <vt:i4>0</vt:i4>
      </vt:variant>
      <vt:variant>
        <vt:i4>5</vt:i4>
      </vt:variant>
      <vt:variant>
        <vt:lpwstr/>
      </vt:variant>
      <vt:variant>
        <vt:lpwstr>_Toc304799250</vt:lpwstr>
      </vt:variant>
      <vt:variant>
        <vt:i4>1900604</vt:i4>
      </vt:variant>
      <vt:variant>
        <vt:i4>146</vt:i4>
      </vt:variant>
      <vt:variant>
        <vt:i4>0</vt:i4>
      </vt:variant>
      <vt:variant>
        <vt:i4>5</vt:i4>
      </vt:variant>
      <vt:variant>
        <vt:lpwstr/>
      </vt:variant>
      <vt:variant>
        <vt:lpwstr>_Toc304799249</vt:lpwstr>
      </vt:variant>
      <vt:variant>
        <vt:i4>1900604</vt:i4>
      </vt:variant>
      <vt:variant>
        <vt:i4>140</vt:i4>
      </vt:variant>
      <vt:variant>
        <vt:i4>0</vt:i4>
      </vt:variant>
      <vt:variant>
        <vt:i4>5</vt:i4>
      </vt:variant>
      <vt:variant>
        <vt:lpwstr/>
      </vt:variant>
      <vt:variant>
        <vt:lpwstr>_Toc304799248</vt:lpwstr>
      </vt:variant>
      <vt:variant>
        <vt:i4>1900604</vt:i4>
      </vt:variant>
      <vt:variant>
        <vt:i4>134</vt:i4>
      </vt:variant>
      <vt:variant>
        <vt:i4>0</vt:i4>
      </vt:variant>
      <vt:variant>
        <vt:i4>5</vt:i4>
      </vt:variant>
      <vt:variant>
        <vt:lpwstr/>
      </vt:variant>
      <vt:variant>
        <vt:lpwstr>_Toc304799247</vt:lpwstr>
      </vt:variant>
      <vt:variant>
        <vt:i4>1900604</vt:i4>
      </vt:variant>
      <vt:variant>
        <vt:i4>128</vt:i4>
      </vt:variant>
      <vt:variant>
        <vt:i4>0</vt:i4>
      </vt:variant>
      <vt:variant>
        <vt:i4>5</vt:i4>
      </vt:variant>
      <vt:variant>
        <vt:lpwstr/>
      </vt:variant>
      <vt:variant>
        <vt:lpwstr>_Toc304799246</vt:lpwstr>
      </vt:variant>
      <vt:variant>
        <vt:i4>1900604</vt:i4>
      </vt:variant>
      <vt:variant>
        <vt:i4>122</vt:i4>
      </vt:variant>
      <vt:variant>
        <vt:i4>0</vt:i4>
      </vt:variant>
      <vt:variant>
        <vt:i4>5</vt:i4>
      </vt:variant>
      <vt:variant>
        <vt:lpwstr/>
      </vt:variant>
      <vt:variant>
        <vt:lpwstr>_Toc304799245</vt:lpwstr>
      </vt:variant>
      <vt:variant>
        <vt:i4>1900604</vt:i4>
      </vt:variant>
      <vt:variant>
        <vt:i4>116</vt:i4>
      </vt:variant>
      <vt:variant>
        <vt:i4>0</vt:i4>
      </vt:variant>
      <vt:variant>
        <vt:i4>5</vt:i4>
      </vt:variant>
      <vt:variant>
        <vt:lpwstr/>
      </vt:variant>
      <vt:variant>
        <vt:lpwstr>_Toc304799244</vt:lpwstr>
      </vt:variant>
      <vt:variant>
        <vt:i4>1900604</vt:i4>
      </vt:variant>
      <vt:variant>
        <vt:i4>110</vt:i4>
      </vt:variant>
      <vt:variant>
        <vt:i4>0</vt:i4>
      </vt:variant>
      <vt:variant>
        <vt:i4>5</vt:i4>
      </vt:variant>
      <vt:variant>
        <vt:lpwstr/>
      </vt:variant>
      <vt:variant>
        <vt:lpwstr>_Toc304799243</vt:lpwstr>
      </vt:variant>
      <vt:variant>
        <vt:i4>1900604</vt:i4>
      </vt:variant>
      <vt:variant>
        <vt:i4>104</vt:i4>
      </vt:variant>
      <vt:variant>
        <vt:i4>0</vt:i4>
      </vt:variant>
      <vt:variant>
        <vt:i4>5</vt:i4>
      </vt:variant>
      <vt:variant>
        <vt:lpwstr/>
      </vt:variant>
      <vt:variant>
        <vt:lpwstr>_Toc304799242</vt:lpwstr>
      </vt:variant>
      <vt:variant>
        <vt:i4>1900604</vt:i4>
      </vt:variant>
      <vt:variant>
        <vt:i4>98</vt:i4>
      </vt:variant>
      <vt:variant>
        <vt:i4>0</vt:i4>
      </vt:variant>
      <vt:variant>
        <vt:i4>5</vt:i4>
      </vt:variant>
      <vt:variant>
        <vt:lpwstr/>
      </vt:variant>
      <vt:variant>
        <vt:lpwstr>_Toc304799241</vt:lpwstr>
      </vt:variant>
      <vt:variant>
        <vt:i4>1900604</vt:i4>
      </vt:variant>
      <vt:variant>
        <vt:i4>92</vt:i4>
      </vt:variant>
      <vt:variant>
        <vt:i4>0</vt:i4>
      </vt:variant>
      <vt:variant>
        <vt:i4>5</vt:i4>
      </vt:variant>
      <vt:variant>
        <vt:lpwstr/>
      </vt:variant>
      <vt:variant>
        <vt:lpwstr>_Toc304799240</vt:lpwstr>
      </vt:variant>
      <vt:variant>
        <vt:i4>1703996</vt:i4>
      </vt:variant>
      <vt:variant>
        <vt:i4>86</vt:i4>
      </vt:variant>
      <vt:variant>
        <vt:i4>0</vt:i4>
      </vt:variant>
      <vt:variant>
        <vt:i4>5</vt:i4>
      </vt:variant>
      <vt:variant>
        <vt:lpwstr/>
      </vt:variant>
      <vt:variant>
        <vt:lpwstr>_Toc304799239</vt:lpwstr>
      </vt:variant>
      <vt:variant>
        <vt:i4>1703996</vt:i4>
      </vt:variant>
      <vt:variant>
        <vt:i4>80</vt:i4>
      </vt:variant>
      <vt:variant>
        <vt:i4>0</vt:i4>
      </vt:variant>
      <vt:variant>
        <vt:i4>5</vt:i4>
      </vt:variant>
      <vt:variant>
        <vt:lpwstr/>
      </vt:variant>
      <vt:variant>
        <vt:lpwstr>_Toc304799238</vt:lpwstr>
      </vt:variant>
      <vt:variant>
        <vt:i4>1703996</vt:i4>
      </vt:variant>
      <vt:variant>
        <vt:i4>74</vt:i4>
      </vt:variant>
      <vt:variant>
        <vt:i4>0</vt:i4>
      </vt:variant>
      <vt:variant>
        <vt:i4>5</vt:i4>
      </vt:variant>
      <vt:variant>
        <vt:lpwstr/>
      </vt:variant>
      <vt:variant>
        <vt:lpwstr>_Toc304799237</vt:lpwstr>
      </vt:variant>
      <vt:variant>
        <vt:i4>1703996</vt:i4>
      </vt:variant>
      <vt:variant>
        <vt:i4>68</vt:i4>
      </vt:variant>
      <vt:variant>
        <vt:i4>0</vt:i4>
      </vt:variant>
      <vt:variant>
        <vt:i4>5</vt:i4>
      </vt:variant>
      <vt:variant>
        <vt:lpwstr/>
      </vt:variant>
      <vt:variant>
        <vt:lpwstr>_Toc304799236</vt:lpwstr>
      </vt:variant>
      <vt:variant>
        <vt:i4>1703996</vt:i4>
      </vt:variant>
      <vt:variant>
        <vt:i4>62</vt:i4>
      </vt:variant>
      <vt:variant>
        <vt:i4>0</vt:i4>
      </vt:variant>
      <vt:variant>
        <vt:i4>5</vt:i4>
      </vt:variant>
      <vt:variant>
        <vt:lpwstr/>
      </vt:variant>
      <vt:variant>
        <vt:lpwstr>_Toc304799235</vt:lpwstr>
      </vt:variant>
      <vt:variant>
        <vt:i4>1703996</vt:i4>
      </vt:variant>
      <vt:variant>
        <vt:i4>56</vt:i4>
      </vt:variant>
      <vt:variant>
        <vt:i4>0</vt:i4>
      </vt:variant>
      <vt:variant>
        <vt:i4>5</vt:i4>
      </vt:variant>
      <vt:variant>
        <vt:lpwstr/>
      </vt:variant>
      <vt:variant>
        <vt:lpwstr>_Toc304799234</vt:lpwstr>
      </vt:variant>
      <vt:variant>
        <vt:i4>1703996</vt:i4>
      </vt:variant>
      <vt:variant>
        <vt:i4>50</vt:i4>
      </vt:variant>
      <vt:variant>
        <vt:i4>0</vt:i4>
      </vt:variant>
      <vt:variant>
        <vt:i4>5</vt:i4>
      </vt:variant>
      <vt:variant>
        <vt:lpwstr/>
      </vt:variant>
      <vt:variant>
        <vt:lpwstr>_Toc304799233</vt:lpwstr>
      </vt:variant>
      <vt:variant>
        <vt:i4>1703996</vt:i4>
      </vt:variant>
      <vt:variant>
        <vt:i4>44</vt:i4>
      </vt:variant>
      <vt:variant>
        <vt:i4>0</vt:i4>
      </vt:variant>
      <vt:variant>
        <vt:i4>5</vt:i4>
      </vt:variant>
      <vt:variant>
        <vt:lpwstr/>
      </vt:variant>
      <vt:variant>
        <vt:lpwstr>_Toc304799232</vt:lpwstr>
      </vt:variant>
      <vt:variant>
        <vt:i4>1703996</vt:i4>
      </vt:variant>
      <vt:variant>
        <vt:i4>38</vt:i4>
      </vt:variant>
      <vt:variant>
        <vt:i4>0</vt:i4>
      </vt:variant>
      <vt:variant>
        <vt:i4>5</vt:i4>
      </vt:variant>
      <vt:variant>
        <vt:lpwstr/>
      </vt:variant>
      <vt:variant>
        <vt:lpwstr>_Toc304799231</vt:lpwstr>
      </vt:variant>
      <vt:variant>
        <vt:i4>1703996</vt:i4>
      </vt:variant>
      <vt:variant>
        <vt:i4>32</vt:i4>
      </vt:variant>
      <vt:variant>
        <vt:i4>0</vt:i4>
      </vt:variant>
      <vt:variant>
        <vt:i4>5</vt:i4>
      </vt:variant>
      <vt:variant>
        <vt:lpwstr/>
      </vt:variant>
      <vt:variant>
        <vt:lpwstr>_Toc304799230</vt:lpwstr>
      </vt:variant>
      <vt:variant>
        <vt:i4>1769532</vt:i4>
      </vt:variant>
      <vt:variant>
        <vt:i4>26</vt:i4>
      </vt:variant>
      <vt:variant>
        <vt:i4>0</vt:i4>
      </vt:variant>
      <vt:variant>
        <vt:i4>5</vt:i4>
      </vt:variant>
      <vt:variant>
        <vt:lpwstr/>
      </vt:variant>
      <vt:variant>
        <vt:lpwstr>_Toc304799229</vt:lpwstr>
      </vt:variant>
      <vt:variant>
        <vt:i4>1769532</vt:i4>
      </vt:variant>
      <vt:variant>
        <vt:i4>20</vt:i4>
      </vt:variant>
      <vt:variant>
        <vt:i4>0</vt:i4>
      </vt:variant>
      <vt:variant>
        <vt:i4>5</vt:i4>
      </vt:variant>
      <vt:variant>
        <vt:lpwstr/>
      </vt:variant>
      <vt:variant>
        <vt:lpwstr>_Toc304799228</vt:lpwstr>
      </vt:variant>
      <vt:variant>
        <vt:i4>1769532</vt:i4>
      </vt:variant>
      <vt:variant>
        <vt:i4>14</vt:i4>
      </vt:variant>
      <vt:variant>
        <vt:i4>0</vt:i4>
      </vt:variant>
      <vt:variant>
        <vt:i4>5</vt:i4>
      </vt:variant>
      <vt:variant>
        <vt:lpwstr/>
      </vt:variant>
      <vt:variant>
        <vt:lpwstr>_Toc304799227</vt:lpwstr>
      </vt:variant>
      <vt:variant>
        <vt:i4>1769532</vt:i4>
      </vt:variant>
      <vt:variant>
        <vt:i4>8</vt:i4>
      </vt:variant>
      <vt:variant>
        <vt:i4>0</vt:i4>
      </vt:variant>
      <vt:variant>
        <vt:i4>5</vt:i4>
      </vt:variant>
      <vt:variant>
        <vt:lpwstr/>
      </vt:variant>
      <vt:variant>
        <vt:lpwstr>_Toc304799226</vt:lpwstr>
      </vt:variant>
      <vt:variant>
        <vt:i4>1769532</vt:i4>
      </vt:variant>
      <vt:variant>
        <vt:i4>2</vt:i4>
      </vt:variant>
      <vt:variant>
        <vt:i4>0</vt:i4>
      </vt:variant>
      <vt:variant>
        <vt:i4>5</vt:i4>
      </vt:variant>
      <vt:variant>
        <vt:lpwstr/>
      </vt:variant>
      <vt:variant>
        <vt:lpwstr>_Toc304799225</vt:lpwstr>
      </vt:variant>
      <vt:variant>
        <vt:i4>3276856</vt:i4>
      </vt:variant>
      <vt:variant>
        <vt:i4>0</vt:i4>
      </vt:variant>
      <vt:variant>
        <vt:i4>0</vt:i4>
      </vt:variant>
      <vt:variant>
        <vt:i4>5</vt:i4>
      </vt:variant>
      <vt:variant>
        <vt:lpwstr>http://www.tki.org.nz/r/asttle/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compulsory schools sector in New Zealand - 2012: New Zealand Schools: Ngā Kura o Aotearoa (E2). </dc:title>
  <dc:subject/>
  <dc:creator>Minister of Education</dc:creator>
  <cp:keywords/>
  <dc:description/>
  <cp:lastModifiedBy>Howiel</cp:lastModifiedBy>
  <cp:revision>3</cp:revision>
  <cp:lastPrinted>2013-09-23T23:18:00Z</cp:lastPrinted>
  <dcterms:created xsi:type="dcterms:W3CDTF">2013-09-25T23:45:00Z</dcterms:created>
  <dcterms:modified xsi:type="dcterms:W3CDTF">2013-09-25T23:45:00Z</dcterms:modified>
</cp:coreProperties>
</file>